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9"/>
    <w:bookmarkStart w:id="22" w:name="Xa574876d1011691a03dd1af38d3696d9a835514"/>
    <w:p>
      <w:pPr>
        <w:pStyle w:val="Heading1"/>
      </w:pPr>
      <w:r>
        <w:t xml:space="preserve">Konteks Seismotektonik dan Formulasi Masalah</w:t>
      </w:r>
    </w:p>
    <w:bookmarkStart w:id="13"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13"/>
    <w:bookmarkStart w:id="16"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14"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14"/>
    <w:bookmarkStart w:id="15"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15"/>
    <w:bookmarkEnd w:id="16"/>
    <w:bookmarkStart w:id="21" w:name="formulasi-masalah-formal"/>
    <w:p>
      <w:pPr>
        <w:pStyle w:val="Heading2"/>
      </w:pPr>
      <w:r>
        <w:t xml:space="preserve">Formulasi Masalah Formal</w:t>
      </w:r>
    </w:p>
    <w:bookmarkStart w:id="17"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19"/>
    <w:bookmarkStart w:id="20"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kurasi-dataset-dan-rekayasa-fitur"/>
    <w:p>
      <w:pPr>
        <w:pStyle w:val="Heading1"/>
      </w:pPr>
      <w:r>
        <w:t xml:space="preserve">Kurasi Dataset dan Rekayasa Fitur</w:t>
      </w:r>
    </w:p>
    <w:bookmarkStart w:id="24" w:name="pipeline-pengolahan-bentuk-gelombang"/>
    <w:p>
      <w:pPr>
        <w:pStyle w:val="Heading2"/>
      </w:pPr>
      <w:r>
        <w:t xml:space="preserve">Pipeline Pengolahan Bentuk-Gelombang</w:t>
      </w:r>
    </w:p>
    <w:p>
      <w:pPr>
        <w:pStyle w:val="FirstParagraph"/>
      </w:pPr>
      <w:r>
        <w:t xml:space="preserve">Bentuk-gelombang MiniSEED mentah diunduh dari arsip SDS SeisComP-3 BMKG untuk jaringan accelerograph IA-BMKG, mencakup rekaman dari Nov 2022 – Mar 2026. Korpus awal terdiri dari sekitar 41.278 trace tiga-komponen; pipeline kontrol-kualitas lima-tahap yang dijelaskan di bawah (Tabel 1) menyaring korpus ini menjadi 25.058 accelerogram berkualitas-tinggi yang dipertahankan untuk pelatihan downstream.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23"/>
    <w:bookmarkEnd w:id="24"/>
    <w:bookmarkStart w:id="25" w:name="filter-kontrol-kualitas"/>
    <w:p>
      <w:pPr>
        <w:pStyle w:val="Heading2"/>
      </w:pPr>
      <w:r>
        <w:t xml:space="preserve">Filter Kontrol Kualitas</w:t>
      </w:r>
    </w:p>
    <w:p>
      <w:pPr>
        <w:pStyle w:val="FirstParagraph"/>
      </w:pPr>
      <w:r>
        <w:rPr>
          <w:b/>
          <w:bCs/>
        </w:rPr>
        <w:t xml:space="preserve">Tabel 1. Filter kontrol kualitas dan jumlah trace yang dihapus dari korpus accelerograph IA-BMKG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Trace accelerogram kualitas-tinggi (eksak)</w:t>
            </w:r>
          </w:p>
        </w:tc>
        <w:tc>
          <w:tcPr/>
          <w:p>
            <w:pPr>
              <w:pStyle w:val="Compact"/>
              <w:jc w:val="center"/>
            </w:pPr>
            <w:r>
              <w:rPr>
                <w:b/>
                <w:bCs/>
              </w:rPr>
              <w:t xml:space="preserve">25.058</w:t>
            </w:r>
          </w:p>
        </w:tc>
      </w:tr>
    </w:tbl>
    <w:p>
      <w:pPr>
        <w:pStyle w:val="BodyText"/>
      </w:pPr>
      <w:r>
        <w:rPr>
          <w:i/>
          <w:iCs/>
        </w:rPr>
        <w:t xml:space="preserve">Jumlah trace yang dihapus oleh setiap filter (baris 1–5) dibulatkan ke 100 trace terdekat karena filter berurutan beroperasi pada kriteria yang sebagian tumpang-tindih. Jumlah akhir 25.058 bersifat eksak (hitungan literal file dalam dataset terkurasi).</w:t>
      </w:r>
    </w:p>
    <w:bookmarkEnd w:id="25"/>
    <w:bookmarkStart w:id="26"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26"/>
    <w:bookmarkStart w:id="27"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27"/>
    <w:bookmarkEnd w:id="28"/>
    <w:bookmarkStart w:id="54" w:name="pipeline-empat-tahap-ida-ptw"/>
    <w:p>
      <w:pPr>
        <w:pStyle w:val="Heading1"/>
      </w:pPr>
      <w:r>
        <w:t xml:space="preserve">Pipeline Empat-Tahap IDA-PTW</w:t>
      </w:r>
    </w:p>
    <w:bookmarkStart w:id="32"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32"/>
    <w:bookmarkStart w:id="39" w:name="Xd8c1a6c9692db61b0b66221860269c1ed45c58d"/>
    <w:p>
      <w:pPr>
        <w:pStyle w:val="Heading2"/>
      </w:pPr>
      <w:r>
        <w:t xml:space="preserve">Stage 0: Ultra-Rapid P-wave Discriminator (URPD)</w:t>
      </w:r>
    </w:p>
    <w:bookmarkStart w:id="33"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36"/>
    <w:bookmarkStart w:id="37"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37"/>
    <w:bookmarkStart w:id="38"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38"/>
    <w:bookmarkEnd w:id="39"/>
    <w:bookmarkStart w:id="43" w:name="stage-1-gate-intensitas-xgboost"/>
    <w:p>
      <w:pPr>
        <w:pStyle w:val="Heading2"/>
      </w:pPr>
      <w:r>
        <w:t xml:space="preserve">Stage 1: Gate Intensitas XGBoost</w:t>
      </w:r>
    </w:p>
    <w:bookmarkStart w:id="40"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42"/>
    <w:bookmarkEnd w:id="43"/>
    <w:bookmarkStart w:id="44"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44"/>
    <w:bookmarkStart w:id="51" w:name="X1a97f40ffd4e503e2011791f8fced9e714ca880"/>
    <w:p>
      <w:pPr>
        <w:pStyle w:val="Heading2"/>
      </w:pPr>
      <w:r>
        <w:t xml:space="preserve">Stage 2: Ensemble Regressor Spektral PTW Adaptif</w:t>
      </w:r>
    </w:p>
    <w:bookmarkStart w:id="45"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45"/>
    <w:bookmarkStart w:id="46"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50"/>
    <w:bookmarkEnd w:id="51"/>
    <w:bookmarkStart w:id="52"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53"/>
    <w:bookmarkEnd w:id="54"/>
    <w:bookmarkStart w:id="84" w:name="hasil-eksperimen"/>
    <w:p>
      <w:pPr>
        <w:pStyle w:val="Heading1"/>
      </w:pPr>
      <w:r>
        <w:t xml:space="preserve">Hasil Eksperimen</w:t>
      </w:r>
    </w:p>
    <w:bookmarkStart w:id="63"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64"/>
    <w:bookmarkStart w:id="68"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68"/>
    <w:bookmarkStart w:id="69"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79"/>
    <w:bookmarkStart w:id="80"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80"/>
    <w:bookmarkStart w:id="81"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81"/>
    <w:bookmarkEnd w:id="82"/>
    <w:bookmarkStart w:id="83"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pembahasan"/>
    <w:p>
      <w:pPr>
        <w:pStyle w:val="Heading1"/>
      </w:pPr>
      <w:r>
        <w:t xml:space="preserve">Pembahasan</w:t>
      </w:r>
    </w:p>
    <w:bookmarkStart w:id="85"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85"/>
    <w:bookmarkStart w:id="89"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93"/>
    <w:bookmarkStart w:id="94"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94"/>
    <w:bookmarkEnd w:id="95"/>
    <w:bookmarkStart w:id="96"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98"/>
    <w:bookmarkStart w:id="100"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99"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2026-05-18T22:27:55Z</dcterms:created>
  <dcterms:modified xsi:type="dcterms:W3CDTF">2026-05-18T22:27:55Z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