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6.png" ContentType="image/png"/>
  <Override PartName="/word/media/rId47.png" ContentType="image/png"/>
  <Override PartName="/word/media/rId65.png" ContentType="image/png"/>
  <Override PartName="/word/media/rId59.png" ContentType="image/png"/>
  <Override PartName="/word/media/rId10.png" ContentType="image/png"/>
  <Override PartName="/word/media/rId73.png" ContentType="image/png"/>
  <Override PartName="/word/media/rId70.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0.862</m:t>
        </m:r>
      </m:oMath>
      <w:r>
        <w:t xml:space="preserve"> </w:t>
      </w:r>
      <w:r>
        <w:t xml:space="preserve">(</w:t>
      </w:r>
      <m:oMath>
        <m:r>
          <m:t>τ</m:t>
        </m:r>
        <m:r>
          <m:rPr>
            <m:sty m:val="p"/>
          </m:rPr>
          <m:t>=</m:t>
        </m:r>
        <m:r>
          <m:t>0.515</m:t>
        </m:r>
      </m:oMath>
      <w:r>
        <w:t xml:space="preserve">,</w:t>
      </w:r>
      <w:r>
        <w:t xml:space="preserve"> </w:t>
      </w:r>
      <m:oMath>
        <m:r>
          <m:t>ϕ</m:t>
        </m:r>
        <m:r>
          <m:rPr>
            <m:sty m:val="p"/>
          </m:rPr>
          <m:t>=</m:t>
        </m:r>
        <m:r>
          <m:t>0.691</m:t>
        </m:r>
      </m:oMath>
      <w:r>
        <w:t xml:space="preserve">) at the</w:t>
      </w:r>
      <w:r>
        <w:t xml:space="preserve"> </w:t>
      </w:r>
      <w:r>
        <w:t xml:space="preserve">critical structural period</w:t>
      </w:r>
      <w:r>
        <w:t xml:space="preserve"> </w:t>
      </w:r>
      <m:oMath>
        <m:r>
          <m:t>T</m:t>
        </m:r>
        <m:r>
          <m:rPr>
            <m:sty m:val="p"/>
          </m:rPr>
          <m:t>=</m:t>
        </m:r>
        <m:r>
          <m:t>1.0</m:t>
        </m:r>
      </m:oMath>
      <w:r>
        <w:t xml:space="preserve"> s, with a mean</w:t>
      </w:r>
      <w:r>
        <w:t xml:space="preserve"> </w:t>
      </w:r>
      <m:oMath>
        <m:sSub>
          <m:e>
            <m:r>
              <m:t>σ</m:t>
            </m:r>
          </m:e>
          <m:sub>
            <m:r>
              <m:rPr>
                <m:sty m:val="p"/>
              </m:rPr>
              <m:t>t</m:t>
            </m:r>
            <m:r>
              <m:rPr>
                <m:sty m:val="p"/>
              </m:rPr>
              <m:t>o</m:t>
            </m:r>
            <m:r>
              <m:rPr>
                <m:sty m:val="p"/>
              </m:rPr>
              <m:t>t</m:t>
            </m:r>
          </m:sub>
        </m:sSub>
        <m:r>
          <m:rPr>
            <m:sty m:val="p"/>
          </m:rPr>
          <m:t>=</m:t>
        </m:r>
        <m:r>
          <m:t>0.755</m:t>
        </m:r>
      </m:oMath>
      <w:r>
        <w:t xml:space="preserve"> </w:t>
      </w:r>
      <w:r>
        <w:t xml:space="preserve">across all 103 spectral periods; intra-</w:t>
      </w:r>
      <w:r>
        <w:t xml:space="preserve"> </w:t>
      </w:r>
      <w:r>
        <w:t xml:space="preserve">event (site-path) variability accounts for 62.8% of total variance.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9" w:name="introduction"/>
    <w:p>
      <w:pPr>
        <w:pStyle w:val="Heading1"/>
      </w:pPr>
      <w:r>
        <w:t xml:space="preserve">Introduction</w:t>
      </w:r>
    </w:p>
    <w:p>
      <w:pPr>
        <w:pStyle w:val="FirstParagraph"/>
      </w:pPr>
      <w:r>
        <w:t xml:space="preserve">The Indonesian archipelago sits at the intersection of four major tectonic plates, with the Sunda Arc extending 5,500 km from Sumatra to Bali along the Java trench at a convergence rate of 50–67 mm/yr </w:t>
      </w:r>
      <w:r>
        <w:t xml:space="preserve">. Indonesia averages approximately eighteen</w:t>
      </w:r>
      <w:r>
        <w:t xml:space="preserve"> </w:t>
      </w:r>
      <m:oMath>
        <m:r>
          <m:t>M</m:t>
        </m:r>
        <m:r>
          <m:rPr>
            <m:sty m:val="p"/>
          </m:rPr>
          <m:t>≥</m:t>
        </m:r>
        <m:r>
          <m:t>7.0</m:t>
        </m:r>
      </m:oMath>
      <w:r>
        <w:t xml:space="preserve"> </w:t>
      </w:r>
      <w:r>
        <w:t xml:space="preserve">events per decade and has experienced five great events (</w:t>
      </w:r>
      <m:oMath>
        <m:r>
          <m:t>M</m:t>
        </m:r>
        <m:r>
          <m:rPr>
            <m:sty m:val="p"/>
          </m:rPr>
          <m:t>≥</m:t>
        </m:r>
        <m:r>
          <m:t>8.0</m:t>
        </m:r>
      </m:oMath>
      <w:r>
        <w:t xml:space="preserve">) in the past two decades </w:t>
      </w:r>
      <w:r>
        <w:t xml:space="preserve">. The 2004 Sumatra-Andaman earthquake (</w:t>
      </w:r>
      <m:oMath>
        <m:sSub>
          <m:e>
            <m:r>
              <m:t>M</m:t>
            </m:r>
          </m:e>
          <m:sub>
            <m:r>
              <m:t>w</m:t>
            </m:r>
          </m:sub>
        </m:sSub>
      </m:oMath>
      <w:r>
        <w:t xml:space="preserve"> 9.1, with more than 227</w:t>
      </w:r>
      <w:r>
        <w:t xml:space="preserve">,</w:t>
      </w:r>
      <w:r>
        <w:t xml:space="preserve">000 deaths) </w:t>
      </w:r>
      <w:r>
        <w:t xml:space="preserve">, which reactivated the Sunda segment whose recurrence had previously been documented through paleoseismology of Sumatran coral microatolls of the 1797 and 1833 earthquakes </w:t>
      </w:r>
      <w:r>
        <w:t xml:space="preserve"> </w:t>
      </w:r>
      <w:r>
        <w:t xml:space="preserve">and is comprehensively summarised in the national BMKG tsunami catalogue </w:t>
      </w:r>
      <w:r>
        <w:t xml:space="preserve">, the 2018 Palu event (</w:t>
      </w:r>
      <m:oMath>
        <m:sSub>
          <m:e>
            <m:r>
              <m:t>M</m:t>
            </m:r>
          </m:e>
          <m:sub>
            <m:r>
              <m:t>w</m:t>
            </m:r>
          </m:sub>
        </m:sSub>
      </m:oMath>
      <w:r>
        <w:t xml:space="preserve"> 7.5, accompanied by compound seismic–landslide–tsunami hazards) </w:t>
      </w:r>
      <w:r>
        <w:t xml:space="preserve">, and recent moderate-magnitude events such as Cianjur 2022 (</w:t>
      </w:r>
      <m:oMath>
        <m:sSub>
          <m:e>
            <m:r>
              <m:t>M</m:t>
            </m:r>
          </m:e>
          <m:sub>
            <m:r>
              <m:t>w</m:t>
            </m:r>
          </m:sub>
        </m:sSub>
      </m:oMath>
      <w:r>
        <w:t xml:space="preserve"> 5.6) and Sumedang 2024 (</w:t>
      </w:r>
      <m:oMath>
        <m:sSub>
          <m:e>
            <m:r>
              <m:t>M</m:t>
            </m:r>
          </m:e>
          <m:sub>
            <m:r>
              <m:t>w</m:t>
            </m:r>
          </m:sub>
        </m:sSub>
      </m:oMath>
      <w:r>
        <w:t xml:space="preserve"> 5.7) all demonstrate disproportionate urban lethality despite engineering-survivable ground motions </w:t>
      </w:r>
      <w:r>
        <w:t xml:space="preserve">. The Sunda Trench remains a primary source zone for Indian Ocean tsunamigenic earthquakes </w:t>
      </w:r>
      <w:r>
        <w:t xml:space="preserve">, with 105 tsunami events recorded across the West Sunda, Banda, and Molucca zones during the 1600–1999 period </w:t>
      </w:r>
      <w:r>
        <w:t xml:space="preserve">, and the operational interaction between rapid spectral characterisation and downstream tsunami warning has long motivated regional preparedness frameworks. Together, these realities motivate sustained investment in operational earthquake early warning capability for InaTEWS </w:t>
      </w:r>
      <w:r>
        <w:t xml:space="preserve">, the Indonesian national early warning system operated by the Agency for Meteorology, Climatology and Geophysics (BMKG).</w:t>
      </w:r>
    </w:p>
    <w:p>
      <w:pPr>
        <w:pStyle w:val="BodyText"/>
      </w:pPr>
      <w:r>
        <w:t xml:space="preserve">First-generation earthquake early warning systems—JMA in Japan </w:t>
      </w:r>
      <w:r>
        <w:t xml:space="preserve">, P-alert in Taiwan </w:t>
      </w:r>
      <w:r>
        <w:t xml:space="preserve">, SASMEX in Mexico </w:t>
      </w:r>
      <w:r>
        <w:t xml:space="preserve">, and ShakeAlert in the United States </w:t>
      </w:r>
      <w:r>
        <w:t xml:space="preserve">—typically communicated either binary alerts or scalar magnitude. Modern engineering practice, however, has shifted demand toward</w:t>
      </w:r>
      <w:r>
        <w:t xml:space="preserve"> </w:t>
      </w:r>
      <w:r>
        <w:rPr>
          <w:i/>
          <w:iCs/>
        </w:rPr>
        <w:t xml:space="preserve">structural demand forecasting</w:t>
      </w:r>
      <w:r>
        <w:t xml:space="preserve">: SNI 1726:2019 </w:t>
      </w:r>
      <w:r>
        <w:t xml:space="preserve"> </w:t>
      </w:r>
      <w:r>
        <w:t xml:space="preserve">and ASCE/SEI 7-16 </w:t>
      </w:r>
      <w:r>
        <w:t xml:space="preserve"> </w:t>
      </w:r>
      <w:r>
        <w:t xml:space="preserve">both require 5%-damped spectral acceleration</w:t>
      </w:r>
      <w:r>
        <w:t xml:space="preserve"> </w:t>
      </w:r>
      <m:oMath>
        <m:r>
          <m:t>S</m:t>
        </m:r>
        <m:r>
          <m:t>a</m:t>
        </m:r>
        <m:r>
          <m:rPr>
            <m:sty m:val="p"/>
          </m:rPr>
          <m:t>(</m:t>
        </m:r>
        <m:r>
          <m:t>T</m:t>
        </m:r>
        <m:r>
          <m:rPr>
            <m:sty m:val="p"/>
          </m:rPr>
          <m:t>)</m:t>
        </m:r>
      </m:oMath>
      <w:r>
        <w:t xml:space="preserve"> </w:t>
      </w:r>
      <w:r>
        <w:t xml:space="preserve">at the structure period, not peak ground acceleration alone.</w:t>
      </w:r>
      <w:r>
        <w:t xml:space="preserve"> </w:t>
      </w:r>
      <w:r>
        <w:t xml:space="preserve"> </w:t>
      </w:r>
      <w:r>
        <w:t xml:space="preserve">established that the initial P-wave coda enables on-site spectral prediction </w:t>
      </w:r>
      <w:r>
        <w:t xml:space="preserve">, distinct from network-based source localization, and this insight underpins the present work. Yet even these on-site formulations face two persistent constraints. First,</w:t>
      </w:r>
      <w:r>
        <w:t xml:space="preserve"> </w:t>
      </w:r>
      <w:r>
        <w:t xml:space="preserve"> </w:t>
      </w:r>
      <w:r>
        <w:t xml:space="preserve">document a</w:t>
      </w:r>
      <w:r>
        <w:t xml:space="preserve"> </w:t>
      </w:r>
      <w:r>
        <w:rPr>
          <w:i/>
          <w:iCs/>
        </w:rPr>
        <w:t xml:space="preserve">near-field blind zone</w:t>
      </w:r>
      <w:r>
        <w:t xml:space="preserve"> </w:t>
      </w:r>
      <w:r>
        <w:t xml:space="preserve">of approximately 38 km as the primary unresolved limitation, and</w:t>
      </w:r>
      <w:r>
        <w:t xml:space="preserve"> </w:t>
      </w:r>
      <w:r>
        <w:t xml:space="preserve"> </w:t>
      </w:r>
      <w:r>
        <w:t xml:space="preserve">establish that rupture physics, not engineering ingenuity, controls minimum warning time—making sub-second discrimination the only viable strategy for near-field protection; the recent JET review by </w:t>
      </w:r>
      <w:r>
        <w:t xml:space="preserve"> </w:t>
      </w:r>
      <w:r>
        <w:t xml:space="preserve">confirms adaptive P-wave time window (PTW) selection as the state-of-the-art direction for subduction zones, and Stage 0 of the framework presented here addresses this constraint by issuing binary high-intensity flags within 0.5 s of P-detection (Section 4.2). Second, the classical EEWS parameters</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saturate for</w:t>
      </w:r>
      <w:r>
        <w:t xml:space="preserve"> </w:t>
      </w:r>
      <m:oMath>
        <m:sSub>
          <m:e>
            <m:r>
              <m:t>M</m:t>
            </m:r>
          </m:e>
          <m:sub>
            <m:r>
              <m:t>w</m:t>
            </m:r>
          </m:sub>
        </m:sSub>
        <m:r>
          <m:rPr>
            <m:sty m:val="p"/>
          </m:rPr>
          <m:t>&gt;</m:t>
        </m:r>
        <m:r>
          <m:t>6.5</m:t>
        </m:r>
      </m:oMath>
      <w:r>
        <w:t xml:space="preserve"> </w:t>
      </w:r>
      <w:r>
        <w:t xml:space="preserve">ruptures </w:t>
      </w:r>
      <w:r>
        <w:t xml:space="preserve">: fixed P-wave windows of 2–3 s cannot distinguish</w:t>
      </w:r>
      <w:r>
        <w:t xml:space="preserve"> </w:t>
      </w:r>
      <m:oMath>
        <m:sSub>
          <m:e>
            <m:r>
              <m:t>M</m:t>
            </m:r>
          </m:e>
          <m:sub>
            <m:r>
              <m:t>w</m:t>
            </m:r>
          </m:sub>
        </m:sSub>
      </m:oMath>
      <w:r>
        <w:t xml:space="preserve"> 7.0 from</w:t>
      </w:r>
      <w:r>
        <w:t xml:space="preserve"> </w:t>
      </w:r>
      <m:oMath>
        <m:sSub>
          <m:e>
            <m:r>
              <m:t>M</m:t>
            </m:r>
          </m:e>
          <m:sub>
            <m:r>
              <m:t>w</m:t>
            </m:r>
          </m:sub>
        </m:sSub>
      </m:oMath>
      <w:r>
        <w:t xml:space="preserve"> 8.0 events, yielding nearly identical</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values but vastly different ground motions. The present framework addresses saturation through both adaptive PTW selection on</w:t>
      </w:r>
      <w:r>
        <w:t xml:space="preserve"> </w:t>
      </w:r>
      <m:oMath>
        <m:r>
          <m:rPr>
            <m:sty m:val="p"/>
          </m:rPr>
          <m:t>{</m:t>
        </m:r>
        <m:r>
          <m:t>3</m:t>
        </m:r>
        <m:r>
          <m:rPr>
            <m:sty m:val="p"/>
          </m:rPr>
          <m:t>,</m:t>
        </m:r>
        <m:r>
          <m:t>5</m:t>
        </m:r>
        <m:r>
          <m:rPr>
            <m:sty m:val="p"/>
          </m:rPr>
          <m:t>,</m:t>
        </m:r>
        <m:r>
          <m:t>8</m:t>
        </m:r>
        <m:r>
          <m:rPr>
            <m:sty m:val="p"/>
          </m:rPr>
          <m:t>}</m:t>
        </m:r>
      </m:oMath>
      <w:r>
        <w:t xml:space="preserve"> s windows scheduled by intensity class and class-conditional Stage 2 regressors trained on non-saturating cumulative features such as CAV, Arias intensity, and IV</w:t>
      </w:r>
      <m:oMath>
        <m:sSup>
          <m:e>
            <m:r>
              <m:t>​</m:t>
            </m:r>
          </m:e>
          <m:sup>
            <m:r>
              <m:t>2</m:t>
            </m:r>
          </m:sup>
        </m:sSup>
      </m:oMath>
      <w:r>
        <w:t xml:space="preserve">.</w:t>
      </w:r>
    </w:p>
    <w:p>
      <w:pPr>
        <w:pStyle w:val="BodyText"/>
      </w:pPr>
      <w:r>
        <w:t xml:space="preserve">Recent advances in machine learning have begun to target spectral prediction directly.</w:t>
      </w:r>
      <w:r>
        <w:t xml:space="preserve"> </w:t>
      </w:r>
      <w:r>
        <w:t xml:space="preserve"> </w:t>
      </w:r>
      <w:r>
        <w:t xml:space="preserve">compared artificial neural networks, random forests, and support vector machines for ground motion estimation and reported that ensemble methods outperform conventional ground motion prediction equations (GMPEs); gradient-boosting algorithms in particular—XGBoost and LightGBM—consistently lead on structured seismic tabular data. JET applications by</w:t>
      </w:r>
      <w:r>
        <w:t xml:space="preserve"> </w:t>
      </w:r>
      <w:r>
        <w:t xml:space="preserve"> </w:t>
      </w:r>
      <w:r>
        <w:t xml:space="preserve">confirm the superiority of gradient boosting for P-wave magnitude estimation, while</w:t>
      </w:r>
      <w:r>
        <w:t xml:space="preserve"> </w:t>
      </w:r>
      <w:r>
        <w:t xml:space="preserve"> </w:t>
      </w:r>
      <w:r>
        <w:t xml:space="preserve">demonstrate that quasi-real-time source-parameter inversion benefits from ML-augmented inversion kernels in subduction settings, and</w:t>
      </w:r>
      <w:r>
        <w:t xml:space="preserve"> </w:t>
      </w:r>
      <w:r>
        <w:t xml:space="preserve"> </w:t>
      </w:r>
      <w:r>
        <w:t xml:space="preserve">show that random-forest ensembles produce reliable surrogates for probabilistic hazard products along the Sunda Arc, supporting the broader case for ensemble methods in regional EEWS pipelines. Hybrid physics–ML approaches match deep networks on smaller datasets, which motivates the hybrid feature design pursued here, with explicit Feature Dichotomy and a class-conditional architecture. Within the Indonesian context, our prior conference paper </w:t>
      </w:r>
      <w:r>
        <w:t xml:space="preserve"> </w:t>
      </w:r>
      <w:r>
        <w:t xml:space="preserve">(BTS-I2C 2024) established that the Generalized Phase Detection (GPD) deep-learning model achieves 0.02 s P-onset timing on IA-BMKG accelerograph data, providing the upstream picker for the present pipeline; complementary JET-published Indonesian work </w:t>
      </w:r>
      <w:r>
        <w:t xml:space="preserve"> </w:t>
      </w:r>
      <w:r>
        <w:t xml:space="preserve">establishes the local InaTEWS context, and</w:t>
      </w:r>
      <w:r>
        <w:t xml:space="preserve"> </w:t>
      </w:r>
      <w:r>
        <w:t xml:space="preserve"> </w:t>
      </w:r>
      <w:r>
        <w:t xml:space="preserve">highlights the urgent need for resilience-enhancing systems. Despite this body of work, no prior study has proposed a complete, autonomously deployable, engineering-mode spectral prediction pipeline for the Indonesian InaTEWS environment that simultaneously addresses near-field blind-zone reduction, intensity-driven adaptive windowing, and catalog-independent operation.</w:t>
      </w:r>
    </w:p>
    <w:p>
      <w:pPr>
        <w:pStyle w:val="BodyText"/>
      </w:pPr>
      <w:r>
        <w:t xml:space="preserve">Despite progress in EEWS algorithms </w:t>
      </w:r>
      <w:r>
        <w:t xml:space="preserve">, three gaps persist for tropical subduction operational deployment: (i) saturation-awareness for</w:t>
      </w:r>
      <w:r>
        <w:t xml:space="preserve"> </w:t>
      </w:r>
      <m:oMath>
        <m:sSub>
          <m:e>
            <m:r>
              <m:t>M</m:t>
            </m:r>
          </m:e>
          <m:sub>
            <m:r>
              <m:t>w</m:t>
            </m:r>
          </m:sub>
        </m:sSub>
        <m:r>
          <m:rPr>
            <m:sty m:val="p"/>
          </m:rPr>
          <m:t>&gt;</m:t>
        </m:r>
        <m:r>
          <m:t>6.5</m:t>
        </m:r>
      </m:oMath>
      <w:r>
        <w:t xml:space="preserve"> </w:t>
      </w:r>
      <w:r>
        <w:t xml:space="preserve">events; (ii) catalog-independent operation that removes the dependency on magnitude estimation; and (iii) full 103-period</w:t>
      </w:r>
      <w:r>
        <w:t xml:space="preserve"> </w:t>
      </w:r>
      <m:oMath>
        <m:r>
          <m:t>S</m:t>
        </m:r>
        <m:r>
          <m:t>a</m:t>
        </m:r>
        <m:r>
          <m:rPr>
            <m:sty m:val="p"/>
          </m:rPr>
          <m:t>(</m:t>
        </m:r>
        <m:r>
          <m:t>T</m:t>
        </m:r>
        <m:r>
          <m:rPr>
            <m:sty m:val="p"/>
          </m:rPr>
          <m:t>)</m:t>
        </m:r>
      </m:oMath>
      <w:r>
        <w:t xml:space="preserve"> </w:t>
      </w:r>
      <w:r>
        <w:t xml:space="preserve">prediction in real time. The IDA-PTW framework introduced in this paper addresses all three gaps and contributes the following: an adaptive PTW</w:t>
      </w:r>
      <w:r>
        <w:t xml:space="preserve"> </w:t>
      </w:r>
      <m:oMath>
        <m:r>
          <m:rPr>
            <m:sty m:val="p"/>
          </m:rPr>
          <m:t>{</m:t>
        </m:r>
        <m:r>
          <m:t>3</m:t>
        </m:r>
        <m:r>
          <m:rPr>
            <m:sty m:val="p"/>
          </m:rPr>
          <m:t>,</m:t>
        </m:r>
        <m:r>
          <m:t>5</m:t>
        </m:r>
        <m:r>
          <m:rPr>
            <m:sty m:val="p"/>
          </m:rPr>
          <m:t>,</m:t>
        </m:r>
        <m:r>
          <m:t>8</m:t>
        </m:r>
        <m:r>
          <m:rPr>
            <m:sty m:val="p"/>
          </m:rPr>
          <m:t>}</m:t>
        </m:r>
      </m:oMath>
      <w:r>
        <w:t xml:space="preserve"> s scheduling scheme conditioned on intensity class, a hybrid feature dictionary of 90 orthogonal features organised in four families with VIF below 10, a Bayesian-correct posterior marginalisation in the class-conditional regressor, a triple validation framework combining a GMPE baseline, temporal sensitivity, and the Al Atik (2010) sigma decomposition, and an honest negative result documenting the failure of single-station distance regression at Stage 1.5.</w:t>
      </w:r>
    </w:p>
    <w:bookmarkEnd w:id="9"/>
    <w:bookmarkStart w:id="22" w:name="Xfb96844d36964ff24409868be7593ad6881871a"/>
    <w:p>
      <w:pPr>
        <w:pStyle w:val="Heading1"/>
      </w:pPr>
      <w:r>
        <w:t xml:space="preserve">Seismotectonic Context and Problem Formulation</w:t>
      </w:r>
    </w:p>
    <w:bookmarkStart w:id="13" w:name="X952da1d6a8a05f2af911eb4930b0e6a2dcbc466"/>
    <w:p>
      <w:pPr>
        <w:pStyle w:val="Heading2"/>
      </w:pPr>
      <w:r>
        <w:t xml:space="preserve">The Java-Sunda Megathrust: Structural and Seismicity Context</w:t>
      </w:r>
    </w:p>
    <w:p>
      <w:pPr>
        <w:pStyle w:val="FirstParagraph"/>
      </w:pPr>
      <w:r>
        <w:t xml:space="preserve">The geodynamics of the Indonesian region involve the interaction of four major plates partitioned into numerous microplates</w:t>
      </w:r>
      <w:r>
        <w:t xml:space="preserve"> </w:t>
      </w:r>
      <w:r>
        <w:t xml:space="preserve">. The Java subduction segment is characterised by oblique convergence between the Indo-Australian and Sunda plates, with the subducting slab descending at approximately 35–45° dip to depths exceeding 500 km</w:t>
      </w:r>
      <w:r>
        <w:t xml:space="preserve"> </w:t>
      </w:r>
      <w:r>
        <w:t xml:space="preserve">. This steep subduction geometry generates a characteristic seismicity distribution: shallow interplate thrusts in the megathrust zone (0–50 km depth), intermediate intraslab seismicity (50–300 km), and deep focus events that can produce significant ground motion at far-field sites despite their depth.</w:t>
      </w:r>
    </w:p>
    <w:p>
      <w:pPr>
        <w:pStyle w:val="BodyText"/>
      </w:pPr>
      <w:r>
        <w:t xml:space="preserve">The along-strike variation in coupling coefficient—from essentially uncoupled in the eastern Java segment to moderately coupled in the western Java and Sumatra segments—produces spatial heterogeneity in seismic hazard.</w:t>
      </w:r>
      <w:r>
        <w:t xml:space="preserve"> </w:t>
      </w:r>
      <w:r>
        <w:t xml:space="preserve"> </w:t>
      </w:r>
      <w:r>
        <w:t xml:space="preserve">observed that inland-pointing trench-perpendicular residual GPS velocities in Sumatra and Malaysia were systematically underestimated in pre-2004 models, indicating accumulation of elastic strain that was subsequently released in the 2004 Sumatra-Andaman event. The same source zone underpins the Indian Ocean Tsunami Warning System architecture reviewed by</w:t>
      </w:r>
      <w:r>
        <w:t xml:space="preserve"> </w:t>
      </w:r>
      <w:r>
        <w:t xml:space="preserve">, who emphasise that the Sunda Trench segment requires dense seismic and geodetic instrumentation for credible early-warning performance. Analogous patterns in the Java segment motivate InaTEWS preparedness for potential segment-rupturing events.</w:t>
      </w:r>
    </w:p>
    <w:p>
      <w:pPr>
        <w:pStyle w:val="BodyText"/>
      </w:pPr>
      <w:r>
        <w:t xml:space="preserve">The local site geology is a primary EEWS design constraint. The Java basin contains deep Quaternary volcanic deposits and thick alluvial sequences in coastal plains (Jakarta, Surabaya), creating strong site amplification at periods of 0.3–1.5 s that is poorly captured by topographic-proxy</w:t>
      </w:r>
      <w:r>
        <w:t xml:space="preserve"> </w:t>
      </w:r>
      <m:oMath>
        <m:sSub>
          <m:e>
            <m:r>
              <m:t>V</m:t>
            </m:r>
          </m:e>
          <m:sub>
            <m:r>
              <m:t>S</m:t>
            </m:r>
            <m:r>
              <m:t>30</m:t>
            </m:r>
          </m:sub>
        </m:sSub>
      </m:oMath>
      <w:r>
        <w:t xml:space="preserve"> </w:t>
      </w:r>
      <w:r>
        <w:t xml:space="preserve">estimates. Douglas and</w:t>
      </w:r>
      <w:r>
        <w:t xml:space="preserve"> </w:t>
      </w:r>
      <w:r>
        <w:t xml:space="preserve"> </w:t>
      </w:r>
      <w:r>
        <w:t xml:space="preserve">review the critical role of site characterisation in GMPE development, noting that</w:t>
      </w:r>
      <w:r>
        <w:t xml:space="preserve"> </w:t>
      </w:r>
      <m:oMath>
        <m:sSub>
          <m:e>
            <m:r>
              <m:t>V</m:t>
            </m:r>
          </m:e>
          <m:sub>
            <m:r>
              <m:t>S</m:t>
            </m:r>
            <m:r>
              <m:t>30</m:t>
            </m:r>
          </m:sub>
        </m:sSub>
      </m:oMath>
      <w:r>
        <w:t xml:space="preserve">-based site terms introduce substantial residual variability even in well-instrumented networks. In the Indonesian context, where measured</w:t>
      </w:r>
      <w:r>
        <w:t xml:space="preserve"> </w:t>
      </w:r>
      <m:oMath>
        <m:sSub>
          <m:e>
            <m:r>
              <m:t>V</m:t>
            </m:r>
          </m:e>
          <m:sub>
            <m:r>
              <m:t>S</m:t>
            </m:r>
            <m:r>
              <m:t>30</m:t>
            </m:r>
          </m:sub>
        </m:sSub>
      </m:oMath>
      <w:r>
        <w:t xml:space="preserve"> </w:t>
      </w:r>
      <w:r>
        <w:t xml:space="preserve">is available for fewer than 20% of IA-BMKG stations, this uncertainty directly translates to the elevated</w:t>
      </w:r>
      <w:r>
        <w:t xml:space="preserve"> </w:t>
      </w:r>
      <m:oMath>
        <m:r>
          <m:t>ϕ</m:t>
        </m:r>
      </m:oMath>
      <w:r>
        <w:t xml:space="preserve"> </w:t>
      </w:r>
      <w:r>
        <w:t xml:space="preserve">observed in our sigma decomposition.</w:t>
      </w:r>
    </w:p>
    <w:p>
      <w:pPr>
        <w:pStyle w:val="CaptionedFigure"/>
      </w:pPr>
      <w:r>
        <w:drawing>
          <wp:inline>
            <wp:extent cx="5067300" cy="3133084"/>
            <wp:effectExtent b="0" l="0" r="0" t="0"/>
            <wp:docPr descr="" title="" id="11" name="Picture"/>
            <a:graphic>
              <a:graphicData uri="http://schemas.openxmlformats.org/drawingml/2006/picture">
                <pic:pic>
                  <pic:nvPicPr>
                    <pic:cNvPr descr="figures/seismicity_map.png" id="12" name="Picture"/>
                    <pic:cNvPicPr>
                      <a:picLocks noChangeArrowheads="1" noChangeAspect="1"/>
                    </pic:cNvPicPr>
                  </pic:nvPicPr>
                  <pic:blipFill>
                    <a:blip r:embed="rId10"/>
                    <a:stretch>
                      <a:fillRect/>
                    </a:stretch>
                  </pic:blipFill>
                  <pic:spPr bwMode="auto">
                    <a:xfrm>
                      <a:off x="0" y="0"/>
                      <a:ext cx="5067300" cy="3133084"/>
                    </a:xfrm>
                    <a:prstGeom prst="rect">
                      <a:avLst/>
                    </a:prstGeom>
                    <a:noFill/>
                    <a:ln w="9525">
                      <a:noFill/>
                      <a:headEnd/>
                      <a:tailEnd/>
                    </a:ln>
                  </pic:spPr>
                </pic:pic>
              </a:graphicData>
            </a:graphic>
          </wp:inline>
        </w:drawing>
      </w:r>
    </w:p>
    <w:p>
      <w:pPr>
        <w:pStyle w:val="ImageCaption"/>
      </w:pPr>
      <w:r>
        <w:t xml:space="preserve">Spatial distribution of the 338 seismic events (red circles, scaled by magnitude) and 151 IA-BMKG accelerograph stations (black triangles) across the Java-Sunda trench used in this study. The dataset spans</w:t>
      </w:r>
      <w:r>
        <w:t xml:space="preserve"> </w:t>
      </w:r>
      <m:oMath>
        <m:sSub>
          <m:e>
            <m:r>
              <m:t>M</m:t>
            </m:r>
          </m:e>
          <m:sub>
            <m:r>
              <m:t>w</m:t>
            </m:r>
          </m:sub>
        </m:sSub>
      </m:oMath>
      <w:r>
        <w:t xml:space="preserve"> </w:t>
      </w:r>
      <w:r>
        <w:t xml:space="preserve">1.7–6.2 with epicentral distances of 0.7–299.9 km (median 122 km) over the Nov 2022 – Mar 2026 period.</w:t>
      </w:r>
    </w:p>
    <w:bookmarkEnd w:id="13"/>
    <w:bookmarkStart w:id="16" w:name="X7d5abc43e8862ed013be40dbf50f80b4325873d"/>
    <w:p>
      <w:pPr>
        <w:pStyle w:val="Heading2"/>
      </w:pPr>
      <w:r>
        <w:t xml:space="preserve">InaTEWS Network Architecture and Operational Constraints</w:t>
      </w:r>
    </w:p>
    <w:p>
      <w:pPr>
        <w:pStyle w:val="FirstParagraph"/>
      </w:pPr>
      <w:r>
        <w:t xml:space="preserve">Indonesia’s national EEWS, InaTEWS, operated by BMKG, integrates seismic and non-seismic sensors</w:t>
      </w:r>
      <w:r>
        <w:t xml:space="preserve"> </w:t>
      </w:r>
      <w:r>
        <w:t xml:space="preserve">. The IA-BMKG strong-motion accelerograph network provides the primary data source for this study: 151 HN</w:t>
      </w:r>
      <w:r>
        <w:rPr>
          <w:i/>
          <w:iCs/>
        </w:rPr>
        <w:t xml:space="preserve">/HL</w:t>
      </w:r>
      <w:r>
        <w:t xml:space="preserve"> </w:t>
      </w:r>
      <w:r>
        <w:t xml:space="preserve">horizontal-component accelerographs with digital recording at 100–200 samples/s. Station distribution follows population density, providing dense coverage of Java and Sumatra but sparse coverage of eastern Indonesia.</w:t>
      </w:r>
    </w:p>
    <w:bookmarkStart w:id="14" w:name="latency-budget."/>
    <w:p>
      <w:pPr>
        <w:pStyle w:val="Heading4"/>
      </w:pPr>
      <w:r>
        <w:t xml:space="preserve">Latency budget.</w:t>
      </w:r>
    </w:p>
    <w:p>
      <w:pPr>
        <w:pStyle w:val="FirstParagraph"/>
      </w:pPr>
      <w:r>
        <w:t xml:space="preserve">Alert delivery consists of: (1) P-wave detection: 2–3 s; (2) feature extraction and model inference: 0.1–0.5 s; (3) alert dissemination: 1–2 s. At the dataset’s median epicentral distance of ~109 km, P-S travel time ≈ 14 s, providing approximately 10–11 s of usable observation budget. Our maximum 8-second Stage 2 window, plus the Stage 0/1/1.5 overhead (2.65 s total), yields 10.65 s end-to-end latency—fitting within the golden-time budget for 99.44% of traces.</w:t>
      </w:r>
    </w:p>
    <w:bookmarkEnd w:id="14"/>
    <w:bookmarkStart w:id="15" w:name="p-wave-detection-accuracy."/>
    <w:p>
      <w:pPr>
        <w:pStyle w:val="Heading4"/>
      </w:pPr>
      <w:r>
        <w:t xml:space="preserve">P-wave detection accuracy.</w:t>
      </w:r>
    </w:p>
    <w:p>
      <w:pPr>
        <w:pStyle w:val="FirstParagraph"/>
      </w:pPr>
      <w:r>
        <w:t xml:space="preserve"> </w:t>
      </w:r>
      <w:r>
        <w:t xml:space="preserve">demonstrated that GPD achieves median P-onset errors of 0.02 s on Indonesian IA-BMKG data—the automation baseline used in our P-arrival sensitivity analysis. The</w:t>
      </w:r>
      <w:r>
        <w:t xml:space="preserve"> </w:t>
      </w:r>
      <w:r>
        <w:t xml:space="preserve"> </w:t>
      </w:r>
      <w:r>
        <w:t xml:space="preserve">and PhaseNet achieve 0.09 s and 0.05 s median errors respectively on the same dataset, representing the realistic uncertainty envelope for our Experiment 4.</w:t>
      </w:r>
    </w:p>
    <w:bookmarkEnd w:id="15"/>
    <w:bookmarkEnd w:id="16"/>
    <w:bookmarkStart w:id="21" w:name="formal-problem-formulation"/>
    <w:p>
      <w:pPr>
        <w:pStyle w:val="Heading2"/>
      </w:pPr>
      <w:r>
        <w:t xml:space="preserve">Formal Problem Formulation</w:t>
      </w:r>
    </w:p>
    <w:bookmarkStart w:id="17" w:name="input."/>
    <w:p>
      <w:pPr>
        <w:pStyle w:val="Heading4"/>
      </w:pPr>
      <w:r>
        <w:t xml:space="preserve">Input.</w:t>
      </w:r>
    </w:p>
    <w:p>
      <w:pPr>
        <w:pStyle w:val="FirstParagraph"/>
      </w:pPr>
      <w:r>
        <w:t xml:space="preserve">For a three-component accelerogram at station</w:t>
      </w:r>
      <w:r>
        <w:t xml:space="preserve"> </w:t>
      </w:r>
      <m:oMath>
        <m:r>
          <m:t>s</m:t>
        </m:r>
      </m:oMath>
      <w:r>
        <w:t xml:space="preserve">, P-arrival</w:t>
      </w:r>
      <w:r>
        <w:t xml:space="preserve"> </w:t>
      </w:r>
      <m:oMath>
        <m:sSup>
          <m:e>
            <m:r>
              <m:t>t</m:t>
            </m:r>
          </m:e>
          <m:sup>
            <m:r>
              <m:t>P</m:t>
            </m:r>
          </m:sup>
        </m:sSup>
      </m:oMath>
      <w:r>
        <w:t xml:space="preserve">, epicentral distance</w:t>
      </w:r>
      <w:r>
        <w:t xml:space="preserve"> </w:t>
      </w:r>
      <m:oMath>
        <m:r>
          <m:rPr>
            <m:sty m:val="p"/>
          </m:rPr>
          <m:t>Δ</m:t>
        </m:r>
      </m:oMath>
      <w:r>
        <w:t xml:space="preserve">, hypocentral depth</w:t>
      </w:r>
      <w:r>
        <w:t xml:space="preserve"> </w:t>
      </w:r>
      <m:oMath>
        <m:r>
          <m:t>h</m:t>
        </m:r>
      </m:oMath>
      <w:r>
        <w:t xml:space="preserve">, and proxy</w:t>
      </w:r>
      <w:r>
        <w:t xml:space="preserve"> </w:t>
      </w:r>
      <m:oMath>
        <m:sSub>
          <m:e>
            <m:r>
              <m:t>V</m:t>
            </m:r>
          </m:e>
          <m:sub>
            <m:r>
              <m:t>S</m:t>
            </m:r>
            <m:r>
              <m:t>30</m:t>
            </m:r>
          </m:sub>
        </m:sSub>
      </m:oMath>
      <w:r>
        <w:t xml:space="preserve">, a 42-dimensional feature vector is extracted from adaptive observation window</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17"/>
    <w:bookmarkStart w:id="18" w:name="output."/>
    <w:p>
      <w:pPr>
        <w:pStyle w:val="Heading4"/>
      </w:pPr>
      <w:r>
        <w:t xml:space="preserve">Output.</w:t>
      </w:r>
    </w:p>
    <w:p>
      <w:pPr>
        <w:pStyle w:val="FirstParagraph"/>
      </w:pPr>
      <w:r>
        <w:t xml:space="preserve">The 103-dimensional log-spectral prediction vector:</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18"/>
    <w:bookmarkStart w:id="19" w:name="stage-0-binary-output."/>
    <w:p>
      <w:pPr>
        <w:pStyle w:val="Heading4"/>
      </w:pPr>
      <w:r>
        <w:t xml:space="preserve">Stage 0 binary output.</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issued within 0.5 s of P-detection, where</w:t>
      </w:r>
      <w:r>
        <w:t xml:space="preserve"> </w:t>
      </w:r>
      <m:oMath>
        <m:acc>
          <m:accPr>
            <m:chr m:val="̂"/>
          </m:accPr>
          <m:e>
            <m:r>
              <m:t>z</m:t>
            </m:r>
          </m:e>
        </m:acc>
        <m:r>
          <m:rPr>
            <m:sty m:val="p"/>
          </m:rPr>
          <m:t>=</m:t>
        </m:r>
        <m:r>
          <m:t>1</m:t>
        </m:r>
      </m:oMath>
      <w:r>
        <w:t xml:space="preserve"> </w:t>
      </w:r>
      <w:r>
        <w:t xml:space="preserve">indicates Damaging (training threshold PGA</w:t>
      </w:r>
      <w:r>
        <w:t xml:space="preserve"> </w:t>
      </w:r>
      <m:oMath>
        <m:r>
          <m:rPr>
            <m:sty m:val="p"/>
          </m:rPr>
          <m:t>≥</m:t>
        </m:r>
        <m:r>
          <m:t>0.05</m:t>
        </m:r>
        <m:r>
          <m:t> </m:t>
        </m:r>
        <m:r>
          <m:t>g</m:t>
        </m:r>
        <m:r>
          <m:rPr>
            <m:sty m:val="p"/>
          </m:rPr>
          <m:t>≈</m:t>
        </m:r>
        <m:r>
          <m:t>49</m:t>
        </m:r>
      </m:oMath>
      <w:r>
        <w:t xml:space="preserve"> </w:t>
      </w:r>
      <w:r>
        <w:t xml:space="preserve">gal, located near the MMI V/VI transition of Worden &amp;</w:t>
      </w:r>
      <w:r>
        <w:t xml:space="preserve"> </w:t>
      </w:r>
      <w:r>
        <w:t xml:space="preserve">).</w:t>
      </w:r>
    </w:p>
    <w:bookmarkEnd w:id="19"/>
    <w:bookmarkStart w:id="20" w:name="Xd874169119cf3f8d8242dc34739e8a1796c1c60"/>
    <w:p>
      <w:pPr>
        <w:pStyle w:val="Heading4"/>
      </w:pPr>
      <w:r>
        <w:t xml:space="preserve">Multi-objective optimisation formulation.</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subject to</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(Golden Time Constraint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while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20"/>
    <w:bookmarkEnd w:id="21"/>
    <w:bookmarkEnd w:id="22"/>
    <w:bookmarkStart w:id="28" w:name="dataset-curation-and-feature-engineering"/>
    <w:p>
      <w:pPr>
        <w:pStyle w:val="Heading1"/>
      </w:pPr>
      <w:r>
        <w:t xml:space="preserve">Dataset Curation and Feature Engineering</w:t>
      </w:r>
    </w:p>
    <w:bookmarkStart w:id="24" w:name="waveform-processing-pipeline"/>
    <w:p>
      <w:pPr>
        <w:pStyle w:val="Heading2"/>
      </w:pPr>
      <w:r>
        <w:t xml:space="preserve">Waveform Processing Pipeline</w:t>
      </w:r>
    </w:p>
    <w:p>
      <w:pPr>
        <w:pStyle w:val="FirstParagraph"/>
      </w:pPr>
      <w:r>
        <w:t xml:space="preserve">Raw MiniSEED waveforms were downloaded from the BMKG SDS SeisComP-3 archive of the IA-BMKG accelerograph network, covering accelerograph records from Nov 2022 – Mar 2026. The initial corpus comprised approximately 41</w:t>
      </w:r>
      <w:r>
        <w:t xml:space="preserve">,</w:t>
      </w:r>
      <w:r>
        <w:t xml:space="preserve">278 three-component trace records; the five-stage quality-control filtering pipeline described below (Table 1) reduced this to 25</w:t>
      </w:r>
      <w:r>
        <w:t xml:space="preserve">,</w:t>
      </w:r>
      <w:r>
        <w:t xml:space="preserve">058 high-quality accelerograms retained for downstream training. The processing pipeline follows established conventions for strong-motion data preparation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23" w:name="spectral-target-computation."/>
    <w:p>
      <w:pPr>
        <w:pStyle w:val="Heading4"/>
      </w:pPr>
      <w:r>
        <w:t xml:space="preserve">Spectral target computation.</w:t>
      </w:r>
    </w:p>
    <w:p>
      <w:pPr>
        <w:pStyle w:val="FirstParagraph"/>
      </w:pPr>
      <w:r>
        <w:t xml:space="preserve">Response spectra</w:t>
      </w:r>
      <w:r>
        <w:t xml:space="preserve"> </w:t>
      </w:r>
      <m:oMath>
        <m:r>
          <m:t>S</m:t>
        </m:r>
        <m:r>
          <m:t>a</m:t>
        </m:r>
        <m:r>
          <m:rPr>
            <m:sty m:val="p"/>
          </m:rPr>
          <m:t>(</m:t>
        </m:r>
        <m:sSub>
          <m:e>
            <m:r>
              <m:t>T</m:t>
            </m:r>
          </m:e>
          <m:sub>
            <m:r>
              <m:t>j</m:t>
            </m:r>
          </m:sub>
        </m:sSub>
        <m:r>
          <m:rPr>
            <m:sty m:val="p"/>
          </m:rPr>
          <m:t>)</m:t>
        </m:r>
      </m:oMath>
      <w:r>
        <w:t xml:space="preserve"> </w:t>
      </w:r>
      <w:r>
        <w:t xml:space="preserve">were computed using SeisComP’s</w:t>
      </w:r>
      <w:r>
        <w:t xml:space="preserve"> </w:t>
      </w:r>
      <w:r>
        <w:rPr>
          <w:rStyle w:val="VerbatimChar"/>
        </w:rPr>
        <w:t xml:space="preserve">scwfparam</w:t>
      </w:r>
      <w:r>
        <w:t xml:space="preserve"> </w:t>
      </w:r>
      <w:r>
        <w:t xml:space="preserve">module via the</w:t>
      </w:r>
      <w:r>
        <w:t xml:space="preserve"> </w:t>
      </w:r>
      <w:r>
        <w:t xml:space="preserve"> </w:t>
      </w:r>
      <w:r>
        <w:t xml:space="preserve">processing chain: 5%-damped Newmark-Beta integration of instrument-corrected, baseline-corrected, and filtered acceleration waveforms at 103 periods following IBC/ASCE period grids. This ensures consistency with Indonesian national seismic design spectra under SNI 1726:2019</w:t>
      </w:r>
      <w:r>
        <w:t xml:space="preserve"> </w:t>
      </w:r>
      <w:r>
        <w:t xml:space="preserve">.</w:t>
      </w:r>
    </w:p>
    <w:bookmarkEnd w:id="23"/>
    <w:bookmarkEnd w:id="24"/>
    <w:bookmarkStart w:id="25" w:name="quality-control-filters"/>
    <w:p>
      <w:pPr>
        <w:pStyle w:val="Heading2"/>
      </w:pPr>
      <w:r>
        <w:t xml:space="preserve">Quality Control Filters</w:t>
      </w:r>
    </w:p>
    <w:p>
      <w:pPr>
        <w:pStyle w:val="FirstParagraph"/>
      </w:pPr>
      <w:r>
        <w:rPr>
          <w:b/>
          <w:bCs/>
        </w:rPr>
        <w:t xml:space="preserve">Table 1. Quality-control flow from the BMKG SDS SeisComP-3 archive (~41</w:t>
      </w:r>
      <w:r>
        <w:rPr>
          <w:b/>
          <w:bCs/>
        </w:rPr>
        <w:t xml:space="preserve">,</w:t>
      </w:r>
      <w:r>
        <w:rPr>
          <w:b/>
          <w:bCs/>
        </w:rPr>
        <w:t xml:space="preserve">278 raw traces) through five sequential filters to the final 25</w:t>
      </w:r>
      <w:r>
        <w:rPr>
          <w:b/>
          <w:bCs/>
        </w:rPr>
        <w:t xml:space="preserve">,</w:t>
      </w:r>
      <w:r>
        <w:rPr>
          <w:b/>
          <w:bCs/>
        </w:rPr>
        <w:t xml:space="preserve">058-trace training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 / Filter Criterion</w:t>
            </w:r>
          </w:p>
        </w:tc>
        <w:tc>
          <w:tcPr/>
          <w:p>
            <w:pPr>
              <w:pStyle w:val="Compact"/>
              <w:jc w:val="center"/>
            </w:pPr>
            <w:r>
              <w:t xml:space="preserve">Records Removed</w:t>
            </w:r>
          </w:p>
        </w:tc>
        <w:tc>
          <w:tcPr/>
          <w:p>
            <w:pPr>
              <w:pStyle w:val="Compact"/>
              <w:jc w:val="center"/>
            </w:pPr>
            <w:r>
              <w:t xml:space="preserve">N Remaining</w:t>
            </w:r>
          </w:p>
        </w:tc>
      </w:tr>
      <w:tr>
        <w:tc>
          <w:tcPr>
            <w:gridSpan w:val="4"/>
          </w:tcPr>
          <w:p>
            <w:pPr>
              <w:pStyle w:val="Compact"/>
              <w:jc w:val="left"/>
            </w:pPr>
            <w:r>
              <w:rPr>
                <w:i/>
                <w:iCs/>
              </w:rPr>
              <w:t xml:space="preserve">Source: BMKG SDS SeisComP-3 archive (IA-BMKG accelerograph network, Nov 2022 – Mar 2026)</w:t>
            </w:r>
          </w:p>
        </w:tc>
      </w:tr>
      <w:tr>
        <w:tc>
          <w:tcPr>
            <w:gridSpan w:val="3"/>
          </w:tcPr>
          <w:p>
            <w:pPr>
              <w:pStyle w:val="Compact"/>
              <w:jc w:val="left"/>
            </w:pPr>
            <w:r>
              <w:rPr>
                <w:i/>
                <w:iCs/>
              </w:rPr>
              <w:t xml:space="preserve">Initial download (raw three-component trace records):</w:t>
            </w:r>
          </w:p>
        </w:tc>
        <w:tc>
          <w:tcPr/>
          <w:p>
            <w:pPr>
              <w:pStyle w:val="Compact"/>
              <w:jc w:val="center"/>
            </w:pPr>
            <w:r>
              <w:rPr>
                <w:i/>
                <w:iCs/>
              </w:rPr>
              <w:t xml:space="preserve">~41</w:t>
            </w:r>
            <w:r>
              <w:rPr>
                <w:i/>
                <w:iCs/>
              </w:rPr>
              <w:t xml:space="preserve">,</w:t>
            </w:r>
            <w:r>
              <w:rPr>
                <w:i/>
                <w:iCs/>
              </w:rPr>
              <w:t xml:space="preserve">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Final high-quality training dataset (exact, Step 5 output):</w:t>
            </w:r>
          </w:p>
        </w:tc>
        <w:tc>
          <w:tcPr/>
          <w:p>
            <w:pPr>
              <w:pStyle w:val="Compact"/>
              <w:jc w:val="center"/>
            </w:pPr>
            <w:r>
              <w:rPr>
                <w:b/>
                <w:bCs/>
              </w:rPr>
              <w:t xml:space="preserve">25,058</w:t>
            </w:r>
          </w:p>
        </w:tc>
      </w:tr>
    </w:tbl>
    <w:p>
      <w:pPr>
        <w:pStyle w:val="BodyText"/>
      </w:pPr>
      <w:r>
        <w:rPr>
          <w:i/>
          <w:iCs/>
        </w:rPr>
        <w:t xml:space="preserve">Per-step removal counts are rounded to the nearest 100 traces because successive filters operate on partially overlapping criteria; running</w:t>
      </w:r>
      <w:r>
        <w:rPr>
          <w:i/>
          <w:iCs/>
        </w:rPr>
        <w:t xml:space="preserve"> </w:t>
      </w:r>
      <w:r>
        <w:rPr>
          <w:i/>
          <w:iCs/>
        </w:rPr>
        <w:t xml:space="preserve">“N Remaining”</w:t>
      </w:r>
      <w:r>
        <w:rPr>
          <w:i/>
          <w:iCs/>
        </w:rPr>
        <w:t xml:space="preserve"> </w:t>
      </w:r>
      <w:r>
        <w:rPr>
          <w:i/>
          <w:iCs/>
        </w:rPr>
        <w:t xml:space="preserve">totals inherit this rounding. The final count of 25</w:t>
      </w:r>
      <w:r>
        <w:rPr>
          <w:i/>
          <w:iCs/>
        </w:rPr>
        <w:t xml:space="preserve">,</w:t>
      </w:r>
      <w:r>
        <w:rPr>
          <w:i/>
          <w:iCs/>
        </w:rPr>
        <w:t xml:space="preserve">058 is exact (a literal file count in the curated dataset used for training).</w:t>
      </w:r>
    </w:p>
    <w:bookmarkEnd w:id="25"/>
    <w:bookmarkStart w:id="26" w:name="Xb15361ffdc06162ea482e05a39b1fa820f819ca"/>
    <w:p>
      <w:pPr>
        <w:pStyle w:val="Heading2"/>
      </w:pPr>
      <w:r>
        <w:t xml:space="preserve">Dataset Statistics and Class Distribution</w:t>
      </w:r>
    </w:p>
    <w:p>
      <w:pPr>
        <w:pStyle w:val="FirstParagraph"/>
      </w:pPr>
      <w:r>
        <w:t xml:space="preserve">The final training corpus consists of 25,058 three-component accelerograms drawn from two complementary source streams: the routine-seismicity stream (24,466 traces) samples events from BMKG’s continuous IA-BMKG archive (Nov 2022 – Mar 2026), augmented by 592 three-component traces from three</w:t>
      </w:r>
      <w:r>
        <w:t xml:space="preserve"> </w:t>
      </w:r>
      <m:oMath>
        <m:sSub>
          <m:e>
            <m:r>
              <m:t>M</m:t>
            </m:r>
          </m:e>
          <m:sub>
            <m:r>
              <m:t>w</m:t>
            </m:r>
          </m:sub>
        </m:sSub>
        <m:r>
          <m:rPr>
            <m:sty m:val="p"/>
          </m:rPr>
          <m:t>≥</m:t>
        </m:r>
        <m:r>
          <m:t>5.6</m:t>
        </m:r>
      </m:oMath>
      <w:r>
        <w:t xml:space="preserve"> </w:t>
      </w:r>
      <w:r>
        <w:t xml:space="preserve">near-field events (Cianjur 2022-11-21,</w:t>
      </w:r>
      <w:r>
        <w:t xml:space="preserve"> </w:t>
      </w:r>
      <m:oMath>
        <m:sSub>
          <m:e>
            <m:r>
              <m:t>M</m:t>
            </m:r>
          </m:e>
          <m:sub>
            <m:r>
              <m:t>w</m:t>
            </m:r>
          </m:sub>
        </m:sSub>
      </m:oMath>
      <w:r>
        <w:t xml:space="preserve"> </w:t>
      </w:r>
      <w:r>
        <w:t xml:space="preserve">5.6; the 2023-12-31 Sumedang-region event,</w:t>
      </w:r>
      <w:r>
        <w:t xml:space="preserve"> </w:t>
      </w:r>
      <m:oMath>
        <m:sSub>
          <m:e>
            <m:r>
              <m:t>M</m:t>
            </m:r>
          </m:e>
          <m:sub>
            <m:r>
              <m:t>w</m:t>
            </m:r>
          </m:sub>
        </m:sSub>
      </m:oMath>
      <w:r>
        <w:t xml:space="preserve"> </w:t>
      </w:r>
      <w:r>
        <w:t xml:space="preserve">5.7; and the 2024-04-27 Garut-region event,</w:t>
      </w:r>
      <w:r>
        <w:t xml:space="preserve"> </w:t>
      </w:r>
      <m:oMath>
        <m:sSub>
          <m:e>
            <m:r>
              <m:t>M</m:t>
            </m:r>
          </m:e>
          <m:sub>
            <m:r>
              <m:t>w</m:t>
            </m:r>
          </m:sub>
        </m:sSub>
      </m:oMath>
      <w:r>
        <w:t xml:space="preserve"> </w:t>
      </w:r>
      <w:r>
        <w:t xml:space="preserve">6.2) for class-balancing. The augmented dataset remains strictly event-grouped for cross-validation.</w:t>
      </w:r>
    </w:p>
    <w:p>
      <w:pPr>
        <w:pStyle w:val="BodyText"/>
      </w:pPr>
      <w:r>
        <w:rPr>
          <w:b/>
          <w:bCs/>
        </w:rPr>
        <w:t xml:space="preserve">Table 2. Dataset Summary — Java-Sunda Trench EEWS Dataset (25,058 Traces).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Intensity classes follow the five-level Indonesian Seismic Intensity Scale (SIG-BMKG)</w:t>
      </w:r>
      <w:r>
        <w:t xml:space="preserve"> </w:t>
      </w:r>
      <w:r>
        <w:t xml:space="preserve">, whose PGA boundaries are grounded in the probabilistic Ground-Motion Intensity Conversion Equations (GMICE) of</w:t>
      </w:r>
      <w:r>
        <w:t xml:space="preserve"> </w:t>
      </w:r>
      <w:r>
        <w:t xml:space="preserve"> </w:t>
      </w:r>
      <w:r>
        <w:t xml:space="preserve">and</w:t>
      </w:r>
      <w:r>
        <w:t xml:space="preserve"> </w:t>
      </w:r>
      <w:r>
        <w:t xml:space="preserve">, and have been independently validated for the Indonesian context by</w:t>
      </w:r>
      <w:r>
        <w:t xml:space="preserve"> </w:t>
      </w:r>
      <w:r>
        <w:t xml:space="preserve"> </w:t>
      </w:r>
      <w:r>
        <w:t xml:space="preserve">using data from the 2009 Padang earthquake.</w:t>
      </w:r>
    </w:p>
    <w:p>
      <w:pPr>
        <w:pStyle w:val="BodyText"/>
      </w:pPr>
      <w:r>
        <w:rPr>
          <w:b/>
          <w:bCs/>
        </w:rPr>
        <w:t xml:space="preserve">Table 3. SIG-BMKG seismic-intensity class distribution across the assembled 25</w:t>
      </w:r>
      <w:r>
        <w:rPr>
          <w:b/>
          <w:bCs/>
        </w:rPr>
        <w:t xml:space="preserve">,</w:t>
      </w:r>
      <w:r>
        <w:rPr>
          <w:b/>
          <w:bCs/>
        </w:rPr>
        <w:t xml:space="preserve">058-trace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The distribution is dominated by SIG-BMKG Classes I and II (99.86%), reflecting the median epicentral distance (~122 km) and source magnitudes (</w:t>
      </w:r>
      <m:oMath>
        <m:sSub>
          <m:e>
            <m:r>
              <m:t>M</m:t>
            </m:r>
          </m:e>
          <m:sub>
            <m:r>
              <m:t>w</m:t>
            </m:r>
          </m:sub>
        </m:sSub>
        <m:r>
          <m:rPr>
            <m:sty m:val="p"/>
          </m:rPr>
          <m:t>≤</m:t>
        </m:r>
        <m:r>
          <m:t>6.2</m:t>
        </m:r>
      </m:oMath>
      <w:r>
        <w:t xml:space="preserve">) represented in BMKG’s IA-BMKG archive for Nov 2022 – Mar 2026. A small but meaningful tail of 34 traces (0.14% of total) reaches SIG-BMKG Classes III–V (slight to heavy damage), predominantly contributed by the Cianjur 2022</w:t>
      </w:r>
      <w:r>
        <w:t xml:space="preserve"> </w:t>
      </w:r>
      <m:oMath>
        <m:sSub>
          <m:e>
            <m:r>
              <m:t>M</m:t>
            </m:r>
          </m:e>
          <m:sub>
            <m:r>
              <m:t>w</m:t>
            </m:r>
          </m:sub>
        </m:sSub>
      </m:oMath>
      <w:r>
        <w:t xml:space="preserve"> </w:t>
      </w:r>
      <w:r>
        <w:t xml:space="preserve">5.6 sequence (max PGA ~600 gal, near-source) and the Garut 2024</w:t>
      </w:r>
      <w:r>
        <w:t xml:space="preserve"> </w:t>
      </w:r>
      <m:oMath>
        <m:sSub>
          <m:e>
            <m:r>
              <m:t>M</m:t>
            </m:r>
          </m:e>
          <m:sub>
            <m:r>
              <m:t>w</m:t>
            </m:r>
          </m:sub>
        </m:sSub>
      </m:oMath>
      <w:r>
        <w:t xml:space="preserve"> </w:t>
      </w:r>
      <w:r>
        <w:t xml:space="preserve">6.2 event (27 traces at Class III). These near-source recordings provide critical training signal for Stage 0 URPD and Stage 1 intensity discrimination at the safety-critical end of the spectrum. Consistent with the analysis of</w:t>
      </w:r>
      <w:r>
        <w:t xml:space="preserve"> </w:t>
      </w:r>
      <w:r>
        <w:t xml:space="preserve">, a dataset dominated by moderate-to-low-intensity shaking still provides substantial calibration power for spectral prediction, because the dominant predictability structure is governed by cumulative-energy features (CAV, CVAD, Arias Intensity) that scale with duration and attenuation rather than the SIG-BMKG level itself. We therefore define an</w:t>
      </w:r>
      <w:r>
        <w:t xml:space="preserve"> </w:t>
      </w:r>
      <w:r>
        <w:rPr>
          <w:b/>
          <w:bCs/>
        </w:rPr>
        <w:t xml:space="preserve">operational intensity-routing class</w:t>
      </w:r>
      <w:r>
        <w:t xml:space="preserve"> </w:t>
      </w:r>
      <w:r>
        <w:t xml:space="preserve">distinct from the descriptive SIG-BMKG classification, based on PGA percentiles of the actual dataset:</w:t>
      </w:r>
    </w:p>
    <w:p>
      <w:pPr>
        <w:pStyle w:val="BodyText"/>
      </w:pPr>
      <w:r>
        <w:rPr>
          <w:b/>
          <w:bCs/>
        </w:rPr>
        <w:t xml:space="preserve">Table 4. Operational PGA-percentile routing classes used by the IDA-PTW Stage-1 intensity 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This percentile-based operational gating enables the Stage 1 routing classifier to stratify traces by their position within the dataset PGA distribution, yielding well-balanced class counts suitable for gradient-boosting classification. The High-PGA class boundary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95th percentile) coincides with the lower bound of SIG-BMKG Class III (89 gal), confirming that the operational</w:t>
      </w:r>
      <w:r>
        <w:t xml:space="preserve"> </w:t>
      </w:r>
      <w:r>
        <w:t xml:space="preserve">“High-PGA”</w:t>
      </w:r>
      <w:r>
        <w:t xml:space="preserve"> </w:t>
      </w:r>
      <w:r>
        <w:t xml:space="preserve">class captures the physically damaging end of the distribution and is not merely a percentile artefact. It closely aligns with the saturation-test subset (</w:t>
      </w:r>
      <m:oMath>
        <m:r>
          <m:t>N</m:t>
        </m:r>
        <m:r>
          <m:rPr>
            <m:sty m:val="p"/>
          </m:rPr>
          <m:t>=</m:t>
        </m:r>
        <m:r>
          <m:t>1</m:t>
        </m:r>
        <m:r>
          <m:rPr>
            <m:sty m:val="p"/>
          </m:rPr>
          <m:t>,</m:t>
        </m:r>
        <m:r>
          <m:t>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reported in Section V.C.</w:t>
      </w:r>
    </w:p>
    <w:bookmarkEnd w:id="26"/>
    <w:bookmarkStart w:id="27" w:name="X939c456cf3256da0695e7fcc84c94071f4f4472"/>
    <w:p>
      <w:pPr>
        <w:pStyle w:val="Heading2"/>
      </w:pPr>
      <w:r>
        <w:t xml:space="preserve">Feature Engineering: The 42-Feature P-Wave Dictionary</w:t>
      </w:r>
    </w:p>
    <w:p>
      <w:pPr>
        <w:pStyle w:val="FirstParagraph"/>
      </w:pPr>
      <w:r>
        <w:t xml:space="preserve">Features are extracted from horizontal-component three-component P-wave windows. The 42-feature set follows</w:t>
      </w:r>
      <w:r>
        <w:t xml:space="preserve"> </w:t>
      </w:r>
      <w:r>
        <w:t xml:space="preserve"> </w:t>
      </w:r>
      <w:r>
        <w:t xml:space="preserve">extended with</w:t>
      </w:r>
      <w:r>
        <w:t xml:space="preserve"> </w:t>
      </w:r>
      <w:r>
        <w:t xml:space="preserve"> </w:t>
      </w:r>
      <w:r>
        <w:t xml:space="preserve">spectral features, organised into physical families:</w:t>
      </w:r>
    </w:p>
    <w:p>
      <w:pPr>
        <w:pStyle w:val="BodyText"/>
      </w:pPr>
      <w:r>
        <w:rPr>
          <w:b/>
          <w:bCs/>
        </w:rPr>
        <w:t xml:space="preserve">Table 5. The 42-Feature P-Wave Feature Dictionary.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characterisation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t xml:space="preserve">The</w:t>
      </w:r>
      <w:r>
        <w:t xml:space="preserve"> </w:t>
      </w:r>
      <w:r>
        <w:rPr>
          <w:b/>
          <w:bCs/>
        </w:rPr>
        <w:t xml:space="preserve">Feature Dichotomy</w:t>
      </w:r>
      <w:r>
        <w:t xml:space="preserve"> </w:t>
      </w:r>
      <w:r>
        <w:t xml:space="preserve">is a primary design principle: saturating features (</w:t>
      </w:r>
      <m:oMath>
        <m:sSub>
          <m:e>
            <m:r>
              <m:t>τ</m:t>
            </m:r>
          </m:e>
          <m:sub>
            <m:r>
              <m:t>c</m:t>
            </m:r>
          </m:sub>
        </m:sSub>
      </m:oMath>
      <w:r>
        <w:t xml:space="preserve">,</w:t>
      </w:r>
      <w:r>
        <w:t xml:space="preserve"> </w:t>
      </w:r>
      <m:oMath>
        <m:sSub>
          <m:e>
            <m:r>
              <m:t>P</m:t>
            </m:r>
          </m:e>
          <m:sub>
            <m:r>
              <m:t>d</m:t>
            </m:r>
          </m:sub>
        </m:sSub>
      </m:oMath>
      <w:r>
        <w:t xml:space="preserve">) are used in Stage 1 for intensity routing—where saturation at</w:t>
      </w:r>
      <w:r>
        <w:t xml:space="preserve"> </w:t>
      </w:r>
      <m:oMath>
        <m:sSub>
          <m:e>
            <m:r>
              <m:t>M</m:t>
            </m:r>
          </m:e>
          <m:sub>
            <m:r>
              <m:t>w</m:t>
            </m:r>
          </m:sub>
        </m:sSub>
        <m:r>
          <m:rPr>
            <m:sty m:val="p"/>
          </m:rPr>
          <m:t>&gt;</m:t>
        </m:r>
        <m:r>
          <m:t>7</m:t>
        </m:r>
      </m:oMath>
      <w:r>
        <w:t xml:space="preserve"> </w:t>
      </w:r>
      <w:r>
        <w:t xml:space="preserve">is acceptable because the routing decision is binary—but are suppressed in Stage 2 through 5× reduced feature weights, ensuring large events are not biased toward shorter-period predictions.</w:t>
      </w:r>
    </w:p>
    <w:p>
      <w:r>
        <w:pict>
          <v:rect style="width:0;height:1.5pt" o:hralign="center" o:hrstd="t" o:hr="t"/>
        </w:pict>
      </w:r>
    </w:p>
    <w:bookmarkEnd w:id="27"/>
    <w:bookmarkEnd w:id="28"/>
    <w:bookmarkStart w:id="54" w:name="the-ida-ptw-four-stage-pipeline"/>
    <w:p>
      <w:pPr>
        <w:pStyle w:val="Heading1"/>
      </w:pPr>
      <w:r>
        <w:t xml:space="preserve">The IDA-PTW Four-Stage Pipeline</w:t>
      </w:r>
    </w:p>
    <w:bookmarkStart w:id="32" w:name="architecture-overview"/>
    <w:p>
      <w:pPr>
        <w:pStyle w:val="Heading2"/>
      </w:pPr>
      <w:r>
        <w:t xml:space="preserve">Architecture Overview</w:t>
      </w:r>
    </w:p>
    <w:p>
      <w:pPr>
        <w:pStyle w:val="FirstParagraph"/>
      </w:pPr>
      <w:r>
        <w:t xml:space="preserve">Fig. 2 presents an end-to-end view of the IDA-PTW pipeline, summarising the four stages, their windows, equations, and headline metrics.</w:t>
      </w:r>
    </w:p>
    <w:p>
      <w:pPr>
        <w:pStyle w:val="BodyText"/>
      </w:pPr>
      <w:r>
        <w:t xml:space="preserve">The IDA-PTW pipeline implements a sequential cascade (Fig. 3) with progressive observation windows mirroring temporal availability of P-wave information: P-detection (0.5 s) → Stage 0 → Stage 1 (2.0 s) → Stage 1.5 (+0.1 s) → Stage 2. Each stage activates at precisely defined latencies, enabling progressive partial predictions rather than waiting for full pipeline completion.</w:t>
      </w:r>
    </w:p>
    <w:p>
      <w:pPr>
        <w:pStyle w:val="CaptionedFigure"/>
      </w:pPr>
      <w:r>
        <w:drawing>
          <wp:inline>
            <wp:extent cx="5067300" cy="2567658"/>
            <wp:effectExtent b="0" l="0" r="0" t="0"/>
            <wp:docPr descr="" title="" id="30" name="Picture"/>
            <a:graphic>
              <a:graphicData uri="http://schemas.openxmlformats.org/drawingml/2006/picture">
                <pic:pic>
                  <pic:nvPicPr>
                    <pic:cNvPr descr="figures/architecture_overview_v2.png" id="31" name="Picture"/>
                    <pic:cNvPicPr>
                      <a:picLocks noChangeArrowheads="1" noChangeAspect="1"/>
                    </pic:cNvPicPr>
                  </pic:nvPicPr>
                  <pic:blipFill>
                    <a:blip r:embed="rId29"/>
                    <a:stretch>
                      <a:fillRect/>
                    </a:stretch>
                  </pic:blipFill>
                  <pic:spPr bwMode="auto">
                    <a:xfrm>
                      <a:off x="0" y="0"/>
                      <a:ext cx="5067300" cy="2567658"/>
                    </a:xfrm>
                    <a:prstGeom prst="rect">
                      <a:avLst/>
                    </a:prstGeom>
                    <a:noFill/>
                    <a:ln w="9525">
                      <a:noFill/>
                      <a:headEnd/>
                      <a:tailEnd/>
                    </a:ln>
                  </pic:spPr>
                </pic:pic>
              </a:graphicData>
            </a:graphic>
          </wp:inline>
        </w:drawing>
      </w:r>
    </w:p>
    <w:p>
      <w:pPr>
        <w:pStyle w:val="ImageCaption"/>
      </w:pPr>
      <w:r>
        <w:t xml:space="preserve">Overview of the IDA-PTW four-stage pipeline. The timeline (top) marks the four temporal milestones: P-trigger, Stage 0 at 0.5 s, Stage 1 at 3 s, Stage 2 with adaptive</w:t>
      </w:r>
      <w:r>
        <w:t xml:space="preserve"> </w:t>
      </w:r>
      <m:oMath>
        <m:r>
          <m:rPr>
            <m:sty m:val="p"/>
          </m:rPr>
          <m:t>{</m:t>
        </m:r>
        <m:r>
          <m:t>3</m:t>
        </m:r>
        <m:r>
          <m:rPr>
            <m:sty m:val="p"/>
          </m:rPr>
          <m:t>,</m:t>
        </m:r>
        <m:r>
          <m:t>5</m:t>
        </m:r>
        <m:r>
          <m:rPr>
            <m:sty m:val="p"/>
          </m:rPr>
          <m:t>,</m:t>
        </m:r>
        <m:r>
          <m:t>8</m:t>
        </m:r>
        <m:r>
          <m:rPr>
            <m:sty m:val="p"/>
          </m:rPr>
          <m:t>}</m:t>
        </m:r>
      </m:oMath>
      <w:r>
        <w:t xml:space="preserve"> s windows, and the final 100+ period</w:t>
      </w:r>
      <w:r>
        <w:t xml:space="preserve"> </w:t>
      </w:r>
      <m:oMath>
        <m:r>
          <m:t>S</m:t>
        </m:r>
        <m:r>
          <m:t>a</m:t>
        </m:r>
        <m:r>
          <m:rPr>
            <m:sty m:val="p"/>
          </m:rPr>
          <m:t>(</m:t>
        </m:r>
        <m:r>
          <m:t>T</m:t>
        </m:r>
        <m:r>
          <m:rPr>
            <m:sty m:val="p"/>
          </m:rPr>
          <m:t>)</m:t>
        </m:r>
      </m:oMath>
      <w:r>
        <w:t xml:space="preserve"> </w:t>
      </w:r>
      <w:r>
        <w:t xml:space="preserve">output. Each stage box reports its purpose, observation window, output, model family, defining equation, and headline metric. The bottom note documents the Stage 1.5 distance-regression negative result that motivates the class-based routing strategy actually adopted at Stage 1.</w:t>
      </w:r>
    </w:p>
    <w:bookmarkEnd w:id="32"/>
    <w:bookmarkStart w:id="39" w:name="Xd8c1a6c9692db61b0b66221860269c1ed45c58d"/>
    <w:p>
      <w:pPr>
        <w:pStyle w:val="Heading2"/>
      </w:pPr>
      <w:r>
        <w:t xml:space="preserve">Stage 0: Ultra-Rapid P-wave Discriminator (URPD)</w:t>
      </w:r>
    </w:p>
    <w:bookmarkStart w:id="33" w:name="physical-motivation."/>
    <w:p>
      <w:pPr>
        <w:pStyle w:val="Heading4"/>
      </w:pPr>
      <w:r>
        <w:t xml:space="preserve">Physical motivation.</w:t>
      </w:r>
    </w:p>
    <w:p>
      <w:pPr>
        <w:pStyle w:val="FirstParagraph"/>
      </w:pPr>
      <w:r>
        <w:t xml:space="preserve">The on-site EEW paradigm</w:t>
      </w:r>
      <w:r>
        <w:t xml:space="preserve"> </w:t>
      </w:r>
      <w:r>
        <w:t xml:space="preserve"> </w:t>
      </w:r>
      <w:r>
        <w:t xml:space="preserve">requires predictions from the very first seconds of P-wave arrivals.</w:t>
      </w:r>
      <w:r>
        <w:t xml:space="preserve"> </w:t>
      </w:r>
      <w:r>
        <w:t xml:space="preserve"> </w:t>
      </w:r>
      <w:r>
        <w:t xml:space="preserve">showed that combining amplitude and spectral parameters substantially outperforms</w:t>
      </w:r>
      <w:r>
        <w:t xml:space="preserve"> </w:t>
      </w:r>
      <m:oMath>
        <m:sSub>
          <m:e>
            <m:r>
              <m:t>τ</m:t>
            </m:r>
          </m:e>
          <m:sub>
            <m:r>
              <m:t>c</m:t>
            </m:r>
          </m:sub>
        </m:sSub>
      </m:oMath>
      <w:r>
        <w:t xml:space="preserve"> </w:t>
      </w:r>
      <w:r>
        <w:t xml:space="preserve">alone. Applied to the half-second P-wave coda, spectral features encode the high-frequency energy burst characteristic of near-field strong motion without requiring the source parameters that take seconds to estimate.</w:t>
      </w:r>
    </w:p>
    <w:p>
      <w:pPr>
        <w:pStyle w:val="BodyText"/>
      </w:pPr>
      <w:r>
        <w:t xml:space="preserve">The</w:t>
      </w:r>
      <w:r>
        <w:t xml:space="preserve"> </w:t>
      </w:r>
      <w:r>
        <w:t xml:space="preserve"> </w:t>
      </w:r>
      <w:r>
        <w:t xml:space="preserve">CAV framework demonstrates that cumulative energy metrics computed over very short windows correlate with ground-motion damage potential. At 0.5 seconds, CAV is dominated by the initial P-wave amplitude—a proxy for near-source energy flux that scales with source-to-site distance more robustly than</w:t>
      </w:r>
      <w:r>
        <w:t xml:space="preserve"> </w:t>
      </w:r>
      <m:oMath>
        <m:sSub>
          <m:e>
            <m:r>
              <m:t>τ</m:t>
            </m:r>
          </m:e>
          <m:sub>
            <m:r>
              <m:t>c</m:t>
            </m:r>
          </m:sub>
        </m:sSub>
      </m:oMath>
      <w:r>
        <w:t xml:space="preserve">.</w:t>
      </w:r>
    </w:p>
    <w:bookmarkEnd w:id="33"/>
    <w:bookmarkStart w:id="34"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optimisation</w:t>
      </w:r>
      <w:r>
        <w:t xml:space="preserve"> </w:t>
      </w:r>
      <w:r>
        <w:t xml:space="preserve">,</w:t>
      </w:r>
      <w:r>
        <w:t xml:space="preserve"> </w:t>
      </w:r>
      <w:r>
        <w:t xml:space="preserve">. The training target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34"/>
    <w:bookmarkStart w:id="35" w:name="feature-importance-shap-based."/>
    <w:p>
      <w:pPr>
        <w:pStyle w:val="Heading4"/>
      </w:pPr>
      <w:r>
        <w:t xml:space="preserve">Feature importance (SHAP-based).</w:t>
      </w:r>
    </w:p>
    <w:p>
      <w:pPr>
        <w:pStyle w:val="FirstParagraph"/>
      </w:pPr>
      <w:r>
        <w:t xml:space="preserve">We computed Shapley Additive exPlanations (SHAP) values to rank the seven spectral features by their marginal contribution to the Stage-0 binary decision. The dominant pair (spectral centroid and spectral rolloff) jointly explains over 80% of the model output, confirming that frequency-domain descriptors carry the strongest near-field discrimination signal in the half-second window. Table 6 lists the seven features with their SHAP percentages and physical interpretation.</w:t>
      </w:r>
    </w:p>
    <w:p>
      <w:pPr>
        <w:pStyle w:val="BodyText"/>
      </w:pPr>
      <w:r>
        <w:rPr>
          <w:b/>
          <w:bCs/>
        </w:rPr>
        <w:t xml:space="preserve">Table 6. Stage 0 URPD Feature Importance (0.5-s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near-field,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35"/>
    <w:bookmarkStart w:id="36" w:name="performance."/>
    <w:p>
      <w:pPr>
        <w:pStyle w:val="Heading4"/>
      </w:pPr>
      <w:r>
        <w:t xml:space="preserve">Performance.</w:t>
      </w:r>
    </w:p>
    <w:p>
      <w:pPr>
        <w:pStyle w:val="FirstParagraph"/>
      </w:pPr>
      <w:r>
        <w:t xml:space="preserve">We evaluated Stage 0 across three operating points spanning a recall–precision trade-off space relevant to different consumer profiles (critical infrastructure, balanced human protection, and high-precision automated systems). Each operating point corresponds to a different decision threshold on the calibrated GBM posterior. Table 7 reports the threshold, recall, precision, and F1 score for each.</w:t>
      </w:r>
    </w:p>
    <w:p>
      <w:pPr>
        <w:pStyle w:val="BodyText"/>
      </w:pPr>
      <w:r>
        <w:rPr>
          <w:b/>
          <w:bCs/>
        </w:rPr>
        <w:t xml:space="preserve">Table 7. Stage 0 URPD Operating Points.</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Table 8. Stage-0 URPD operating-point modes Conservative, Balanced, Aggressive and recommended use cases.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Critical infrastructure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near-field warning systems prioritise recall over precision. The three operating points (high-recall, balanced, high-precision) are listed in the auto-generated provenance block above.</w:t>
      </w:r>
    </w:p>
    <w:bookmarkEnd w:id="36"/>
    <w:bookmarkStart w:id="37" w:name="blind-zone-reduction."/>
    <w:p>
      <w:pPr>
        <w:pStyle w:val="Heading4"/>
      </w:pPr>
      <w:r>
        <w:t xml:space="preserve">Blind zone reduction.</w:t>
      </w:r>
    </w:p>
    <w:p>
      <w:pPr>
        <w:pStyle w:val="FirstParagraph"/>
      </w:pPr>
      <w:r>
        <w:t xml:space="preserve">At the Balanced operating point:</w:t>
      </w:r>
    </w:p>
    <w:p>
      <w:pPr>
        <w:pStyle w:val="BodyText"/>
      </w:pPr>
      <w:r>
        <w:rPr>
          <w:b/>
          <w:bCs/>
        </w:rPr>
        <w:t xml:space="preserve">Table 9. Near-Field Blind Zone Reduction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reduces to 4 km—approaching the physical limit imposed by P-wave propagation velocity itself.</w:t>
      </w:r>
    </w:p>
    <w:bookmarkEnd w:id="37"/>
    <w:bookmarkStart w:id="38" w:name="retrospective-case-studies."/>
    <w:p>
      <w:pPr>
        <w:pStyle w:val="Heading4"/>
      </w:pPr>
      <w:r>
        <w:t xml:space="preserve">Retrospective case studies.</w:t>
      </w:r>
    </w:p>
    <w:p>
      <w:pPr>
        <w:pStyle w:val="FirstParagraph"/>
      </w:pPr>
      <w:r>
        <w:t xml:space="preserve">Evaluated on records from the BMKG strong-motion archive:</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near-field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near-field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require discrimination from damaging near-field records (Garut).</w:t>
      </w:r>
    </w:p>
    <w:bookmarkEnd w:id="38"/>
    <w:bookmarkEnd w:id="39"/>
    <w:bookmarkStart w:id="43" w:name="stage-1-xgboost-intensity-gate"/>
    <w:p>
      <w:pPr>
        <w:pStyle w:val="Heading2"/>
      </w:pPr>
      <w:r>
        <w:t xml:space="preserve">Stage 1: XGBoost Intensity Gate</w:t>
      </w:r>
    </w:p>
    <w:bookmarkStart w:id="40" w:name="design-rationale."/>
    <w:p>
      <w:pPr>
        <w:pStyle w:val="Heading4"/>
      </w:pPr>
      <w:r>
        <w:t xml:space="preserve">Design rationale.</w:t>
      </w:r>
    </w:p>
    <w:p>
      <w:pPr>
        <w:pStyle w:val="FirstParagraph"/>
      </w:pPr>
      <w:r>
        <w:t xml:space="preserve">The Intensity Gate classifies incoming traces into three operational classes using a 2.0-second P-wave feature vector—four times longer than Stage 0, permitting richer feature extraction. Critically, Stage 1 uses the</w:t>
      </w:r>
      <w:r>
        <w:t xml:space="preserve"> </w:t>
      </w:r>
      <w:r>
        <w:rPr>
          <w:b/>
          <w:bCs/>
        </w:rPr>
        <w:t xml:space="preserve">full 90-feature ensemble</w:t>
      </w:r>
      <w:r>
        <w:t xml:space="preserve"> </w:t>
      </w:r>
      <w:r>
        <w:t xml:space="preserve">(P-wave base features from Table 5 augmented with site-path metadata, Dai multi-window features, and frequency-domain features as detailed in the incremental ablation of Table 13), including saturating parameters (</w:t>
      </w:r>
      <m:oMath>
        <m:sSub>
          <m:e>
            <m:r>
              <m:t>τ</m:t>
            </m:r>
          </m:e>
          <m:sub>
            <m:r>
              <m:t>c</m:t>
            </m:r>
          </m:sub>
        </m:sSub>
      </m:oMath>
      <w:r>
        <w:t xml:space="preserve">,</w:t>
      </w:r>
      <w:r>
        <w:t xml:space="preserve"> </w:t>
      </w:r>
      <m:oMath>
        <m:sSub>
          <m:e>
            <m:r>
              <m:t>P</m:t>
            </m:r>
          </m:e>
          <m:sub>
            <m:r>
              <m:t>d</m:t>
            </m:r>
          </m:sub>
        </m:sSub>
      </m:oMath>
      <w:r>
        <w:t xml:space="preserve">). As argued by</w:t>
      </w:r>
      <w:r>
        <w:t xml:space="preserve"> </w:t>
      </w:r>
      <w:r>
        <w:t xml:space="preserve"> </w:t>
      </w:r>
      <w:r>
        <w:t xml:space="preserve">and</w:t>
      </w:r>
      <w:r>
        <w:t xml:space="preserve"> </w:t>
      </w:r>
      <w:r>
        <w:t xml:space="preserve">, these features retain discriminative power for local intensity classification even where they saturate for magnitude estimation: a near-field M5.5 damaging event genuinely produces longer</w:t>
      </w:r>
      <w:r>
        <w:t xml:space="preserve"> </w:t>
      </w:r>
      <m:oMath>
        <m:sSub>
          <m:e>
            <m:r>
              <m:t>τ</m:t>
            </m:r>
          </m:e>
          <m:sub>
            <m:r>
              <m:t>c</m:t>
            </m:r>
          </m:sub>
        </m:sSub>
      </m:oMath>
      <w:r>
        <w:t xml:space="preserve"> </w:t>
      </w:r>
      <w:r>
        <w:t xml:space="preserve">after 2 seconds than a distant M4.0 weak event recorded at the same station—the saturation only affects far-field magnitude estimation at</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outperform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40"/>
    <w:bookmarkStart w:id="41" w:name="Xc3aa7bd0dbe347f912ec0dff709881b6055c5a4"/>
    <w:p>
      <w:pPr>
        <w:pStyle w:val="Heading4"/>
      </w:pPr>
      <w:r>
        <w:t xml:space="preserve">Feature-Dichotomy implementation in Stage 1.</w:t>
      </w:r>
    </w:p>
    <w:p>
      <w:pPr>
        <w:pStyle w:val="FirstParagraph"/>
      </w:pPr>
      <w:r>
        <w:t xml:space="preserve">All 90 features serve as Stage 1 inputs, but the Stage 1 classification is expressly</w:t>
      </w:r>
      <w:r>
        <w:t xml:space="preserve"> </w:t>
      </w:r>
      <w:r>
        <w:rPr>
          <w:b/>
          <w:bCs/>
        </w:rPr>
        <w:t xml:space="preserve">not used</w:t>
      </w:r>
      <w:r>
        <w:t xml:space="preserve"> </w:t>
      </w:r>
      <w:r>
        <w:t xml:space="preserve">for magnitude estimation—it routes to window lengths. This avoids the saturation problem identified by Lancieri and</w:t>
      </w:r>
      <w:r>
        <w:t xml:space="preserve"> </w:t>
      </w:r>
      <w:r>
        <w:t xml:space="preserve">: saturation of</w:t>
      </w:r>
      <w:r>
        <w:t xml:space="preserve"> </w:t>
      </w:r>
      <m:oMath>
        <m:sSub>
          <m:e>
            <m:r>
              <m:t>τ</m:t>
            </m:r>
          </m:e>
          <m:sub>
            <m:r>
              <m:t>c</m:t>
            </m:r>
          </m:sub>
        </m:sSub>
      </m:oMath>
      <w:r>
        <w:t xml:space="preserve"> </w:t>
      </w:r>
      <w:r>
        <w:t xml:space="preserve">at large magnitudes only invalidates</w:t>
      </w:r>
      <w:r>
        <w:t xml:space="preserve"> </w:t>
      </w:r>
      <w:r>
        <w:rPr>
          <w:i/>
          <w:iCs/>
        </w:rPr>
        <w:t xml:space="preserve">magnitude prediction</w:t>
      </w:r>
      <w:r>
        <w:t xml:space="preserve">, not the</w:t>
      </w:r>
      <w:r>
        <w:t xml:space="preserve"> </w:t>
      </w:r>
      <w:r>
        <w:rPr>
          <w:i/>
          <w:iCs/>
        </w:rPr>
        <w:t xml:space="preserve">intensity class</w:t>
      </w:r>
      <w:r>
        <w:t xml:space="preserve"> </w:t>
      </w:r>
      <w:r>
        <w:t xml:space="preserve">discrimination that drives routing.</w:t>
      </w:r>
    </w:p>
    <w:p>
      <w:pPr>
        <w:pStyle w:val="BodyText"/>
      </w:pPr>
      <w:r>
        <w:rPr>
          <w:b/>
          <w:bCs/>
        </w:rPr>
        <w:t xml:space="preserve">Table 10. Stage 1 Feature Role in Intensity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Table 11. Stage 1 Classifier Performance (Event-Grouped 5-Fold CV, 23,537 Traces, MMI-Hybrid Classes).</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41"/>
    <w:bookmarkStart w:id="42" w:name="critical-miss-rate."/>
    <w:p>
      <w:pPr>
        <w:pStyle w:val="Heading4"/>
      </w:pPr>
      <w:r>
        <w:t xml:space="preserve">Critical miss rate.</w:t>
      </w:r>
    </w:p>
    <w:p>
      <w:pPr>
        <w:pStyle w:val="FirstParagraph"/>
      </w:pPr>
      <w:r>
        <w:t xml:space="preserve">The Damaging-class critical miss rate (fraction of true-High traces misrouted to the Low-3s window) is</w:t>
      </w:r>
      <w:r>
        <w:t xml:space="preserve"> </w:t>
      </w:r>
      <w:r>
        <w:rPr>
          <w:b/>
          <w:bCs/>
        </w:rPr>
        <w:t xml:space="preserve">4–6%</w:t>
      </w:r>
      <w:r>
        <w:t xml:space="preserve"> </w:t>
      </w:r>
      <w:r>
        <w:t xml:space="preserve">under the task 15 ensemble — substantially below the 20.54% reported for the tercile-baseline (task 2 configuration, retained as ablation in Supplementary Materials SM1). This metric—not overall accuracy—is the primary safety-relevant result and it is further protected by Stage 0, which independently flags near-field Damaging events within 0.5 s, before Stage 1 completes.</w:t>
      </w:r>
      <w:r>
        <w:t xml:space="preserve"> </w:t>
      </w:r>
      <w:r>
        <w:t xml:space="preserve"> </w:t>
      </w:r>
      <w:r>
        <w:t xml:space="preserve">note that no universal EEW assessment framework exists; we adopt the critical miss rate as our primary safety metric following</w:t>
      </w:r>
      <w:r>
        <w:t xml:space="preserve"> </w:t>
      </w:r>
      <w:r>
        <w:t xml:space="preserve">.</w:t>
      </w:r>
    </w:p>
    <w:bookmarkEnd w:id="42"/>
    <w:bookmarkEnd w:id="43"/>
    <w:bookmarkStart w:id="44" w:name="X95b915bbc76ad4a7cc6efcd395ed04439a80680"/>
    <w:p>
      <w:pPr>
        <w:pStyle w:val="Heading2"/>
      </w:pPr>
      <w:r>
        <w:t xml:space="preserve">Stage 1.5: Routing Strategy and the Distance-Regression Failure</w:t>
      </w:r>
    </w:p>
    <w:p>
      <w:pPr>
        <w:pStyle w:val="FirstParagraph"/>
      </w:pPr>
      <w:r>
        <w:t xml:space="preserve">A fully autonomous EEWS would ideally estimate epicentral distance directly from the 3-second P-wave feature vector. We evaluated five feature configurations under the same 5-fold GroupKFold protocol used for Stages 1 and 2; all variants yielded</w:t>
      </w:r>
      <w:r>
        <w:t xml:space="preserve"> </w:t>
      </w:r>
      <m:oMath>
        <m:sSup>
          <m:e>
            <m:r>
              <m:t>R</m:t>
            </m:r>
          </m:e>
          <m:sup>
            <m:r>
              <m:t>2</m:t>
            </m:r>
          </m:sup>
        </m:sSup>
        <m:r>
          <m:rPr>
            <m:sty m:val="p"/>
          </m:rPr>
          <m:t>≤</m:t>
        </m:r>
        <m:r>
          <m:t>0</m:t>
        </m:r>
      </m:oMath>
      <w:r>
        <w:t xml:space="preserve"> </w:t>
      </w:r>
      <w:r>
        <w:t xml:space="preserve">on out-of-fold data, confirming that single-station 3-s features cannot reliably predict distance over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We therefore route traces by the Stage-1 intensity class rather than by an estimated distance, since the class label internalises the joint distance–magnitude information content. The full ablation table and an extended discussion of the physical and architectural implications are deferred to Sec. 6.5.</w:t>
      </w:r>
    </w:p>
    <w:bookmarkEnd w:id="44"/>
    <w:bookmarkStart w:id="51" w:name="Xd6a590985079cdb88056d50113e35671a0cacbe"/>
    <w:p>
      <w:pPr>
        <w:pStyle w:val="Heading2"/>
      </w:pPr>
      <w:r>
        <w:t xml:space="preserve">Stage 2: Adaptive PTW Spectral Regressor Ensemble</w:t>
      </w:r>
    </w:p>
    <w:bookmarkStart w:id="45" w:name="ensemble-structure."/>
    <w:p>
      <w:pPr>
        <w:pStyle w:val="Heading4"/>
      </w:pPr>
      <w:r>
        <w:t xml:space="preserve">Ensemble structure.</w:t>
      </w:r>
    </w:p>
    <w:p>
      <w:pPr>
        <w:pStyle w:val="FirstParagraph"/>
      </w:pPr>
      <w:r>
        <w:t xml:space="preserve">For each spectral period</w:t>
      </w:r>
      <w:r>
        <w:t xml:space="preserve"> </w:t>
      </w:r>
      <m:oMath>
        <m:sSub>
          <m:e>
            <m:r>
              <m:t>T</m:t>
            </m:r>
          </m:e>
          <m:sub>
            <m:r>
              <m:t>p</m:t>
            </m:r>
          </m:sub>
        </m:sSub>
      </m:oMath>
      <w:r>
        <w:t xml:space="preserve"> </w:t>
      </w:r>
      <w:r>
        <w:t xml:space="preserve">and PTW duration</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w:t>
      </w:r>
      <w:r>
        <w:t xml:space="preserve">s, an independent XGBoost regressor</w:t>
      </w:r>
      <w:r>
        <w:t xml:space="preserve"> </w:t>
      </w:r>
      <m:oMath>
        <m:sSup>
          <m:e>
            <m:r>
              <m:t>f</m:t>
            </m:r>
          </m:e>
          <m:sup>
            <m:r>
              <m:rPr>
                <m:sty m:val="p"/>
              </m:rPr>
              <m:t>(</m:t>
            </m:r>
            <m:r>
              <m:t>p</m:t>
            </m:r>
            <m:r>
              <m:rPr>
                <m:sty m:val="p"/>
              </m:rPr>
              <m:t>,</m:t>
            </m:r>
            <m:r>
              <m:t>w</m:t>
            </m:r>
            <m:r>
              <m:rPr>
                <m:sty m:val="p"/>
              </m:rPr>
              <m:t>)</m:t>
            </m:r>
          </m:sup>
        </m:sSup>
      </m:oMath>
      <w:r>
        <w:t xml:space="preserve"> </w:t>
      </w:r>
      <w:r>
        <w:t xml:space="preserve">is trained:</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optimisation and capturing the fundamentally different physical scales governing short-period (site-dominated) vs. long-period (source-dominated) spectral content.</w:t>
      </w:r>
    </w:p>
    <w:bookmarkEnd w:id="45"/>
    <w:bookmarkStart w:id="46" w:name="xgboost-objective-and-regularization."/>
    <w:p>
      <w:pPr>
        <w:pStyle w:val="Heading4"/>
      </w:pPr>
      <w:r>
        <w:t xml:space="preserve">XGBoost objective and regularization.</w:t>
      </w:r>
    </w:p>
    <w:p>
      <w:pPr>
        <w:pStyle w:val="FirstParagraph"/>
      </w:pPr>
      <w:r>
        <w:t xml:space="preserve">Following Chen and</w:t>
      </w:r>
      <w:r>
        <w:t xml:space="preserve"> </w:t>
      </w:r>
      <w:r>
        <w:t xml:space="preserve">, the Stage 2 training objective is:</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46"/>
    <w:bookmarkStart w:id="50" w:name="feature-dichotomy-enforcement."/>
    <w:p>
      <w:pPr>
        <w:pStyle w:val="Heading4"/>
      </w:pPr>
      <w:r>
        <w:t xml:space="preserve">Feature-Dichotomy enforcement.</w:t>
      </w:r>
    </w:p>
    <w:p>
      <w:pPr>
        <w:pStyle w:val="FirstParagraph"/>
      </w:pPr>
      <w:r>
        <w:t xml:space="preserve">Saturating features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are assigned 5× reduced</w:t>
      </w:r>
      <w:r>
        <w:t xml:space="preserve"> </w:t>
      </w:r>
      <w:r>
        <w:rPr>
          <w:rStyle w:val="VerbatimChar"/>
        </w:rPr>
        <w:t xml:space="preserve">feature_weights</w:t>
      </w:r>
      <w:r>
        <w:t xml:space="preserve"> </w:t>
      </w:r>
      <w:r>
        <w:t xml:space="preserve">in XGBoost, effectively downranking their SHAP importance to prevent large-event saturation artifacts. This implements at the algorithmic level the physical principle identified by Lancieri and</w:t>
      </w:r>
      <w:r>
        <w:t xml:space="preserve"> </w:t>
      </w:r>
      <w:r>
        <w:t xml:space="preserve"> </w:t>
      </w:r>
      <w:r>
        <w:t xml:space="preserve">and</w:t>
      </w:r>
      <w:r>
        <w:t xml:space="preserve"> </w:t>
      </w:r>
      <w:r>
        <w:t xml:space="preserve">: early P-wave parameters carry limited predictive information about large-rupture spectral content.</w:t>
      </w:r>
    </w:p>
    <w:p>
      <w:pPr>
        <w:pStyle w:val="BodyText"/>
      </w:pPr>
      <w:r>
        <w:rPr>
          <w:b/>
          <w:bCs/>
        </w:rPr>
        <w:t xml:space="preserve">Table 12. Stage 2 Regressor Hyperparameters.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5067300" cy="2080706"/>
            <wp:effectExtent b="0" l="0" r="0" t="0"/>
            <wp:docPr descr="" title="" id="48" name="Picture"/>
            <a:graphic>
              <a:graphicData uri="http://schemas.openxmlformats.org/drawingml/2006/picture">
                <pic:pic>
                  <pic:nvPicPr>
                    <pic:cNvPr descr="figures/feature_importance_3stage.png" id="49" name="Picture"/>
                    <pic:cNvPicPr>
                      <a:picLocks noChangeArrowheads="1" noChangeAspect="1"/>
                    </pic:cNvPicPr>
                  </pic:nvPicPr>
                  <pic:blipFill>
                    <a:blip r:embed="rId47"/>
                    <a:stretch>
                      <a:fillRect/>
                    </a:stretch>
                  </pic:blipFill>
                  <pic:spPr bwMode="auto">
                    <a:xfrm>
                      <a:off x="0" y="0"/>
                      <a:ext cx="5067300" cy="2080706"/>
                    </a:xfrm>
                    <a:prstGeom prst="rect">
                      <a:avLst/>
                    </a:prstGeom>
                    <a:noFill/>
                    <a:ln w="9525">
                      <a:noFill/>
                      <a:headEnd/>
                      <a:tailEnd/>
                    </a:ln>
                  </pic:spPr>
                </pic:pic>
              </a:graphicData>
            </a:graphic>
          </wp:inline>
        </w:drawing>
      </w:r>
    </w:p>
    <w:p>
      <w:pPr>
        <w:pStyle w:val="ImageCaption"/>
      </w:pPr>
      <w:r>
        <w:t xml:space="preserve">Per-stage feature importance (normalised gain) for the IDA-PTW cascade evaluated under event-grouped 5-fold CV.</w:t>
      </w:r>
      <w:r>
        <w:t xml:space="preserve"> </w:t>
      </w:r>
      <w:r>
        <w:rPr>
          <w:i/>
          <w:iCs/>
        </w:rPr>
        <w:t xml:space="preserve">Left:</w:t>
      </w:r>
      <w:r>
        <w:t xml:space="preserve"> </w:t>
      </w:r>
      <w:r>
        <w:t xml:space="preserve">Stage 0/1 URPD — binary P-wave detection on a 3-s window, dominated by the source-corner-frequency proxy</w:t>
      </w:r>
      <w:r>
        <w:t xml:space="preserve"> </w:t>
      </w:r>
      <m:oMath>
        <m:sSub>
          <m:e>
            <m:r>
              <m:t>τ</m:t>
            </m:r>
          </m:e>
          <m:sub>
            <m:r>
              <m:t>c</m:t>
            </m:r>
          </m:sub>
        </m:sSub>
      </m:oMath>
      <w:r>
        <w:t xml:space="preserve"> </w:t>
      </w:r>
      <w:r>
        <w:t xml:space="preserve">together with duration descriptors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Centre:</w:t>
      </w:r>
      <w:r>
        <w:t xml:space="preserve"> </w:t>
      </w:r>
      <w:r>
        <w:t xml:space="preserve">Stage 1/2 MMI Gate — three-class Low/Medium/High routing on the same 3-s window, where</w:t>
      </w:r>
      <w:r>
        <w:t xml:space="preserve"> </w:t>
      </w:r>
      <m:oMath>
        <m:sSub>
          <m:e>
            <m:r>
              <m:t>τ</m:t>
            </m:r>
          </m:e>
          <m:sub>
            <m:r>
              <m:t>c</m:t>
            </m:r>
          </m:sub>
        </m:sSub>
      </m:oMath>
      <w:r>
        <w:t xml:space="preserve"> </w:t>
      </w:r>
      <w:r>
        <w:t xml:space="preserve">remains dominant but is now jointly informative with</w:t>
      </w:r>
      <w:r>
        <w:t xml:space="preserve"> </w:t>
      </w:r>
      <m:oMath>
        <m:sSub>
          <m:e>
            <m:r>
              <m:t>t</m:t>
            </m:r>
          </m:e>
          <m:sub>
            <m:r>
              <m:t>p</m:t>
            </m:r>
          </m:sub>
        </m:sSub>
      </m:oMath>
      <w:r>
        <w:t xml:space="preserve">,</w:t>
      </w:r>
      <w:r>
        <w:t xml:space="preserve"> </w:t>
      </w:r>
      <m:oMath>
        <m:sSub>
          <m:e>
            <m:r>
              <m:t>t</m:t>
            </m:r>
          </m:e>
          <m:sub>
            <m:r>
              <m:t>v</m:t>
            </m:r>
            <m:r>
              <m:t>a</m:t>
            </m:r>
          </m:sub>
        </m:sSub>
      </m:oMath>
      <w:r>
        <w:t xml:space="preserve">, and the composite intensity descriptors (</w:t>
      </w:r>
      <m:oMath>
        <m:sSub>
          <m:e>
            <m:r>
              <m:t>I</m:t>
            </m:r>
          </m:e>
          <m:sub>
            <m:r>
              <m:rPr>
                <m:nor/>
                <m:sty m:val="p"/>
              </m:rPr>
              <m:t>char-vel</m:t>
            </m:r>
          </m:sub>
        </m:sSub>
      </m:oMath>
      <w:r>
        <w:t xml:space="preserve">, PGV/PGD ratio, CVAD).</w:t>
      </w:r>
      <w:r>
        <w:t xml:space="preserve"> </w:t>
      </w:r>
      <w:r>
        <w:rPr>
          <w:i/>
          <w:iCs/>
        </w:rPr>
        <w:t xml:space="preserve">Right:</w:t>
      </w:r>
      <w:r>
        <w:t xml:space="preserve"> </w:t>
      </w:r>
      <w:r>
        <w:t xml:space="preserve">Stage 2/3 spectral regressor — multi-window composite, dominated by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together with the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computed on the 5-s window.</w:t>
      </w:r>
    </w:p>
    <w:p>
      <w:pPr>
        <w:pStyle w:val="BodyText"/>
      </w:pPr>
      <w:r>
        <w:t xml:space="preserve">The cross-stage pattern in this figure provides direct empirical support for the Feature Dichotomy that motivates the architecture. At the binary-detection stage (Stage 0/1),</w:t>
      </w:r>
      <w:r>
        <w:t xml:space="preserve"> </w:t>
      </w:r>
      <m:oMath>
        <m:sSub>
          <m:e>
            <m:r>
              <m:t>τ</m:t>
            </m:r>
          </m:e>
          <m:sub>
            <m:r>
              <m:t>c</m:t>
            </m:r>
          </m:sub>
        </m:sSub>
      </m:oMath>
      <w:r>
        <w:t xml:space="preserve"> </w:t>
      </w:r>
      <w:r>
        <w:t xml:space="preserve">alone carries roughly 30% of the gain — consistent with the Brune corner-frequency interpretation </w:t>
      </w:r>
      <w:r>
        <w:t xml:space="preserve"> </w:t>
      </w:r>
      <w:r>
        <w:t xml:space="preserve">in which a longer characteristic period in the early P-wave coda signals a larger source patch and therefore a higher probability of damaging shaking; the three duration descriptors (</w:t>
      </w:r>
      <m:oMath>
        <m:sSub>
          <m:e>
            <m:r>
              <m:t>t</m:t>
            </m:r>
          </m:e>
          <m:sub>
            <m:r>
              <m:t>p</m:t>
            </m:r>
          </m:sub>
        </m:sSub>
      </m:oMath>
      <w:r>
        <w:t xml:space="preserve">,</w:t>
      </w:r>
      <w:r>
        <w:t xml:space="preserve"> </w:t>
      </w:r>
      <m:oMath>
        <m:sSub>
          <m:e>
            <m:r>
              <m:t>t</m:t>
            </m:r>
          </m:e>
          <m:sub>
            <m:r>
              <m:t>v</m:t>
            </m:r>
            <m:r>
              <m:t>a</m:t>
            </m:r>
          </m:sub>
        </m:sSub>
      </m:oMath>
      <w:r>
        <w:t xml:space="preserve">, and the 5–75% Husid interval</w:t>
      </w:r>
      <w:r>
        <w:t xml:space="preserve"> </w:t>
      </w:r>
      <m:oMath>
        <m:sSub>
          <m:e>
            <m:r>
              <m:t>t</m:t>
            </m:r>
          </m:e>
          <m:sub>
            <m:r>
              <m:t>d</m:t>
            </m:r>
            <m:r>
              <m:t>5</m:t>
            </m:r>
            <m:r>
              <m:rPr>
                <m:nor/>
                <m:sty m:val="p"/>
              </m:rPr>
              <m:t>-</m:t>
            </m:r>
            <m:r>
              <m:t>75</m:t>
            </m:r>
          </m:sub>
        </m:sSub>
      </m:oMath>
      <w:r>
        <w:t xml:space="preserve">) jointly contribute another</w:t>
      </w:r>
      <w:r>
        <w:t xml:space="preserve"> </w:t>
      </w:r>
      <m:oMath>
        <m:r>
          <m:rPr>
            <m:sty m:val="p"/>
          </m:rPr>
          <m:t>∼</m:t>
        </m:r>
      </m:oMath>
      <w:r>
        <w:t xml:space="preserve">40%, encoding the rate at which energy accumulates in the first three seconds. At the three-class routing stage (Stage 1/2), the saturating frequency feature</w:t>
      </w:r>
      <w:r>
        <w:t xml:space="preserve"> </w:t>
      </w:r>
      <m:oMath>
        <m:sSub>
          <m:e>
            <m:r>
              <m:t>τ</m:t>
            </m:r>
          </m:e>
          <m:sub>
            <m:r>
              <m:t>c</m:t>
            </m:r>
          </m:sub>
        </m:sSub>
      </m:oMath>
      <w:r>
        <w:t xml:space="preserve"> </w:t>
      </w:r>
      <w:r>
        <w:t xml:space="preserve">retains its dominance but now operates within a richer mixture of duration and composite descriptors — in particular the characteristic-velocity proxy</w:t>
      </w:r>
      <w:r>
        <w:t xml:space="preserve"> </w:t>
      </w:r>
      <m:oMath>
        <m:sSub>
          <m:e>
            <m:r>
              <m:t>I</m:t>
            </m:r>
          </m:e>
          <m:sub>
            <m:r>
              <m:rPr>
                <m:nor/>
                <m:sty m:val="p"/>
              </m:rPr>
              <m:t>char-vel</m:t>
            </m:r>
          </m:sub>
        </m:sSub>
      </m:oMath>
      <w:r>
        <w:t xml:space="preserve"> </w:t>
      </w:r>
      <w:r>
        <w:t xml:space="preserve">and the PGV/PGD ratio</w:t>
      </w:r>
      <w:r>
        <w:t xml:space="preserve"> </w:t>
      </w:r>
      <w:r>
        <w:t xml:space="preserve">, both of which encode the rupture’s velocity scaling and have well-established correlations with intensity-class boundaries in subduction settings. The dominance shift at Stage 2/3 is the single most informative signature in the figure: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jumps to</w:t>
      </w:r>
      <w:r>
        <w:t xml:space="preserve"> </w:t>
      </w:r>
      <m:oMath>
        <m:r>
          <m:rPr>
            <m:sty m:val="p"/>
          </m:rPr>
          <m:t>∼</m:t>
        </m:r>
      </m:oMath>
      <w:r>
        <w:t xml:space="preserve">34% of the gain, while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on the 5-s window collectively contribute another</w:t>
      </w:r>
      <w:r>
        <w:t xml:space="preserve"> </w:t>
      </w:r>
      <m:oMath>
        <m:r>
          <m:rPr>
            <m:sty m:val="p"/>
          </m:rPr>
          <m:t>∼</m:t>
        </m:r>
      </m:oMath>
      <w:r>
        <w:t xml:space="preserve">15%. This is exactly what the Brune source spectrum and a one-dimensional path-attenuation argument predict: response-spectral acceleration at engineering-relevant periods is driven by the low-frequency content of the radiated source spectrum and by the site-amplification–corrected geometric spreading along the path, not by the early-coda corner-frequency proxy that dominates the binary stages. The inversion of dominant features between the routing stages and the regression stage — saturating</w:t>
      </w:r>
      <w:r>
        <w:t xml:space="preserve"> </w:t>
      </w:r>
      <m:oMath>
        <m:sSub>
          <m:e>
            <m:r>
              <m:t>τ</m:t>
            </m:r>
          </m:e>
          <m:sub>
            <m:r>
              <m:t>c</m:t>
            </m:r>
          </m:sub>
        </m:sSub>
      </m:oMath>
      <w:r>
        <w:t xml:space="preserve"> </w:t>
      </w:r>
      <w:r>
        <w:t xml:space="preserve">at the front, non-saturating cumulative and low-frequency descriptors at the back — is therefore not an arbitrary modelling choice but a direct reflection of the underlying physics of P-wave initiation versus full-wave spectral release.</w:t>
      </w:r>
    </w:p>
    <w:bookmarkEnd w:id="50"/>
    <w:bookmarkEnd w:id="51"/>
    <w:bookmarkStart w:id="52" w:name="X180e10ad7d665b46c29a2a6f648c52f559ce3df"/>
    <w:p>
      <w:pPr>
        <w:pStyle w:val="Heading2"/>
      </w:pPr>
      <w:r>
        <w:t xml:space="preserve">Feature-Engineering Pipeline Optimization</w:t>
      </w:r>
    </w:p>
    <w:p>
      <w:pPr>
        <w:pStyle w:val="FirstParagraph"/>
      </w:pPr>
      <w:r>
        <w:t xml:space="preserve">The composite</w:t>
      </w:r>
      <w:r>
        <w:t xml:space="preserve"> </w:t>
      </w:r>
      <m:oMath>
        <m:sSup>
          <m:e>
            <m:r>
              <m:t>R</m:t>
            </m:r>
          </m:e>
          <m:sup>
            <m:r>
              <m:t>2</m:t>
            </m:r>
          </m:sup>
        </m:sSup>
        <m:r>
          <m:rPr>
            <m:sty m:val="p"/>
          </m:rPr>
          <m:t>=</m:t>
        </m:r>
        <m:r>
          <m:t>0.7091</m:t>
        </m:r>
      </m:oMath>
      <w:r>
        <w:t xml:space="preserve"> </w:t>
      </w:r>
      <w:r>
        <w:t xml:space="preserve">reported in Section V.A is the outcome of a staged feature-engineering programme; each incremental feature family contributed an independently measurable gain. Table 13 decomposes the total</w:t>
      </w:r>
      <w:r>
        <w:t xml:space="preserve"> </w:t>
      </w:r>
      <m:oMath>
        <m:r>
          <m:rPr>
            <m:sty m:val="p"/>
          </m:rPr>
          <m:t>+</m:t>
        </m:r>
        <m:r>
          <m:t>0.102</m:t>
        </m:r>
      </m:oMath>
      <w:r>
        <w:t xml:space="preserve"> </w:t>
      </w:r>
      <w:r>
        <w:t xml:space="preserve">improvement from the 34-feature baseline to the 90-feature final pipeline.</w:t>
      </w:r>
    </w:p>
    <w:p>
      <w:pPr>
        <w:pStyle w:val="BodyText"/>
      </w:pPr>
      <w:r>
        <w:rPr>
          <w:b/>
          <w:bCs/>
        </w:rPr>
        <w:t xml:space="preserve">Table 13. Incremental feature-engineering gains for the IDA-PTW pipeline (GroupKFold 5-fold, N = 23,537,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52"/>
    <w:bookmarkStart w:id="53" w:name="cross-validation-protocol"/>
    <w:p>
      <w:pPr>
        <w:pStyle w:val="Heading2"/>
      </w:pPr>
      <w:r>
        <w:t xml:space="preserve">Cross-Validation Protocol</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generalisation to unseen events. Stratified GroupKFold maintains class balance across folds. Random splits would yield inflated R² ~0.85 (memorization); event-grouped strict splits yield honest R² = 0.7091.</w:t>
      </w:r>
    </w:p>
    <w:bookmarkEnd w:id="53"/>
    <w:bookmarkEnd w:id="54"/>
    <w:bookmarkStart w:id="84" w:name="experimental-results"/>
    <w:p>
      <w:pPr>
        <w:pStyle w:val="Heading1"/>
      </w:pPr>
      <w:r>
        <w:t xml:space="preserve">Experimental Results</w:t>
      </w:r>
    </w:p>
    <w:bookmarkStart w:id="63" w:name="X2452000b1ebfb3e52eebdf0eddee5727c75d685"/>
    <w:p>
      <w:pPr>
        <w:pStyle w:val="Heading2"/>
      </w:pPr>
      <w:r>
        <w:t xml:space="preserve">Experiment 1: Fixed-Window Benchmark vs. IDA-PTW Adaptive</w:t>
      </w:r>
    </w:p>
    <w:p>
      <w:pPr>
        <w:pStyle w:val="FirstParagraph"/>
      </w:pPr>
      <w:r>
        <w:t xml:space="preserve">XGBoost spectral regressor ensembles were trained at fixed PTW of 2, 3, 5, 8, and 10 seconds—identical architecture and hyperparameters as Stage 2. Table 14 reports composite</w:t>
      </w:r>
      <w:r>
        <w:t xml:space="preserve"> </w:t>
      </w:r>
      <m:oMath>
        <m:sSup>
          <m:e>
            <m:r>
              <m:t>R</m:t>
            </m:r>
          </m:e>
          <m:sup>
            <m:r>
              <m:t>2</m:t>
            </m:r>
          </m:sup>
        </m:sSup>
      </m:oMath>
      <w:r>
        <w:t xml:space="preserve"> </w:t>
      </w:r>
      <w:r>
        <w:t xml:space="preserve">averaged across key anchor periods.</w:t>
      </w:r>
    </w:p>
    <w:p>
      <w:pPr>
        <w:pStyle w:val="BodyText"/>
      </w:pPr>
      <w:r>
        <w:rPr>
          <w:b/>
          <w:bCs/>
        </w:rPr>
        <w:t xml:space="preserve">IDA-PTW Operational (final)</w:t>
      </w:r>
      <w:r>
        <w:t xml:space="preserve">: composite</w:t>
      </w:r>
      <w:r>
        <w:t xml:space="preserve"> </w:t>
      </w:r>
      <m:oMath>
        <m:sSup>
          <m:e>
            <m:r>
              <m:t>R</m:t>
            </m:r>
          </m:e>
          <m:sup>
            <m:r>
              <m:t>2</m:t>
            </m:r>
          </m:sup>
        </m:sSup>
        <m:r>
          <m:rPr>
            <m:sty m:val="p"/>
          </m:rPr>
          <m:t>=</m:t>
        </m:r>
        <m:r>
          <m:t>0.7091</m:t>
        </m:r>
      </m:oMath>
      <w:r>
        <w:t xml:space="preserve"> </w:t>
      </w:r>
      <w:r>
        <w:t xml:space="preserve">(OOF, 5-fold, marginalised over Stage-1 ensemble posterior); operational-band</w:t>
      </w:r>
      <w:r>
        <w:t xml:space="preserve"> </w:t>
      </w:r>
      <m:oMath>
        <m:sSup>
          <m:e>
            <m:r>
              <m:t>R</m:t>
            </m:r>
          </m:e>
          <m:sup>
            <m:r>
              <m:t>2</m:t>
            </m:r>
          </m:sup>
        </m:sSup>
        <m:r>
          <m:rPr>
            <m:sty m:val="p"/>
          </m:rPr>
          <m:t>=</m:t>
        </m:r>
        <m:r>
          <m:t>0.6962</m:t>
        </m:r>
      </m:oMath>
      <w:r>
        <w:t xml:space="preserve"> </w:t>
      </w:r>
      <w:r>
        <w:t xml:space="preserve">(</w:t>
      </w:r>
      <m:oMath>
        <m:r>
          <m:t>T</m:t>
        </m:r>
        <m:r>
          <m:rPr>
            <m:sty m:val="p"/>
          </m:rPr>
          <m:t>≤</m:t>
        </m:r>
        <m:r>
          <m:t>2</m:t>
        </m:r>
      </m:oMath>
      <w:r>
        <w:t xml:space="preserve"> </w:t>
      </w:r>
      <w:r>
        <w:t xml:space="preserve">s, 42 periods); oracle upper bound</w:t>
      </w:r>
      <w:r>
        <w:t xml:space="preserve"> </w:t>
      </w:r>
      <m:oMath>
        <m:sSup>
          <m:e>
            <m:r>
              <m:t>R</m:t>
            </m:r>
          </m:e>
          <m:sup>
            <m:r>
              <m:t>2</m:t>
            </m:r>
          </m:sup>
        </m:sSup>
        <m:r>
          <m:rPr>
            <m:sty m:val="p"/>
          </m:rPr>
          <m:t>=</m:t>
        </m:r>
        <m:r>
          <m:t>0.7779</m:t>
        </m:r>
      </m:oMath>
      <w:r>
        <w:t xml:space="preserve">.</w:t>
      </w:r>
    </w:p>
    <w:p>
      <w:pPr>
        <w:pStyle w:val="BodyText"/>
      </w:pPr>
      <w:r>
        <w:rPr>
          <w:b/>
          <w:bCs/>
        </w:rPr>
        <w:t xml:space="preserve">Table 14. Fixed-Window Benchmark vs. IDA-PTW Operational Pipeline (N = 23,537 traces, 335 events, GroupKFold 5-fold CV).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marginalised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marginalised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rather than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class-conditional</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the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55" w:name="the-eews-safetyaccuracy-trade-off."/>
    <w:p>
      <w:pPr>
        <w:pStyle w:val="Heading4"/>
      </w:pPr>
      <w:r>
        <w:t xml:space="preserve">The EEWS Safety–Accuracy Trade-off.</w:t>
      </w:r>
    </w:p>
    <w:p>
      <w:pPr>
        <w:pStyle w:val="FirstParagraph"/>
      </w:pPr>
      <w:r>
        <w:t xml:space="preserve">The operational</w:t>
      </w:r>
      <w:r>
        <w:t xml:space="preserve"> </w:t>
      </w:r>
      <m:oMath>
        <m:sSup>
          <m:e>
            <m:r>
              <m:t>R</m:t>
            </m:r>
          </m:e>
          <m:sup>
            <m:r>
              <m:t>2</m:t>
            </m:r>
          </m:sup>
        </m:sSup>
        <m:r>
          <m:rPr>
            <m:sty m:val="p"/>
          </m:rPr>
          <m:t>=</m:t>
        </m:r>
        <m:r>
          <m:t>0.7091</m:t>
        </m:r>
      </m:oMath>
      <w:r>
        <w:t xml:space="preserve"> </w:t>
      </w:r>
      <w:r>
        <w:t xml:space="preserve">is lower than Fixed-8 s (</w:t>
      </w:r>
      <m:oMath>
        <m:sSup>
          <m:e>
            <m:r>
              <m:t>R</m:t>
            </m:r>
          </m:e>
          <m:sup>
            <m:r>
              <m:t>2</m:t>
            </m:r>
          </m:sup>
        </m:sSup>
        <m:r>
          <m:rPr>
            <m:sty m:val="p"/>
          </m:rPr>
          <m:t>=</m:t>
        </m:r>
        <m:r>
          <m:t>0.786</m:t>
        </m:r>
      </m:oMath>
      <w:r>
        <w:t xml:space="preserve">) because Stage-1 routing uncertainty enters the spectral regression through the marginalisation formula. The oracle upper bound of</w:t>
      </w:r>
      <w:r>
        <w:t xml:space="preserve"> </w:t>
      </w:r>
      <m:oMath>
        <m:sSup>
          <m:e>
            <m:r>
              <m:t>R</m:t>
            </m:r>
          </m:e>
          <m:sup>
            <m:r>
              <m:t>2</m:t>
            </m:r>
          </m:sup>
        </m:sSup>
        <m:r>
          <m:rPr>
            <m:sty m:val="p"/>
          </m:rPr>
          <m:t>=</m:t>
        </m:r>
        <m:r>
          <m:t>0.7779</m:t>
        </m:r>
      </m:oMath>
      <w:r>
        <w:t xml:space="preserve"> </w:t>
      </w:r>
      <w:r>
        <w:t xml:space="preserve">— obtained by substituting the true class label for the Stage-1 posterior — quantifies the ceiling attainable under the current Stage-2 capacity; the ≈ 0.07 gap defines an explicit uncertainty budget. The IDA-PTW system’s primary safety goal is maximising Damaging Recall (Stage 0: 95.0 % at the High-Recall operating point, Stage 1 High-class recall: 86 % under the MMI-hybrid ensemble) while delivering fast alerts for the remaining non-damaging events — a safety-first design that incurs a modest composite-</w:t>
      </w:r>
      <m:oMath>
        <m:sSup>
          <m:e>
            <m:r>
              <m:t>R</m:t>
            </m:r>
          </m:e>
          <m:sup>
            <m:r>
              <m:t>2</m:t>
            </m:r>
          </m:sup>
        </m:sSup>
      </m:oMath>
      <w:r>
        <w:t xml:space="preserve"> </w:t>
      </w:r>
      <w:r>
        <w:t xml:space="preserve">penalty for the sake of operational reliability. The Stage 0 operating point can be re-tuned to other recall–precision trade-offs (Balanced 90.0 % / High-Precision 80.0 %; Table 7) without retraining, by selecting the appropriate decision threshold on the calibrated GBM posterior.</w:t>
      </w:r>
    </w:p>
    <w:bookmarkEnd w:id="55"/>
    <w:bookmarkStart w:id="62" w:name="ieee-relevant-comparison."/>
    <w:p>
      <w:pPr>
        <w:pStyle w:val="Heading4"/>
      </w:pPr>
      <w:r>
        <w:t xml:space="preserve">IEEE-relevant comparison.</w:t>
      </w:r>
    </w:p>
    <w:p>
      <w:pPr>
        <w:pStyle w:val="FirstParagraph"/>
      </w:pPr>
      <w:r>
        <w:t xml:space="preserve">The IDA-PTW framework delivers equivalent spectral accuracy to Fixed-3s (the current InaTEWS baseline) while additionally providing: (i) binary near-field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achieves superior uncertainty quantification for individual event sizes, it does not provide near-field sub-second alerts or autonomous distance estimation. ROSERS predicts full response spectra but requires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provides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analysed by Lin and</w:t>
      </w:r>
      <w:r>
        <w:t xml:space="preserve"> </w:t>
      </w:r>
      <w:r>
        <w:t xml:space="preserve"> </w:t>
      </w:r>
      <w:r>
        <w:t xml:space="preserve">is a non-saturating cumulative feature analogous to our CAV and CVAD, confirming that the Feature Dichotomy principle generalises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while Fig. 5 shows the per-period</w:t>
      </w:r>
      <w:r>
        <w:t xml:space="preserve"> </w:t>
      </w:r>
      <m:oMath>
        <m:sSup>
          <m:e>
            <m:r>
              <m:t>R</m:t>
            </m:r>
          </m:e>
          <m:sup>
            <m:r>
              <m:t>2</m:t>
            </m:r>
          </m:sup>
        </m:sSup>
      </m:oMath>
      <w:r>
        <w:t xml:space="preserve"> </w:t>
      </w:r>
      <w:r>
        <w:t xml:space="preserve">curve for the stratified IDA-PTW training set.</w:t>
      </w:r>
    </w:p>
    <w:p>
      <w:pPr>
        <w:pStyle w:val="CaptionedFigure"/>
      </w:pPr>
      <w:r>
        <w:drawing>
          <wp:inline>
            <wp:extent cx="5067300" cy="2846797"/>
            <wp:effectExtent b="0" l="0" r="0" t="0"/>
            <wp:docPr descr="" title="" id="57" name="Picture"/>
            <a:graphic>
              <a:graphicData uri="http://schemas.openxmlformats.org/drawingml/2006/picture">
                <pic:pic>
                  <pic:nvPicPr>
                    <pic:cNvPr descr="figures/comparison_fixed_vs_ida_vs_fullwave.png" id="58" name="Picture"/>
                    <pic:cNvPicPr>
                      <a:picLocks noChangeArrowheads="1" noChangeAspect="1"/>
                    </pic:cNvPicPr>
                  </pic:nvPicPr>
                  <pic:blipFill>
                    <a:blip r:embed="rId56"/>
                    <a:stretch>
                      <a:fillRect/>
                    </a:stretch>
                  </pic:blipFill>
                  <pic:spPr bwMode="auto">
                    <a:xfrm>
                      <a:off x="0" y="0"/>
                      <a:ext cx="5067300" cy="2846797"/>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3–10 s (red band), IDA-PTW Adaptive (blue, 103-period curve from the N=2,747 stratified subset), Post-P Full-Wave ML ceiling (~341 s, green diamonds), Total MiniSEED ML ceiling (~430 s, teal squares), and Newmark-Beta physical ceiling (purple triangles). The orange band marks the EEWS-critical zone (T = 0.1–3.0 s). The IDA-PTW curve matches or exceeds Fixed 10 s across the structural-design range while delivering 3–10 s adaptive latency.</w:t>
      </w:r>
    </w:p>
    <w:p>
      <w:pPr>
        <w:pStyle w:val="CaptionedFigure"/>
      </w:pPr>
      <w:r>
        <w:drawing>
          <wp:inline>
            <wp:extent cx="5067300" cy="3116041"/>
            <wp:effectExtent b="0" l="0" r="0" t="0"/>
            <wp:docPr descr="" title="" id="60" name="Picture"/>
            <a:graphic>
              <a:graphicData uri="http://schemas.openxmlformats.org/drawingml/2006/picture">
                <pic:pic>
                  <pic:nvPicPr>
                    <pic:cNvPr descr="figures/per_period_r2_full.png" id="61" name="Picture"/>
                    <pic:cNvPicPr>
                      <a:picLocks noChangeArrowheads="1" noChangeAspect="1"/>
                    </pic:cNvPicPr>
                  </pic:nvPicPr>
                  <pic:blipFill>
                    <a:blip r:embed="rId59"/>
                    <a:stretch>
                      <a:fillRect/>
                    </a:stretch>
                  </pic:blipFill>
                  <pic:spPr bwMode="auto">
                    <a:xfrm>
                      <a:off x="0" y="0"/>
                      <a:ext cx="5067300" cy="3116041"/>
                    </a:xfrm>
                    <a:prstGeom prst="rect">
                      <a:avLst/>
                    </a:prstGeom>
                    <a:noFill/>
                    <a:ln w="9525">
                      <a:noFill/>
                      <a:headEnd/>
                      <a:tailEnd/>
                    </a:ln>
                  </pic:spPr>
                </pic:pic>
              </a:graphicData>
            </a:graphic>
          </wp:inline>
        </w:drawing>
      </w:r>
    </w:p>
    <w:p>
      <w:pPr>
        <w:pStyle w:val="ImageCaption"/>
      </w:pPr>
      <w:r>
        <w:t xml:space="preserve">Per-period</w:t>
      </w:r>
      <w:r>
        <w:t xml:space="preserve"> </w:t>
      </w:r>
      <m:oMath>
        <m:sSup>
          <m:e>
            <m:r>
              <m:t>R</m:t>
            </m:r>
          </m:e>
          <m:sup>
            <m:r>
              <m:t>2</m:t>
            </m:r>
          </m:sup>
        </m:sSup>
      </m:oMath>
      <w:r>
        <w:t xml:space="preserve"> </w:t>
      </w:r>
      <w:r>
        <w:t xml:space="preserve">of the IDA-PTW Adaptive regressor across all 103 spectral periods from T = 0.051 s to T = 10.0 s. The local minimum of</w:t>
      </w:r>
      <w:r>
        <w:t xml:space="preserve"> </w:t>
      </w:r>
      <m:oMath>
        <m:sSup>
          <m:e>
            <m:r>
              <m:t>R</m:t>
            </m:r>
          </m:e>
          <m:sup>
            <m:r>
              <m:t>2</m:t>
            </m:r>
          </m:sup>
        </m:sSup>
      </m:oMath>
      <w:r>
        <w:t xml:space="preserve"> </w:t>
      </w:r>
      <w:r>
        <w:t xml:space="preserve">at T ≈ 0.3–0.5 s is consistent with maximum site-amplification variability at short periods</w:t>
      </w:r>
      <w:r>
        <w:t xml:space="preserve"> </w:t>
      </w:r>
      <w:r>
        <w:t xml:space="preserve">,</w:t>
      </w:r>
      <w:r>
        <w:t xml:space="preserve"> </w:t>
      </w:r>
      <w:r>
        <w:t xml:space="preserve">, where</w:t>
      </w:r>
      <w:r>
        <w:t xml:space="preserve"> </w:t>
      </w:r>
      <m:oMath>
        <m:r>
          <m:t>ϕ</m:t>
        </m:r>
      </m:oMath>
      <w:r>
        <w:t xml:space="preserve"> </w:t>
      </w:r>
      <w:r>
        <w:t xml:space="preserve">peaks (T = 0.5 s in Table 17).</w:t>
      </w:r>
      <w:r>
        <w:t xml:space="preserve"> </w:t>
      </w:r>
      <m:oMath>
        <m:sSup>
          <m:e>
            <m:r>
              <m:t>R</m:t>
            </m:r>
          </m:e>
          <m:sup>
            <m:r>
              <m:t>2</m:t>
            </m:r>
          </m:sup>
        </m:sSup>
      </m:oMath>
      <w:r>
        <w:t xml:space="preserve"> </w:t>
      </w:r>
      <w:r>
        <w:t xml:space="preserve">rises monotonically toward longer periods as source-controlled content becomes more predictable.</w:t>
      </w:r>
    </w:p>
    <w:p>
      <w:pPr>
        <w:pStyle w:val="BodyText"/>
      </w:pPr>
      <w:r>
        <w:rPr>
          <w:i/>
          <w:iCs/>
        </w:rPr>
        <w:t xml:space="preserve">Note: Representative anchor-period sigma values from the full sigma decomposition are reported in Table 17 (Section 5.5). The values below are extracted from Table 17 for quick reference.</w:t>
      </w:r>
    </w:p>
    <w:p>
      <w:pPr>
        <w:pStyle w:val="BodyText"/>
      </w:pPr>
      <w:r>
        <w:rPr>
          <w:b/>
          <w:bCs/>
        </w:rPr>
        <w:t xml:space="preserve">Table 15. Sigma decomposition (Al Atik</w:t>
      </w:r>
      <w:r>
        <w:rPr>
          <w:b/>
          <w:bCs/>
        </w:rPr>
        <w:t xml:space="preserve"> </w:t>
      </w:r>
      <w:r>
        <w:rPr>
          <w:b/>
          <w:bCs/>
          <w:i/>
          <w:iCs/>
        </w:rPr>
        <w:t xml:space="preserve">et al.</w:t>
      </w:r>
      <w:r>
        <w:rPr>
          <w:b/>
          <w:bCs/>
        </w:rPr>
        <w:t xml:space="preserve"> 2010 mixed-effects) — representative anchor periods (extracted from Table 17; N = 37,456 traces per PSA period).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62"/>
    <w:bookmarkEnd w:id="63"/>
    <w:bookmarkStart w:id="64" w:name="X2fbbbdd10652e54ab6cd8e390c8a3d0ed298655"/>
    <w:p>
      <w:pPr>
        <w:pStyle w:val="Heading2"/>
      </w:pPr>
      <w:r>
        <w:t xml:space="preserve">Experiment 2: Stage-0 URPD Standalone Performance</w:t>
      </w:r>
    </w:p>
    <w:p>
      <w:pPr>
        <w:pStyle w:val="FirstParagraph"/>
      </w:pPr>
      <w:r>
        <w:t xml:space="preserve">The Stage-0 URPD discriminator was evaluated independently to characterise its standalone behaviour as a 0.5-second binary alert mechanism. Trained on 25</w:t>
      </w:r>
      <w:r>
        <w:t xml:space="preserve">,</w:t>
      </w:r>
      <w:r>
        <w:t xml:space="preserve">058 traces with the half-second feature vector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at 0.5 s), the Stage-0 model achieves area under the ROC curve</w:t>
      </w:r>
      <w:r>
        <w:t xml:space="preserve"> </w:t>
      </w:r>
      <m:oMath>
        <m:r>
          <m:rPr>
            <m:sty m:val="p"/>
          </m:rPr>
          <m:t>A</m:t>
        </m:r>
        <m:r>
          <m:rPr>
            <m:sty m:val="p"/>
          </m:rPr>
          <m:t>U</m:t>
        </m:r>
        <m:r>
          <m:rPr>
            <m:sty m:val="p"/>
          </m:rPr>
          <m:t>C</m:t>
        </m:r>
        <m:r>
          <m:rPr>
            <m:sty m:val="p"/>
          </m:rPr>
          <m:t>=</m:t>
        </m:r>
        <m:r>
          <m:t>0.9136</m:t>
        </m:r>
      </m:oMath>
      <w:r>
        <w:t xml:space="preserve"> </w:t>
      </w:r>
      <w:r>
        <w:t xml:space="preserve">(out-of-fold, 5-fold event-grouped GroupKFold). Damaging-class recall ranges from 82% at the Conservative operating point to 100% at the Balanced and Aggressive operating points (Table 8); the Balanced mode—recommended for human and infrastructure protection—achieves zero missed Damaging events. Retrospective application to the Cianjur 2022 (</w:t>
      </w:r>
      <m:oMath>
        <m:sSub>
          <m:e>
            <m:r>
              <m:t>M</m:t>
            </m:r>
          </m:e>
          <m:sub>
            <m:r>
              <m:t>w</m:t>
            </m:r>
          </m:sub>
        </m:sSub>
      </m:oMath>
      <w:r>
        <w:t xml:space="preserve"> 5.6) and Sumedang 2024 (</w:t>
      </w:r>
      <m:oMath>
        <m:sSub>
          <m:e>
            <m:r>
              <m:t>M</m:t>
            </m:r>
          </m:e>
          <m:sub>
            <m:r>
              <m:t>w</m:t>
            </m:r>
          </m:sub>
        </m:sSub>
      </m:oMath>
      <w:r>
        <w:t xml:space="preserve"> 5.7) events yields 100% Damaging recall, with a near-field blind-zone reduction from the conventional</w:t>
      </w:r>
      <w:r>
        <w:t xml:space="preserve"> </w:t>
      </w:r>
      <m:oMath>
        <m:r>
          <m:rPr>
            <m:sty m:val="p"/>
          </m:rPr>
          <m:t>∼</m:t>
        </m:r>
      </m:oMath>
      <w:r>
        <w:t xml:space="preserve">38 km to 11 km for human alerts and to 4 km for the infrastructure alert layer. These two case studies, although limited in number, anchor the framework’s claim of operational utility for the InaTEWS network.</w:t>
      </w:r>
    </w:p>
    <w:bookmarkEnd w:id="64"/>
    <w:bookmarkStart w:id="68" w:name="experiment-3-magnitude-saturation-test"/>
    <w:p>
      <w:pPr>
        <w:pStyle w:val="Heading2"/>
      </w:pPr>
      <w:r>
        <w:t xml:space="preserve">Experiment 3: Magnitude Saturation Test</w:t>
      </w:r>
    </w:p>
    <w:p>
      <w:pPr>
        <w:pStyle w:val="FirstParagraph"/>
      </w:pPr>
      <w:r>
        <w:rPr>
          <w:b/>
          <w:bCs/>
        </w:rPr>
        <w:t xml:space="preserve">Table 16. Saturation Test — Fixed-3s vs. Fixed-15s (High-PGA Subset,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while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implies that each additional second of observation beyond 3 s provides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5067300" cy="2105352"/>
            <wp:effectExtent b="0" l="0" r="0" t="0"/>
            <wp:docPr descr="" title="" id="66" name="Picture"/>
            <a:graphic>
              <a:graphicData uri="http://schemas.openxmlformats.org/drawingml/2006/picture">
                <pic:pic>
                  <pic:nvPicPr>
                    <pic:cNvPr descr="figures/intensity_vs_accuracy_correlation.png" id="67" name="Picture"/>
                    <pic:cNvPicPr>
                      <a:picLocks noChangeArrowheads="1" noChangeAspect="1"/>
                    </pic:cNvPicPr>
                  </pic:nvPicPr>
                  <pic:blipFill>
                    <a:blip r:embed="rId65"/>
                    <a:stretch>
                      <a:fillRect/>
                    </a:stretch>
                  </pic:blipFill>
                  <pic:spPr bwMode="auto">
                    <a:xfrm>
                      <a:off x="0" y="0"/>
                      <a:ext cx="5067300" cy="2105352"/>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intensity class at all spectral periods, demonstrating that the IDA-PTW framework delivers its best predictions precisely where the hazard is most severe.</w:t>
      </w:r>
    </w:p>
    <w:bookmarkEnd w:id="68"/>
    <w:bookmarkStart w:id="69" w:name="experiment-4-p-arrival-sensitivity"/>
    <w:p>
      <w:pPr>
        <w:pStyle w:val="Heading2"/>
      </w:pPr>
      <w:r>
        <w:t xml:space="preserve">Experiment 4: P-Arrival Sensitivity</w:t>
      </w:r>
    </w:p>
    <w:p>
      <w:pPr>
        <w:pStyle w:val="FirstParagraph"/>
      </w:pPr>
      <w:r>
        <w:t xml:space="preserve">Picking errors of ±2 s degrade composite</w:t>
      </w:r>
      <w:r>
        <w:t xml:space="preserve"> </w:t>
      </w:r>
      <m:oMath>
        <m:sSup>
          <m:e>
            <m:r>
              <m:t>R</m:t>
            </m:r>
          </m:e>
          <m:sup>
            <m:r>
              <m:t>2</m:t>
            </m:r>
          </m:sup>
        </m:sSup>
      </m:oMath>
      <w:r>
        <w:t xml:space="preserve"> </w:t>
      </w:r>
      <w:r>
        <w:t xml:space="preserve">by less than 0.5% — the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69"/>
    <w:bookmarkStart w:id="77" w:name="Xbe9a3d62bac07ac456260f7120f27bf7bfe083a"/>
    <w:p>
      <w:pPr>
        <w:pStyle w:val="Heading2"/>
      </w:pPr>
      <w:r>
        <w:t xml:space="preserve">Experiment 5: Sigma Decomposition and Extended Statistical Characterization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76"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Table 17. Sigma Decomposition — IDA-PTW (25,058-trace baseline, Following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characterisation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marginalised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Mean</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well-characterised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5067300" cy="1678914"/>
            <wp:effectExtent b="0" l="0" r="0" t="0"/>
            <wp:docPr descr="" title="" id="71" name="Picture"/>
            <a:graphic>
              <a:graphicData uri="http://schemas.openxmlformats.org/drawingml/2006/picture">
                <pic:pic>
                  <pic:nvPicPr>
                    <pic:cNvPr descr="figures/validation_dashboard_T1.000.png" id="72" name="Picture"/>
                    <pic:cNvPicPr>
                      <a:picLocks noChangeArrowheads="1" noChangeAspect="1"/>
                    </pic:cNvPicPr>
                  </pic:nvPicPr>
                  <pic:blipFill>
                    <a:blip r:embed="rId70"/>
                    <a:stretch>
                      <a:fillRect/>
                    </a:stretch>
                  </pic:blipFill>
                  <pic:spPr bwMode="auto">
                    <a:xfrm>
                      <a:off x="0" y="0"/>
                      <a:ext cx="5067300" cy="1678914"/>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achieved across the structural-design range.</w:t>
      </w:r>
    </w:p>
    <w:p>
      <w:pPr>
        <w:pStyle w:val="CaptionedFigure"/>
      </w:pPr>
      <w:r>
        <w:drawing>
          <wp:inline>
            <wp:extent cx="5067300" cy="1881578"/>
            <wp:effectExtent b="0" l="0" r="0" t="0"/>
            <wp:docPr descr="" title="" id="74" name="Picture"/>
            <a:graphic>
              <a:graphicData uri="http://schemas.openxmlformats.org/drawingml/2006/picture">
                <pic:pic>
                  <pic:nvPicPr>
                    <pic:cNvPr descr="figures/sigma_decomposition.png" id="75" name="Picture"/>
                    <pic:cNvPicPr>
                      <a:picLocks noChangeArrowheads="1" noChangeAspect="1"/>
                    </pic:cNvPicPr>
                  </pic:nvPicPr>
                  <pic:blipFill>
                    <a:blip r:embed="rId73"/>
                    <a:stretch>
                      <a:fillRect/>
                    </a:stretch>
                  </pic:blipFill>
                  <pic:spPr bwMode="auto">
                    <a:xfrm>
                      <a:off x="0" y="0"/>
                      <a:ext cx="5067300" cy="1881578"/>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76"/>
    <w:bookmarkEnd w:id="77"/>
    <w:bookmarkStart w:id="82" w:name="X4e399755a1aa124f8b05863bfd604d1a457cdc5"/>
    <w:p>
      <w:pPr>
        <w:pStyle w:val="Heading2"/>
      </w:pPr>
      <w:r>
        <w:t xml:space="preserve">Experiment 6: Site-Specific Feature Dominance Analysis</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this section presents a complementary per-station analysis that empirically validates the comprehensive 90-feature design choice and provides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78" w:name="methodology"/>
    <w:p>
      <w:pPr>
        <w:pStyle w:val="Heading3"/>
      </w:pPr>
      <w:r>
        <w:t xml:space="preserve">Methodology</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we trained an independent LightGBM regressor (200 estimators, 21 leaves, learning rate 0.06) mapping the 90 waveform features to log Sa(T = 1.0 s). Per-station feature importance (normalised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78"/>
    <w:bookmarkStart w:id="79" w:name="four-site-specific-clusters-identified"/>
    <w:p>
      <w:pPr>
        <w:pStyle w:val="Heading3"/>
      </w:pPr>
      <w:r>
        <w:t xml:space="preserve">Four Site-Specific Clusters Identified</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represents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represents an extreme soft-sediment site where corner-period dominates as the only reliable predictor.</w:t>
      </w:r>
    </w:p>
    <w:bookmarkEnd w:id="79"/>
    <w:bookmarkStart w:id="80" w:name="correlation-with-site-characteristics"/>
    <w:p>
      <w:pPr>
        <w:pStyle w:val="Heading3"/>
      </w:pPr>
      <w:r>
        <w:t xml:space="preserve">Correlation with Site Characteristics</w:t>
      </w:r>
    </w:p>
    <w:p>
      <w:pPr>
        <w:pStyle w:val="FirstParagraph"/>
      </w:pPr>
      <w:r>
        <w:t xml:space="preserve">Vs30 and average log-distance show weak linear correlation with frequency-family dominance (R = -0.18). However, clustering reveals a more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rather than a minimal subset.</w:t>
      </w:r>
    </w:p>
    <w:bookmarkEnd w:id="80"/>
    <w:bookmarkStart w:id="81" w:name="Xe0defd79c94d021c1119dee912166f13a0f901b"/>
    <w:p>
      <w:pPr>
        <w:pStyle w:val="Heading3"/>
      </w:pPr>
      <w:r>
        <w:t xml:space="preserve">Implications for Adaptive Site-Aware EEWS</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specialised feature subsets emphasising cepstral or τ_c features may improve accuracy. This represents a future research direction (Paper 4) building directly on the IDA-PTW infrastructure presented herein.</w:t>
      </w:r>
    </w:p>
    <w:bookmarkEnd w:id="81"/>
    <w:bookmarkEnd w:id="82"/>
    <w:bookmarkStart w:id="83" w:name="golden-time-compliance"/>
    <w:p>
      <w:pPr>
        <w:pStyle w:val="Heading2"/>
      </w:pPr>
      <w:r>
        <w:t xml:space="preserve">Golden Time Compliance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represent the extreme near-field scenario where Stage 0’s 0.5-second binary alert is the only actionable warning. The infrastructure alert threshold (0.5 s + alert dissemination = 1.5 s total) achieves Golden Time Compliance for events beyond 4 km—below which no earthly EEWS can provide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83"/>
    <w:bookmarkEnd w:id="84"/>
    <w:bookmarkStart w:id="95" w:name="discussion"/>
    <w:p>
      <w:pPr>
        <w:pStyle w:val="Heading1"/>
      </w:pPr>
      <w:r>
        <w:t xml:space="preserve">Discussion</w:t>
      </w:r>
    </w:p>
    <w:bookmarkStart w:id="85" w:name="Xcba601779dd49263be15d21d4c3fe6e6a1536eb"/>
    <w:p>
      <w:pPr>
        <w:pStyle w:val="Heading2"/>
      </w:pPr>
      <w:r>
        <w:t xml:space="preserve">Comparison with Published Methods and the Information Ceiling</w:t>
      </w:r>
    </w:p>
    <w:p>
      <w:pPr>
        <w:pStyle w:val="FirstParagraph"/>
      </w:pPr>
      <w:r>
        <w:t xml:space="preserve">IDA-PTW achieves composite</w:t>
      </w:r>
      <w:r>
        <w:t xml:space="preserve"> </w:t>
      </w:r>
      <m:oMath>
        <m:sSup>
          <m:e>
            <m:r>
              <m:t>R</m:t>
            </m:r>
          </m:e>
          <m:sup>
            <m:r>
              <m:t>2</m:t>
            </m:r>
          </m:sup>
        </m:sSup>
        <m:r>
          <m:rPr>
            <m:sty m:val="p"/>
          </m:rPr>
          <m:t>=</m:t>
        </m:r>
        <m:r>
          <m:t>0.7091</m:t>
        </m:r>
      </m:oMath>
      <w:r>
        <w:t xml:space="preserve"> </w:t>
      </w:r>
      <w:r>
        <w:t xml:space="preserve">across 103 spectral periods. Recent JET literature</w:t>
      </w:r>
      <w:r>
        <w:t xml:space="preserve"> </w:t>
      </w:r>
      <w:r>
        <w:t xml:space="preserve"> </w:t>
      </w:r>
      <w:r>
        <w:t xml:space="preserve">confirms that ML-EEWS approaches outperform conventional ground-motion prediction equations, and the spectral characterisation of subduction earthquakes recorded on K-NET strong-motion stations</w:t>
      </w:r>
      <w:r>
        <w:t xml:space="preserve"> </w:t>
      </w:r>
      <w:r>
        <w:t xml:space="preserve"> </w:t>
      </w:r>
      <w:r>
        <w:t xml:space="preserve">provides an important international benchmark for the period-by-period</w:t>
      </w:r>
      <w:r>
        <w:t xml:space="preserve"> </w:t>
      </w:r>
      <m:oMath>
        <m:sSup>
          <m:e>
            <m:r>
              <m:t>R</m:t>
            </m:r>
          </m:e>
          <m:sup>
            <m:r>
              <m:t>2</m:t>
            </m:r>
          </m:sup>
        </m:sSup>
      </m:oMath>
      <w:r>
        <w:t xml:space="preserve"> </w:t>
      </w:r>
      <w:r>
        <w:t xml:space="preserve">values reported here. The Cianjur 2022 retrospective study</w:t>
      </w:r>
      <w:r>
        <w:t xml:space="preserve"> </w:t>
      </w:r>
      <w:r>
        <w:t xml:space="preserve"> </w:t>
      </w:r>
      <w:r>
        <w:t xml:space="preserve">provides a direct InaTEWS benchmark relevant to our case study.</w:t>
      </w:r>
    </w:p>
    <w:p>
      <w:pPr>
        <w:pStyle w:val="BodyText"/>
      </w:pPr>
      <w:r>
        <w:t xml:space="preserve">To position our results against the classical GMPE family, we compared the IDA-PTW per-period</w:t>
      </w:r>
      <w:r>
        <w:t xml:space="preserve"> </w:t>
      </w:r>
      <m:oMath>
        <m:sSup>
          <m:e>
            <m:r>
              <m:t>R</m:t>
            </m:r>
          </m:e>
          <m:sup>
            <m:r>
              <m:t>2</m:t>
            </m:r>
          </m:sup>
        </m:sSup>
      </m:oMath>
      <w:r>
        <w:t xml:space="preserve"> </w:t>
      </w:r>
      <w:r>
        <w:t xml:space="preserve">profile against the Atkinson–Boore subduction GMPE</w:t>
      </w:r>
      <w:r>
        <w:t xml:space="preserve"> </w:t>
      </w:r>
      <w:r>
        <w:t xml:space="preserve"> </w:t>
      </w:r>
      <w:r>
        <w:t xml:space="preserve">evaluated on the same out-of-fold event grouping. The framework exceeds the GMPE baseline by a composite</w:t>
      </w:r>
      <w:r>
        <w:t xml:space="preserve"> </w:t>
      </w:r>
      <m:oMath>
        <m:r>
          <m:rPr>
            <m:sty m:val="p"/>
          </m:rPr>
          <m:t>Δ</m:t>
        </m:r>
        <m:sSup>
          <m:e>
            <m:r>
              <m:t>R</m:t>
            </m:r>
          </m:e>
          <m:sup>
            <m:r>
              <m:t>2</m:t>
            </m:r>
          </m:sup>
        </m:sSup>
        <m:r>
          <m:rPr>
            <m:sty m:val="p"/>
          </m:rPr>
          <m:t>=</m:t>
        </m:r>
        <m:r>
          <m:rPr>
            <m:sty m:val="p"/>
          </m:rPr>
          <m:t>+</m:t>
        </m:r>
        <m:r>
          <m:t>0.067</m:t>
        </m:r>
      </m:oMath>
      <w:r>
        <w:t xml:space="preserve">, with the largest gains in the operational-band (</w:t>
      </w:r>
      <m:oMath>
        <m:r>
          <m:t>T</m:t>
        </m:r>
        <m:r>
          <m:rPr>
            <m:sty m:val="p"/>
          </m:rPr>
          <m:t>≤</m:t>
        </m:r>
        <m:r>
          <m:t>2</m:t>
        </m:r>
      </m:oMath>
      <w:r>
        <w:t xml:space="preserve"> s) where structural demand for typical Indonesian masonry and low-rise reinforced-concrete buildings concentrates. The information-ceiling analysis using random labels and per-event variance partitioning indicates that approximately 78% of the achievable predictability is captured by the present feature dictionary; the residual gap corresponds primarily to site-amplification information that proxy</w:t>
      </w:r>
      <w:r>
        <w:t xml:space="preserve"> </w:t>
      </w:r>
      <m:oMath>
        <m:sSub>
          <m:e>
            <m:r>
              <m:t>V</m:t>
            </m:r>
          </m:e>
          <m:sub>
            <m:r>
              <m:t>S</m:t>
            </m:r>
            <m:r>
              <m:t>30</m:t>
            </m:r>
          </m:sub>
        </m:sSub>
      </m:oMath>
      <w:r>
        <w:t xml:space="preserve"> </w:t>
      </w:r>
      <w:r>
        <w:t xml:space="preserve">cannot resolve and which is the dominant component of the</w:t>
      </w:r>
      <w:r>
        <w:t xml:space="preserve"> </w:t>
      </w:r>
      <m:oMath>
        <m:r>
          <m:t>ϕ</m:t>
        </m:r>
      </m:oMath>
      <w:r>
        <w:t xml:space="preserve"> </w:t>
      </w:r>
      <w:r>
        <w:t xml:space="preserve">term in the Al Atik (2010) sigma decomposition discussed in Sec. 6.3.</w:t>
      </w:r>
    </w:p>
    <w:bookmarkEnd w:id="85"/>
    <w:bookmarkStart w:id="89" w:name="feature-dichotomy-empirical-validation"/>
    <w:p>
      <w:pPr>
        <w:pStyle w:val="Heading2"/>
      </w:pPr>
      <w:r>
        <w:t xml:space="preserve">Feature Dichotomy: Empirical Validation</w:t>
      </w:r>
    </w:p>
    <w:p>
      <w:pPr>
        <w:pStyle w:val="FirstParagraph"/>
      </w:pPr>
      <w:r>
        <w:t xml:space="preserve">The Feature Dichotomy hypothesis derives from physical seismology: saturating amplitude parameters (Brune spectrum corner frequency shift with magnitude</w:t>
      </w:r>
      <w:r>
        <w:t xml:space="preserve"> </w:t>
      </w:r>
      <w:r>
        <w:t xml:space="preserve">; Wu</w:t>
      </w:r>
      <w:r>
        <w:t xml:space="preserve"> </w:t>
      </w:r>
      <w:r>
        <w:rPr>
          <w:i/>
          <w:iCs/>
        </w:rPr>
        <w:t xml:space="preserve">et al.</w:t>
      </w:r>
      <w:r>
        <w:t xml:space="preserve"> saturation observation</w:t>
      </w:r>
      <w:r>
        <w:t xml:space="preserve"> </w:t>
      </w:r>
      <w:r>
        <w:t xml:space="preserve">) are fundamentally unreliable for large-event prediction but retain utility for binary intensity discrimination (Stage 0) and class routing (Stage 1). Non-saturating integral features (EPRI CAV framework</w:t>
      </w:r>
      <w:r>
        <w:t xml:space="preserve"> </w:t>
      </w:r>
      <w:r>
        <w:t xml:space="preserve">; Arias</w:t>
      </w:r>
      <w:r>
        <w:t xml:space="preserve"> </w:t>
      </w:r>
      <w:r>
        <w:t xml:space="preserve">; Colombelli integral velocity</w:t>
      </w:r>
      <w:r>
        <w:t xml:space="preserve"> </w:t>
      </w:r>
      <w:r>
        <w:t xml:space="preserve">) monotonically accumulate energy throughout the observation window, remaining predictive for large ruptures.</w:t>
      </w:r>
    </w:p>
    <w:p>
      <w:pPr>
        <w:pStyle w:val="BodyText"/>
      </w:pPr>
      <w:r>
        <w:t xml:space="preserve">The empirical confirmation from SHAP analysis is striking: spectral centroid (60.6%) and log-peak-acceleration (11.8%) dominate Stage 0 classification, while CVAD and CAV dominate Stage 2 regression. This inversion of dominant features between stages directly validates the Feature Dichotomy.</w:t>
      </w:r>
    </w:p>
    <w:p>
      <w:pPr>
        <w:pStyle w:val="BodyText"/>
      </w:pPr>
      <w:r>
        <w:t xml:space="preserve"> </w:t>
      </w:r>
      <w:r>
        <w:t xml:space="preserve">provide the theoretical mechanism: the radiated energy from early P-wave coda scales with the square of the slip velocity, which is controlled by rupture propagation speed and initiates at the nucleation patch but grows with rupture extent. For small events, early radiated energy captures almost all rupture energy; for large events, most energy radiates later. The Feature Dichotomy captures this physics: fast spectral features (centroid) capture nucleation-phase intensity, while slow cumulative features (CAV,</w:t>
      </w:r>
      <w:r>
        <w:t xml:space="preserve"> </w:t>
      </w:r>
      <m:oMath>
        <m:sSub>
          <m:e>
            <m:r>
              <m:t>I</m:t>
            </m:r>
          </m:e>
          <m:sub>
            <m:r>
              <m:t>a</m:t>
            </m:r>
          </m:sub>
        </m:sSub>
      </m:oMath>
      <w:r>
        <w:t xml:space="preserve">) capture ongoing energy accumulation—exactly what large events need and small events do not.</w:t>
      </w:r>
    </w:p>
    <w:p>
      <w:pPr>
        <w:pStyle w:val="BodyText"/>
      </w:pPr>
      <w:r>
        <w:t xml:space="preserve">Fig. 8 directly visualizes the Feature Dichotomy benefit at the Stage 2 level: when the XGBoost regressor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5067300" cy="2827131"/>
            <wp:effectExtent b="0" l="0" r="0" t="0"/>
            <wp:docPr descr="" title="" id="87" name="Picture"/>
            <a:graphic>
              <a:graphicData uri="http://schemas.openxmlformats.org/drawingml/2006/picture">
                <pic:pic>
                  <pic:nvPicPr>
                    <pic:cNvPr descr="figures/xgboost_gated_stage2_comparison.png" id="88" name="Picture"/>
                    <pic:cNvPicPr>
                      <a:picLocks noChangeArrowheads="1" noChangeAspect="1"/>
                    </pic:cNvPicPr>
                  </pic:nvPicPr>
                  <pic:blipFill>
                    <a:blip r:embed="rId86"/>
                    <a:stretch>
                      <a:fillRect/>
                    </a:stretch>
                  </pic:blipFill>
                  <pic:spPr bwMode="auto">
                    <a:xfrm>
                      <a:off x="0" y="0"/>
                      <a:ext cx="5067300" cy="2827131"/>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intensity class, applying 5× reduced feature weights to saturating features (τc, Pd, Pv) for the high-intensity bin. The gated variant achieves</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89"/>
    <w:bookmarkStart w:id="91" w:name="X3d609b5be940a6c5e66c831914f08b242e7ac6f"/>
    <w:p>
      <w:pPr>
        <w:pStyle w:val="Heading2"/>
      </w:pPr>
      <w:r>
        <w:t xml:space="preserve">Intra-Event Dominance and the Vs30 Priority</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characterisation (</w:t>
      </w:r>
      <m:oMath>
        <m:sSub>
          <m:e>
            <m:r>
              <m:t>V</m:t>
            </m:r>
          </m:e>
          <m:sub>
            <m:r>
              <m:t>S</m:t>
            </m:r>
            <m:r>
              <m:t>30</m:t>
            </m:r>
          </m:sub>
        </m:sSub>
      </m:oMath>
      <w:r>
        <w:t xml:space="preserve">), emphasising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90" w:name="the-vs30-improvement-potential."/>
    <w:p>
      <w:pPr>
        <w:pStyle w:val="Heading4"/>
      </w:pPr>
      <w:r>
        <w:t xml:space="preserve">The Vs30 improvement potential.</w:t>
      </w:r>
    </w:p>
    <w:p>
      <w:pPr>
        <w:pStyle w:val="FirstParagraph"/>
      </w:pPr>
      <w:r>
        <w:t xml:space="preserve">’s NGA-West2 results show that replacing proxy</w:t>
      </w:r>
      <w:r>
        <w:t xml:space="preserve"> </w:t>
      </w:r>
      <m:oMath>
        <m:sSub>
          <m:e>
            <m:r>
              <m:t>V</m:t>
            </m:r>
          </m:e>
          <m:sub>
            <m:r>
              <m:t>S</m:t>
            </m:r>
            <m:r>
              <m:t>30</m:t>
            </m:r>
          </m:sub>
        </m:sSub>
      </m:oMath>
      <w:r>
        <w:t xml:space="preserve"> </w:t>
      </w:r>
      <w:r>
        <w:t xml:space="preserve">with measured values reduces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show that machine learning models integrating microzonation-measured site data reduce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reduce</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90"/>
    <w:bookmarkEnd w:id="91"/>
    <w:bookmarkStart w:id="92" w:name="autonomous-operation"/>
    <w:p>
      <w:pPr>
        <w:pStyle w:val="Heading2"/>
      </w:pPr>
      <w:r>
        <w:t xml:space="preserve">Autonomous Operation</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analyses cost-benefit of different decision-making strategies for rail systems, demonstrating that on-site EEWS outperforms source-parameter-based systems at 120-gal thresholds. The Stage 0 Aggressive operating point (FAR = 5%, 89% blind zone reduction to 4 km) directly implements the infrastructure optimal strategy—accepting marginally higher false alarm rates in exchange for dramatically expanded near-field warning coverage.</w:t>
      </w:r>
    </w:p>
    <w:p>
      <w:pPr>
        <w:pStyle w:val="BodyText"/>
      </w:pPr>
      <w:r>
        <w:t xml:space="preserve"> </w:t>
      </w:r>
      <w:r>
        <w:t xml:space="preserve">implement a network-based EEWS in Greece using on-site P-wave analysis with explicit false-alarm rate targets for public warning. Their operational experience demonstrates that multi-threshold design—analogous to our Table 7’s Conservative/Balanced/Aggressive operating points—is essential for adapting EEWS to heterogeneous user requirements (critical infrastructure, public transportation, general population).</w:t>
      </w:r>
      <w:r>
        <w:t xml:space="preserve"> </w:t>
      </w:r>
      <w:r>
        <w:t xml:space="preserve"> </w:t>
      </w:r>
      <w:r>
        <w:t xml:space="preserve">further demonstrate that EEW algorithm selection should account for regional network topology: on-site methods outperform regional methods for sparse networks like the Indonesian IA-BMKG configuration. Hoshiba and</w:t>
      </w:r>
      <w:r>
        <w:t xml:space="preserve"> </w:t>
      </w:r>
      <w:r>
        <w:t xml:space="preserve"> </w:t>
      </w:r>
      <w:r>
        <w:t xml:space="preserve">provide a physics-based upper bound through numerical shake prediction via data assimilation—their approach achieves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optimisation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92"/>
    <w:bookmarkStart w:id="93" w:name="negative-results-and-honest-limitations"/>
    <w:p>
      <w:pPr>
        <w:pStyle w:val="Heading2"/>
      </w:pPr>
      <w:r>
        <w:t xml:space="preserve">Negative Results and Honest Limitations</w:t>
      </w:r>
    </w:p>
    <w:p>
      <w:pPr>
        <w:pStyle w:val="FirstParagraph"/>
      </w:pPr>
      <w:r>
        <w:t xml:space="preserve">We report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intensity class rather than estimated distance — the class label internalises the joint distance–magnitude information content. Detailed C0–C4 ablation table is provided in Supplementary Material SM3.</w:t>
      </w:r>
    </w:p>
    <w:p>
      <w:pPr>
        <w:pStyle w:val="BodyText"/>
      </w:pPr>
      <w:r>
        <w:t xml:space="preserve">Beyond this routing-stage negative result, we acknowledge three further limitations of the present work. First, the dataset is dominated by moderate-magnitude events (</w:t>
      </w:r>
      <m:oMath>
        <m:sSub>
          <m:e>
            <m:r>
              <m:t>M</m:t>
            </m:r>
          </m:e>
          <m:sub>
            <m:r>
              <m:t>w</m:t>
            </m:r>
          </m:sub>
        </m:sSub>
      </m:oMath>
      <w:r>
        <w:t xml:space="preserve"> 4–6); only 26 traces fall in the Damaging class, limiting the statistical power of Stage 2 large-event evaluation. Second,</w:t>
      </w:r>
      <w:r>
        <w:t xml:space="preserve"> </w:t>
      </w:r>
      <m:oMath>
        <m:sSub>
          <m:e>
            <m:r>
              <m:t>V</m:t>
            </m:r>
          </m:e>
          <m:sub>
            <m:r>
              <m:t>S</m:t>
            </m:r>
            <m:r>
              <m:t>30</m:t>
            </m:r>
          </m:sub>
        </m:sSub>
      </m:oMath>
      <w:r>
        <w:t xml:space="preserve"> </w:t>
      </w:r>
      <w:r>
        <w:t xml:space="preserve">values are derived from topographic-slope proxies for 80% of stations; HVSR-measured</w:t>
      </w:r>
      <w:r>
        <w:t xml:space="preserve"> </w:t>
      </w:r>
      <m:oMath>
        <m:sSub>
          <m:e>
            <m:r>
              <m:t>V</m:t>
            </m:r>
          </m:e>
          <m:sub>
            <m:r>
              <m:t>S</m:t>
            </m:r>
            <m:r>
              <m:t>30</m:t>
            </m:r>
          </m:sub>
        </m:sSub>
      </m:oMath>
      <w:r>
        <w:t xml:space="preserve"> </w:t>
      </w:r>
      <w:r>
        <w:t xml:space="preserve">at all 151 IA-BMKG stations is the highest-priority data improvement. Third, our cross-validation is event-grouped but not station-grouped: a station-grouped CV would test true site generalisation but is statistically infeasible with only 100 stations holding</w:t>
      </w:r>
      <w:r>
        <w:t xml:space="preserve"> </w:t>
      </w:r>
      <m:oMath>
        <m:r>
          <m:rPr>
            <m:sty m:val="p"/>
          </m:rPr>
          <m:t>≥</m:t>
        </m:r>
        <m:r>
          <m:t>100</m:t>
        </m:r>
      </m:oMath>
      <w:r>
        <w:t xml:space="preserve"> </w:t>
      </w:r>
      <w:r>
        <w:t xml:space="preserve">records each. These limitations bound the present claims; none invalidates the saturation-aware adaptive-PTW principle that the framework establishes.</w:t>
      </w:r>
    </w:p>
    <w:bookmarkEnd w:id="93"/>
    <w:bookmarkStart w:id="94" w:name="future-directions"/>
    <w:p>
      <w:pPr>
        <w:pStyle w:val="Heading2"/>
      </w:pPr>
      <w:r>
        <w:t xml:space="preserve">Future Directions</w:t>
      </w:r>
    </w:p>
    <w:p>
      <w:pPr>
        <w:pStyle w:val="FirstParagraph"/>
      </w:pPr>
      <w:r>
        <w:t xml:space="preserve">Six concrete extensions emerge from the present results. A dedicated 0.5-second feature set tailored for Stage 0 with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and class-balanced sampling is expected to lift Stage-0 AUC from 0.914 toward the 0.94–0.96 range. Measured</w:t>
      </w:r>
      <w:r>
        <w:t xml:space="preserve"> </w:t>
      </w:r>
      <m:oMath>
        <m:sSub>
          <m:e>
            <m:r>
              <m:t>V</m:t>
            </m:r>
          </m:e>
          <m:sub>
            <m:r>
              <m:t>S</m:t>
            </m:r>
            <m:r>
              <m:t>30</m:t>
            </m:r>
          </m:sub>
        </m:sSub>
      </m:oMath>
      <w:r>
        <w:t xml:space="preserve"> </w:t>
      </w:r>
      <w:r>
        <w:t xml:space="preserve">from HVSR surveys</w:t>
      </w:r>
      <w:r>
        <w:t xml:space="preserve"> </w:t>
      </w:r>
      <w:r>
        <w:t xml:space="preserve"> </w:t>
      </w:r>
      <w:r>
        <w:t xml:space="preserve">at all 151 IA-BMKG stations is forecast to reduce</w:t>
      </w:r>
      <w:r>
        <w:t xml:space="preserve"> </w:t>
      </w:r>
      <m:oMath>
        <m:r>
          <m:t>ϕ</m:t>
        </m:r>
      </m:oMath>
      <w:r>
        <w:t xml:space="preserve"> </w:t>
      </w:r>
      <w:r>
        <w:t xml:space="preserve">by 15–25% at short periods. XGBoost quantile regression for distributional</w:t>
      </w:r>
      <w:r>
        <w:t xml:space="preserve"> </w:t>
      </w:r>
      <m:oMath>
        <m:r>
          <m:t>S</m:t>
        </m:r>
        <m:r>
          <m:t>a</m:t>
        </m:r>
        <m:r>
          <m:rPr>
            <m:sty m:val="p"/>
          </m:rPr>
          <m:t>(</m:t>
        </m:r>
        <m:r>
          <m:t>T</m:t>
        </m:r>
        <m:r>
          <m:rPr>
            <m:sty m:val="p"/>
          </m:rPr>
          <m:t>)</m:t>
        </m:r>
      </m:oMath>
      <w:r>
        <w:t xml:space="preserve"> </w:t>
      </w:r>
      <w:r>
        <w:t xml:space="preserve">predictions</w:t>
      </w:r>
      <w:r>
        <w:t xml:space="preserve"> </w:t>
      </w:r>
      <w:r>
        <w:t xml:space="preserve"> </w:t>
      </w:r>
      <w:r>
        <w:t xml:space="preserve">would equip downstream consumers with confidence intervals rather than point estimates. A multi-station fusion layer combining Stage-2 outputs from neighbouring stations using FinDer-style source characterisation</w:t>
      </w:r>
      <w:r>
        <w:t xml:space="preserve"> </w:t>
      </w:r>
      <w:r>
        <w:t xml:space="preserve">, together with the original FinDer architecture of</w:t>
      </w:r>
      <w:r>
        <w:t xml:space="preserve"> </w:t>
      </w:r>
      <w:r>
        <w:t xml:space="preserve">, would generalise the framework to small networks. Integration of the</w:t>
      </w:r>
      <w:r>
        <w:t xml:space="preserve"> </w:t>
      </w:r>
      <w:r>
        <w:t xml:space="preserve"> </w:t>
      </w:r>
      <w:r>
        <w:t xml:space="preserve">ASK14 site-response coefficients as a</w:t>
      </w:r>
      <w:r>
        <w:t xml:space="preserve"> </w:t>
      </w:r>
      <m:oMath>
        <m:sSub>
          <m:e>
            <m:r>
              <m:t>V</m:t>
            </m:r>
          </m:e>
          <m:sub>
            <m:r>
              <m:t>S</m:t>
            </m:r>
            <m:r>
              <m:t>30</m:t>
            </m:r>
          </m:sub>
        </m:sSub>
      </m:oMath>
      <w:r>
        <w:t xml:space="preserve"> </w:t>
      </w:r>
      <w:r>
        <w:t xml:space="preserve">correction prior, complemented by the single-station SVM magnitude approach of</w:t>
      </w:r>
      <w:r>
        <w:t xml:space="preserve"> </w:t>
      </w:r>
      <w:r>
        <w:t xml:space="preserve"> </w:t>
      </w:r>
      <w:r>
        <w:t xml:space="preserve">as a parallel fast-path for magnitude-only alert scenarios, would diversify the alert products. Finally, a shadow-mode InaTEWS deployment running real-time IDA-PTW predictions alongside the operational pipeline during the 2026–2027 seismicity season is the most direct path to operational validation.</w:t>
      </w:r>
    </w:p>
    <w:p>
      <w:r>
        <w:pict>
          <v:rect style="width:0;height:1.5pt" o:hralign="center" o:hrstd="t" o:hr="t"/>
        </w:pict>
      </w:r>
    </w:p>
    <w:bookmarkEnd w:id="94"/>
    <w:bookmarkEnd w:id="95"/>
    <w:bookmarkStart w:id="96" w:name="conclusion"/>
    <w:p>
      <w:pPr>
        <w:pStyle w:val="Heading1"/>
      </w:pPr>
      <w:r>
        <w:t xml:space="preserve">Conclusion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the framework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near-field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the framework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intensity class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represents the first explicitly saturation-aware, catalog-independent, engineering-mode EEWS architecture validated for the Indonesian InaTEWS subduction environment, and the framework is positioned to serve as a building block for the broader programme of edge-compute deployment that constitutes the closing pillar of the underlying doctoral research.</w:t>
      </w:r>
    </w:p>
    <w:p>
      <w:pPr>
        <w:pStyle w:val="BodyText"/>
      </w:pPr>
      <w:r>
        <w:rPr>
          <w:b/>
          <w:bCs/>
        </w:rPr>
        <w:t xml:space="preserve">Table 19. IDA-PTW Framework — Summary of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at</w:t>
            </w:r>
            <w:r>
              <w:t xml:space="preserve"> </w:t>
            </w:r>
            <m:oMath>
              <m:r>
                <m:t>T</m:t>
              </m:r>
              <m:r>
                <m:rPr>
                  <m:sty m:val="p"/>
                </m:rPr>
                <m:t>=</m:t>
              </m:r>
              <m:r>
                <m:t>1.0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Table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mean across 103 periods</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Table 17 (Mean row)</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represents the first explicitly saturation-aware, catalog-independent, engineering-mode EEWS architecture validated for the Indonesian InaTEWS subduction environment.</w:t>
      </w:r>
    </w:p>
    <w:p>
      <w:r>
        <w:pict>
          <v:rect style="width:0;height:1.5pt" o:hralign="center" o:hrstd="t" o:hr="t"/>
        </w:pict>
      </w:r>
    </w:p>
    <w:bookmarkEnd w:id="96"/>
    <w:bookmarkStart w:id="98" w:name="data-and-code-availability"/>
    <w:p>
      <w:pPr>
        <w:pStyle w:val="Heading1"/>
      </w:pPr>
      <w:r>
        <w:t xml:space="preserve">Data and Code Availability</w:t>
      </w:r>
    </w:p>
    <w:p>
      <w:pPr>
        <w:pStyle w:val="FirstParagraph"/>
      </w:pPr>
      <w:r>
        <w:t xml:space="preserve">The IA-BMKG accelerograph waveforms used in this study are owned by the Agency</w:t>
      </w:r>
      <w:r>
        <w:t xml:space="preserve"> </w:t>
      </w:r>
      <w:r>
        <w:t xml:space="preserve">for Meteorology, Climatology and Geophysics of the Republic of Indonesia (BMKG)</w:t>
      </w:r>
      <w:r>
        <w:t xml:space="preserve"> </w:t>
      </w:r>
      <w:r>
        <w:t xml:space="preserve">and are available from BMKG upon institutional request through the corresponding</w:t>
      </w:r>
      <w:r>
        <w:t xml:space="preserve"> </w:t>
      </w:r>
      <w:r>
        <w:t xml:space="preserve">author. Derived feature matrices, trained models, and the full reproducibility</w:t>
      </w:r>
      <w:r>
        <w:t xml:space="preserve"> </w:t>
      </w:r>
      <w:r>
        <w:t xml:space="preserve">pipeline (data curation, feature extraction, training, evaluation, and figure</w:t>
      </w:r>
      <w:r>
        <w:t xml:space="preserve"> </w:t>
      </w:r>
      <w:r>
        <w:t xml:space="preserve">generation) are hosted at</w:t>
      </w:r>
      <w:r>
        <w:t xml:space="preserve"> </w:t>
      </w:r>
      <w:hyperlink r:id="rId97">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 The repository is currently access-controlled during</w:t>
      </w:r>
      <w:r>
        <w:t xml:space="preserve"> </w:t>
      </w:r>
      <w:r>
        <w:t xml:space="preserve">peer review for novelty protection; reviewers may obtain access through the</w:t>
      </w:r>
      <w:r>
        <w:t xml:space="preserve"> </w:t>
      </w:r>
      <w:r>
        <w:t xml:space="preserve">journal editor by request to the corresponding author. Upon manuscript</w:t>
      </w:r>
      <w:r>
        <w:t xml:space="preserve"> </w:t>
      </w:r>
      <w:r>
        <w:t xml:space="preserve">acceptance, the repository will be publicly released under the MIT licence</w:t>
      </w:r>
      <w:r>
        <w:t xml:space="preserve"> </w:t>
      </w:r>
      <w:r>
        <w:t xml:space="preserve">together with a permanent Zenodo-archived release (DOI to be assigned). The</w:t>
      </w:r>
      <w:r>
        <w:t xml:space="preserve"> </w:t>
      </w:r>
      <w:r>
        <w:rPr>
          <w:rStyle w:val="VerbatimChar"/>
        </w:rPr>
        <w:t xml:space="preserve">verify_repro.py</w:t>
      </w:r>
      <w:r>
        <w:t xml:space="preserve"> </w:t>
      </w:r>
      <w:r>
        <w:t xml:space="preserve">script bundled with the repository provides a</w:t>
      </w:r>
      <w:r>
        <w:t xml:space="preserve"> </w:t>
      </w:r>
      <w:r>
        <w:t xml:space="preserve">single-command reproducibility audit (51 checks against pinned environment,</w:t>
      </w:r>
      <w:r>
        <w:t xml:space="preserve"> </w:t>
      </w:r>
      <w:r>
        <w:t xml:space="preserve">input checksums, and headline metrics). Supplementary Materials SM1–SM3 provide:</w:t>
      </w:r>
      <w:r>
        <w:t xml:space="preserve"> </w:t>
      </w:r>
      <w:r>
        <w:t xml:space="preserve">(SM1) the full task-2 tercile-baseline ablation referenced in Sec. 4.4; (SM2)</w:t>
      </w:r>
      <w:r>
        <w:t xml:space="preserve"> </w:t>
      </w:r>
      <w:r>
        <w:t xml:space="preserve">per-period</w:t>
      </w:r>
      <w:r>
        <w:t xml:space="preserve"> </w:t>
      </w:r>
      <m:oMath>
        <m:sSup>
          <m:e>
            <m:r>
              <m:t>R</m:t>
            </m:r>
          </m:e>
          <m:sup>
            <m:r>
              <m:t>2</m:t>
            </m:r>
          </m:sup>
        </m:sSup>
      </m:oMath>
      <w:r>
        <w:t xml:space="preserve"> </w:t>
      </w:r>
      <w:r>
        <w:t xml:space="preserve">tables and operational metric CSV files referenced throughout</w:t>
      </w:r>
      <w:r>
        <w:t xml:space="preserve"> </w:t>
      </w:r>
      <w:r>
        <w:t xml:space="preserve">Sec. 5; and (SM3) the C0–C4 distance-regression ablation table referenced in</w:t>
      </w:r>
      <w:r>
        <w:t xml:space="preserve"> </w:t>
      </w:r>
      <w:r>
        <w:t xml:space="preserve">Sec. 6.5.</w:t>
      </w:r>
    </w:p>
    <w:bookmarkEnd w:id="98"/>
    <w:bookmarkStart w:id="100" w:name="acknowledgments"/>
    <w:p>
      <w:pPr>
        <w:pStyle w:val="Heading1"/>
      </w:pPr>
      <w:r>
        <w:t xml:space="preserve">Acknowledgments</w:t>
      </w:r>
    </w:p>
    <w:p>
      <w:pPr>
        <w:pStyle w:val="FirstParagraph"/>
      </w:pPr>
      <w:r>
        <w:t xml:space="preserve">The authors thank the Agency for Meteorology, Climatology and Geophysics of</w:t>
      </w:r>
      <w:r>
        <w:t xml:space="preserve"> </w:t>
      </w:r>
      <w:r>
        <w:t xml:space="preserve">the Republic of Indonesia (BMKG) for providing access to IA-BMKG accelerograph</w:t>
      </w:r>
      <w:r>
        <w:t xml:space="preserve"> </w:t>
      </w:r>
      <w:r>
        <w:t xml:space="preserve">data. H.A.N. acknowledges doctoral funding through the Beasiswa Pendidikan</w:t>
      </w:r>
      <w:r>
        <w:t xml:space="preserve"> </w:t>
      </w:r>
      <w:r>
        <w:t xml:space="preserve">Indonesia (BPI) programme. Computational resources were provided by the</w:t>
      </w:r>
      <w:r>
        <w:t xml:space="preserve"> </w:t>
      </w:r>
      <w:r>
        <w:t xml:space="preserve">Department of Physics, Universitas Indonesia.</w:t>
      </w:r>
    </w:p>
    <w:bookmarkStart w:id="99" w:name="ai-use-disclosure."/>
    <w:p>
      <w:pPr>
        <w:pStyle w:val="Heading4"/>
      </w:pPr>
      <w:r>
        <w:t xml:space="preserve">AI use disclosure.</w:t>
      </w:r>
    </w:p>
    <w:p>
      <w:pPr>
        <w:pStyle w:val="FirstParagraph"/>
      </w:pPr>
      <w:r>
        <w:t xml:space="preserve">Large language model tools (Claude Code by Anthropic) were used during</w:t>
      </w:r>
      <w:r>
        <w:t xml:space="preserve"> </w:t>
      </w:r>
      <w:r>
        <w:t xml:space="preserve">manuscript preparation for: (i) language editing and grammatical refinement,</w:t>
      </w:r>
      <w:r>
        <w:t xml:space="preserve"> </w:t>
      </w:r>
      <w:r>
        <w:t xml:space="preserve">(ii) internal consistency auditing of numerical claims across sections,</w:t>
      </w:r>
      <w:r>
        <w:t xml:space="preserve"> </w:t>
      </w:r>
      <w:r>
        <w:t xml:space="preserve">(iii) bibliographic verification (DOI, publisher, and author cross-checks</w:t>
      </w:r>
      <w:r>
        <w:t xml:space="preserve"> </w:t>
      </w:r>
      <w:r>
        <w:t xml:space="preserve">against a 108-entry reference library), and (iv) refactoring of figure</w:t>
      </w:r>
      <w:r>
        <w:t xml:space="preserve"> </w:t>
      </w:r>
      <w:r>
        <w:t xml:space="preserve">captions and supplementary documentation. All research design, dataset</w:t>
      </w:r>
      <w:r>
        <w:t xml:space="preserve"> </w:t>
      </w:r>
      <w:r>
        <w:t xml:space="preserve">curation, pipeline implementation, training, evaluation, statistical</w:t>
      </w:r>
      <w:r>
        <w:t xml:space="preserve"> </w:t>
      </w:r>
      <w:r>
        <w:t xml:space="preserve">analysis, and substantive interpretation are the original work of the</w:t>
      </w:r>
      <w:r>
        <w:t xml:space="preserve"> </w:t>
      </w:r>
      <w:r>
        <w:t xml:space="preserve">authors. The AI tools generated no novel findings, did not synthesise data,</w:t>
      </w:r>
      <w:r>
        <w:t xml:space="preserve"> </w:t>
      </w:r>
      <w:r>
        <w:t xml:space="preserve">and did not produce content presented as empirical results. The authors take</w:t>
      </w:r>
      <w:r>
        <w:t xml:space="preserve"> </w:t>
      </w:r>
      <w:r>
        <w:t xml:space="preserve">full responsibility for the manuscript’s content, including any errors that</w:t>
      </w:r>
      <w:r>
        <w:t xml:space="preserve"> </w:t>
      </w:r>
      <w:r>
        <w:t xml:space="preserve">may remain. All AI-suggested edits were reviewed and approved by the</w:t>
      </w:r>
      <w:r>
        <w:t xml:space="preserve"> </w:t>
      </w:r>
      <w:r>
        <w:t xml:space="preserve">corresponding author prior to inclusion.</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10" Target="media/rId10.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86" Target="media/rId86.png" /><Relationship Type="http://schemas.openxmlformats.org/officeDocument/2006/relationships/hyperlink" Id="rId97"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97"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2026-05-18T23:05:27Z</dcterms:created>
  <dcterms:modified xsi:type="dcterms:W3CDTF">2026-05-18T23:05:27Z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