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47.png" ContentType="image/png"/>
  <Override PartName="/word/media/rId74.png" ContentType="image/png"/>
  <Override PartName="/word/media/rId65.png" ContentType="image/png"/>
  <Override PartName="/word/media/rId83.png" ContentType="image/png"/>
  <Override PartName="/word/media/rId77.png" ContentType="image/png"/>
  <Override PartName="/word/media/rId28.png" ContentType="image/png"/>
  <Override PartName="/word/media/rId91.png" ContentType="image/png"/>
  <Override PartName="/word/media/rId88.png" ContentType="image/png"/>
  <Override PartName="/word/media/rId104.png" ContentType="image/png"/>
  <Override PartName="/word/media/image1.wmf" ContentType="image/x-wmf"/>
  <Override PartName="/word/media/image2.png" ContentType="image/png"/>
  <Override PartName="/word/media/image3.wmf" ContentType="image/x-wmf"/>
  <Override PartName="/word/media/image4.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m:t>
        </m:r>
        <m:r>
          <m:rPr>
            <m:sty m:val="p"/>
          </m:rPr>
          <m:t>,</m:t>
        </m:r>
        <m:r>
          <m:t>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m:t>
        </m:r>
        <m:r>
          <m:rPr>
            <m:sty m:val="p"/>
          </m:rPr>
          <m:t>,</m:t>
        </m:r>
        <m:r>
          <m:t>862</m:t>
        </m:r>
      </m:oMath>
      <w:r>
        <w:t xml:space="preserve"> </w:t>
      </w:r>
      <w:r>
        <w:t xml:space="preserve">(</w:t>
      </w:r>
      <m:oMath>
        <m:r>
          <m:t>τ</m:t>
        </m:r>
        <m:r>
          <m:rPr>
            <m:sty m:val="p"/>
          </m:rPr>
          <m:t>=</m:t>
        </m:r>
        <m:r>
          <m:t>0</m:t>
        </m:r>
        <m:r>
          <m:rPr>
            <m:sty m:val="p"/>
          </m:rPr>
          <m:t>,</m:t>
        </m:r>
        <m:r>
          <m:t>515</m:t>
        </m:r>
      </m:oMath>
      <w:r>
        <w:t xml:space="preserve">,</w:t>
      </w:r>
      <w:r>
        <w:t xml:space="preserve"> </w:t>
      </w:r>
      <m:oMath>
        <m:r>
          <m:t>ϕ</m:t>
        </m:r>
        <m:r>
          <m:rPr>
            <m:sty m:val="p"/>
          </m:rPr>
          <m:t>=</m:t>
        </m:r>
        <m:r>
          <m:t>0</m:t>
        </m:r>
        <m:r>
          <m:rPr>
            <m:sty m:val="p"/>
          </m:rPr>
          <m:t>,</m:t>
        </m:r>
        <m:r>
          <m:t>691</m:t>
        </m:r>
      </m:oMath>
      <w:r>
        <w:t xml:space="preserve">) pada periode</w:t>
      </w:r>
      <w:r>
        <w:t xml:space="preserve"> </w:t>
      </w:r>
      <w:r>
        <w:t xml:space="preserve">struktur kritis</w:t>
      </w:r>
      <w:r>
        <w:t xml:space="preserve"> </w:t>
      </w:r>
      <m:oMath>
        <m:r>
          <m:t>T</m:t>
        </m:r>
        <m:r>
          <m:rPr>
            <m:sty m:val="p"/>
          </m:rPr>
          <m:t>=</m:t>
        </m:r>
        <m:r>
          <m:t>1</m:t>
        </m:r>
        <m:r>
          <m:rPr>
            <m:sty m:val="p"/>
          </m:rPr>
          <m:t>,</m:t>
        </m:r>
        <m:r>
          <m:t>0</m:t>
        </m:r>
      </m:oMath>
      <w:r>
        <w:t xml:space="preserve"> s, dengan rerata</w:t>
      </w:r>
      <w:r>
        <w:t xml:space="preserve"> </w:t>
      </w:r>
      <m:oMath>
        <m:sSub>
          <m:e>
            <m:r>
              <m:t>σ</m:t>
            </m:r>
          </m:e>
          <m:sub>
            <m:r>
              <m:rPr>
                <m:sty m:val="p"/>
              </m:rPr>
              <m:t>t</m:t>
            </m:r>
            <m:r>
              <m:rPr>
                <m:sty m:val="p"/>
              </m:rPr>
              <m:t>o</m:t>
            </m:r>
            <m:r>
              <m:rPr>
                <m:sty m:val="p"/>
              </m:rPr>
              <m:t>t</m:t>
            </m:r>
          </m:sub>
        </m:sSub>
        <m:r>
          <m:rPr>
            <m:sty m:val="p"/>
          </m:rPr>
          <m:t>=</m:t>
        </m:r>
        <m:r>
          <m:t>0</m:t>
        </m:r>
        <m:r>
          <m:rPr>
            <m:sty m:val="p"/>
          </m:rPr>
          <m:t>,</m:t>
        </m:r>
        <m:r>
          <m:t>755</m:t>
        </m:r>
      </m:oMath>
      <w:r>
        <w:t xml:space="preserve"> </w:t>
      </w:r>
      <w:r>
        <w:t xml:space="preserve">di semua 103 periode spektral;</w:t>
      </w:r>
      <w:r>
        <w:t xml:space="preserve"> </w:t>
      </w:r>
      <w:r>
        <w:t xml:space="preserve">variabilitas intra-event (site-path) berkontribusi 62</w:t>
      </w:r>
      <w:r>
        <w:t xml:space="preserve">,</w:t>
      </w:r>
      <w:r>
        <w:t xml:space="preserve">8% total varians.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27" w:name="pendahuluan"/>
    <w:p>
      <w:pPr>
        <w:pStyle w:val="Heading1"/>
      </w:pPr>
      <w:r>
        <w:t xml:space="preserve">Pendahuluan</w:t>
      </w:r>
    </w:p>
    <w:p>
      <w:pPr>
        <w:pStyle w:val="FirstParagraph"/>
      </w:pPr>
      <w:r>
        <w:t xml:space="preserve">Kepulauan Indonesia terletak di pertemuan empat lempeng tektonik utama, dengan Busur Sunda membentang sepanjang 5.500 km dari Sumatera hingga Bali di sepanjang palung Jawa pada laju konvergensi 50–67 mm/tahun </w:t>
      </w:r>
      <w:r>
        <w:t xml:space="preserve">. Indonesia rata-rata mengalami sekitar delapan belas kejadian</w:t>
      </w:r>
      <w:r>
        <w:t xml:space="preserve"> </w:t>
      </w:r>
      <m:oMath>
        <m:r>
          <m:t>M</m:t>
        </m:r>
        <m:r>
          <m:rPr>
            <m:sty m:val="p"/>
          </m:rPr>
          <m:t>≥</m:t>
        </m:r>
        <m:r>
          <m:t>7</m:t>
        </m:r>
        <m:r>
          <m:rPr>
            <m:sty m:val="p"/>
          </m:rPr>
          <m:t>,</m:t>
        </m:r>
        <m:r>
          <m:t>0</m:t>
        </m:r>
      </m:oMath>
      <w:r>
        <w:t xml:space="preserve"> </w:t>
      </w:r>
      <w:r>
        <w:t xml:space="preserve">per dekade dan mencatat lima kejadian besar (</w:t>
      </w:r>
      <m:oMath>
        <m:r>
          <m:t>M</m:t>
        </m:r>
        <m:r>
          <m:rPr>
            <m:sty m:val="p"/>
          </m:rPr>
          <m:t>≥</m:t>
        </m:r>
        <m:r>
          <m:t>8</m:t>
        </m:r>
        <m:r>
          <m:rPr>
            <m:sty m:val="p"/>
          </m:rPr>
          <m:t>,</m:t>
        </m:r>
        <m:r>
          <m:t>0</m:t>
        </m:r>
      </m:oMath>
      <w:r>
        <w:t xml:space="preserve">) dalam dua dekade terakhir </w:t>
      </w:r>
      <w:r>
        <w:t xml:space="preserve">. Gempa Sumatera-Andaman 2004 (</w:t>
      </w:r>
      <m:oMath>
        <m:sSub>
          <m:e>
            <m:r>
              <m:t>M</m:t>
            </m:r>
          </m:e>
          <m:sub>
            <m:r>
              <m:t>w</m:t>
            </m:r>
          </m:sub>
        </m:sSub>
      </m:oMath>
      <w:r>
        <w:t xml:space="preserve"> 9,1, dengan lebih dari 227.000 korban jiwa) </w:t>
      </w:r>
      <w:r>
        <w:t xml:space="preserve">, yang mengaktifkan kembali segmen Sunda yang sebelumnya didokumentasikan melalui paleoseismologi coral microatolls Sumatera pada kejadian 1797 dan 1833 </w:t>
      </w:r>
      <w:r>
        <w:t xml:space="preserve"> </w:t>
      </w:r>
      <w:r>
        <w:t xml:space="preserve">dan dirangkum komprehensif dalam katalog tsunami nasional BMKG </w:t>
      </w:r>
      <w:r>
        <w:t xml:space="preserve">, kejadian Palu 2018 (</w:t>
      </w:r>
      <m:oMath>
        <m:sSub>
          <m:e>
            <m:r>
              <m:t>M</m:t>
            </m:r>
          </m:e>
          <m:sub>
            <m:r>
              <m:t>w</m:t>
            </m:r>
          </m:sub>
        </m:sSub>
      </m:oMath>
      <w:r>
        <w:t xml:space="preserve"> 7,5, disertai bahaya majemuk seismik–longsor–tsunami) </w:t>
      </w:r>
      <w:r>
        <w:t xml:space="preserve">, dan kejadian magnitudo menengah belakangan ini seperti Cianjur 2022 (</w:t>
      </w:r>
      <m:oMath>
        <m:sSub>
          <m:e>
            <m:r>
              <m:t>M</m:t>
            </m:r>
          </m:e>
          <m:sub>
            <m:r>
              <m:t>w</m:t>
            </m:r>
          </m:sub>
        </m:sSub>
      </m:oMath>
      <w:r>
        <w:t xml:space="preserve"> 5,6) dan Sumedang 2024 (</w:t>
      </w:r>
      <m:oMath>
        <m:sSub>
          <m:e>
            <m:r>
              <m:t>M</m:t>
            </m:r>
          </m:e>
          <m:sub>
            <m:r>
              <m:t>w</m:t>
            </m:r>
          </m:sub>
        </m:sSub>
      </m:oMath>
      <w:r>
        <w:t xml:space="preserve"> 5,7) semuanya menunjukkan letalitas urban yang tidak proporsional meskipun guncangan tanahnya masih dapat ditahan secara struktural </w:t>
      </w:r>
      <w:r>
        <w:t xml:space="preserve">. Palung Sunda tetap menjadi zona sumber utama gempa tsunamigenik Samudra Hindia </w:t>
      </w:r>
      <w:r>
        <w:t xml:space="preserve">, dengan 105 kejadian tsunami pada zona West Sunda, Banda, dan Maluku tercatat selama periode 1600–1999 </w:t>
      </w:r>
      <w:r>
        <w:t xml:space="preserve">, dan interaksi operasional antara karakterisasi spektral cepat dengan rantai peringatan tsunami telah lama menjadi motivasi kerangka kesiapsiagaan regional. Bersama-sama, realitas ini memotivasi investasi berkelanjutan dalam kapabilitas peringatan dini gempa operasional untuk InaTEWS </w:t>
      </w:r>
      <w:r>
        <w:t xml:space="preserve">, sistem peringatan dini nasional Indonesia yang dioperasikan oleh Badan Meteorologi, Klimatologi, dan Geofisika (BMKG).</w:t>
      </w:r>
    </w:p>
    <w:p>
      <w:pPr>
        <w:pStyle w:val="BodyText"/>
      </w:pPr>
      <w:r>
        <w:t xml:space="preserve">Sistem peringatan dini gempa generasi pertama—JMA di Jepang </w:t>
      </w:r>
      <w:r>
        <w:t xml:space="preserve">, P-alert di Taiwan </w:t>
      </w:r>
      <w:r>
        <w:t xml:space="preserve">, SASMEX di Meksiko </w:t>
      </w:r>
      <w:r>
        <w:t xml:space="preserve">, dan ShakeAlert di Amerika Serikat </w:t>
      </w:r>
      <w:r>
        <w:t xml:space="preserve">—umumnya hanya mengkomunikasikan peringatan biner atau magnitudo skalar. Praktik rekayasa modern, sebaliknya, telah menggeser kebutuhan ke arah</w:t>
      </w:r>
      <w:r>
        <w:t xml:space="preserve"> </w:t>
      </w:r>
      <w:r>
        <w:rPr>
          <w:i/>
          <w:iCs/>
        </w:rPr>
        <w:t xml:space="preserve">prakiraan demand struktural</w:t>
      </w:r>
      <w:r>
        <w:t xml:space="preserve">: SNI 1726:2019 </w:t>
      </w:r>
      <w:r>
        <w:t xml:space="preserve"> </w:t>
      </w:r>
      <w:r>
        <w:t xml:space="preserve">dan ASCE/SEI 7-16 </w:t>
      </w:r>
      <w:r>
        <w:t xml:space="preserve"> </w:t>
      </w:r>
      <w:r>
        <w:t xml:space="preserve">keduanya mensyaratkan akselerasi spektral teredam 5%</w:t>
      </w:r>
      <w:r>
        <w:t xml:space="preserve"> </w:t>
      </w:r>
      <m:oMath>
        <m:r>
          <m:t>S</m:t>
        </m:r>
        <m:r>
          <m:t>a</m:t>
        </m:r>
        <m:r>
          <m:rPr>
            <m:sty m:val="p"/>
          </m:rPr>
          <m:t>(</m:t>
        </m:r>
        <m:r>
          <m:t>T</m:t>
        </m:r>
        <m:r>
          <m:rPr>
            <m:sty m:val="p"/>
          </m:rPr>
          <m:t>)</m:t>
        </m:r>
      </m:oMath>
      <w:r>
        <w:t xml:space="preserve"> </w:t>
      </w:r>
      <w:r>
        <w:t xml:space="preserve">pada periode struktur, bukan sekadar percepatan tanah puncak.</w:t>
      </w:r>
      <w:r>
        <w:t xml:space="preserve"> </w:t>
      </w:r>
      <w:r>
        <w:t xml:space="preserve"> </w:t>
      </w:r>
      <w:r>
        <w:t xml:space="preserve">menetapkan bahwa coda gelombang-P awal memungkinkan prediksi spektral on-site </w:t>
      </w:r>
      <w:r>
        <w:t xml:space="preserve">, berbeda dari lokalisasi sumber berbasis-jaringan, dan wawasan inilah yang mendasari penelitian sekarang. Namun bahkan formulasi on-site ini menghadapi dua kendala persisten. Pertama,</w:t>
      </w:r>
      <w:r>
        <w:t xml:space="preserve"> </w:t>
      </w:r>
      <w:r>
        <w:t xml:space="preserve"> </w:t>
      </w:r>
      <w:r>
        <w:t xml:space="preserve">mendokumentasikan</w:t>
      </w:r>
      <w:r>
        <w:t xml:space="preserve"> </w:t>
      </w:r>
      <w:r>
        <w:rPr>
          <w:i/>
          <w:iCs/>
        </w:rPr>
        <w:t xml:space="preserve">zona buta dekat-sumber</w:t>
      </w:r>
      <w:r>
        <w:t xml:space="preserve"> </w:t>
      </w:r>
      <w:r>
        <w:t xml:space="preserve">sekitar 38 km sebagai keterbatasan utama yang belum terselesaikan, dan</w:t>
      </w:r>
      <w:r>
        <w:t xml:space="preserve"> </w:t>
      </w:r>
      <w:r>
        <w:t xml:space="preserve"> </w:t>
      </w:r>
      <w:r>
        <w:t xml:space="preserve">menetapkan bahwa fisika rupture, bukan kepiawaian rekayasa, yang mengontrol waktu peringatan minimum—menjadikan diskriminasi sub-detik satu-satunya strategi yang layak untuk perlindungan dekat-sumber; tinjauan JET terbaru oleh </w:t>
      </w:r>
      <w:r>
        <w:t xml:space="preserve"> </w:t>
      </w:r>
      <w:r>
        <w:t xml:space="preserve">mengonfirmasi pemilihan jendela waktu gelombang-P adaptif (PTW) sebagai arah state-of-the-art untuk zona subduksi, dan Stage 0 dari kerangka yang dipresentasikan di sini menjawab kendala tersebut dengan menerbitkan flag intensitas-tinggi biner dalam 0,5 s setelah deteksi-P (Section 4.2). Kedua, parameter EEWS klasik</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mengalami saturasi untuk rupture</w:t>
      </w:r>
      <w:r>
        <w:t xml:space="preserve"> </w:t>
      </w:r>
      <m:oMath>
        <m:sSub>
          <m:e>
            <m:r>
              <m:t>M</m:t>
            </m:r>
          </m:e>
          <m:sub>
            <m:r>
              <m:t>w</m:t>
            </m:r>
          </m:sub>
        </m:sSub>
        <m:r>
          <m:rPr>
            <m:sty m:val="p"/>
          </m:rPr>
          <m:t>&gt;</m:t>
        </m:r>
        <m:r>
          <m:t>6</m:t>
        </m:r>
        <m:r>
          <m:rPr>
            <m:sty m:val="p"/>
          </m:rPr>
          <m:t>,</m:t>
        </m:r>
        <m:r>
          <m:t>5</m:t>
        </m:r>
      </m:oMath>
      <w:r>
        <w:t xml:space="preserve"> </w:t>
      </w:r>
      <w:r>
        <w:t xml:space="preserve">: jendela gelombang-P tetap 2–3 s tidak dapat membedakan kejadian</w:t>
      </w:r>
      <w:r>
        <w:t xml:space="preserve"> </w:t>
      </w:r>
      <m:oMath>
        <m:sSub>
          <m:e>
            <m:r>
              <m:t>M</m:t>
            </m:r>
          </m:e>
          <m:sub>
            <m:r>
              <m:t>w</m:t>
            </m:r>
          </m:sub>
        </m:sSub>
      </m:oMath>
      <w:r>
        <w:t xml:space="preserve"> 7,0 dari</w:t>
      </w:r>
      <w:r>
        <w:t xml:space="preserve"> </w:t>
      </w:r>
      <m:oMath>
        <m:sSub>
          <m:e>
            <m:r>
              <m:t>M</m:t>
            </m:r>
          </m:e>
          <m:sub>
            <m:r>
              <m:t>w</m:t>
            </m:r>
          </m:sub>
        </m:sSub>
      </m:oMath>
      <w:r>
        <w:t xml:space="preserve"> 8,0, menghasilkan nilai</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yang nyaris identik tetapi gerakan tanah yang sangat berbeda. Kerangka yang diusulkan menjawab saturasi melalui pemilihan PTW adaptif pada jendela</w:t>
      </w:r>
      <w:r>
        <w:t xml:space="preserve"> </w:t>
      </w:r>
      <m:oMath>
        <m:r>
          <m:rPr>
            <m:sty m:val="p"/>
          </m:rPr>
          <m:t>{</m:t>
        </m:r>
        <m:r>
          <m:t>3</m:t>
        </m:r>
        <m:r>
          <m:rPr>
            <m:sty m:val="p"/>
          </m:rPr>
          <m:t>,</m:t>
        </m:r>
        <m:r>
          <m:t>5</m:t>
        </m:r>
        <m:r>
          <m:rPr>
            <m:sty m:val="p"/>
          </m:rPr>
          <m:t>,</m:t>
        </m:r>
        <m:r>
          <m:t>8</m:t>
        </m:r>
        <m:r>
          <m:rPr>
            <m:sty m:val="p"/>
          </m:rPr>
          <m:t>}</m:t>
        </m:r>
      </m:oMath>
      <w:r>
        <w:t xml:space="preserve"> s yang dijadwalkan menurut kelas intensitas, dan regressor Stage 2 berkondisi-kelas yang dilatih pada fitur kumulatif non-saturating seperti CAV, intensitas Arias, dan IV</w:t>
      </w:r>
      <m:oMath>
        <m:sSup>
          <m:e>
            <m:r>
              <m:t>​</m:t>
            </m:r>
          </m:e>
          <m:sup>
            <m:r>
              <m:t>2</m:t>
            </m:r>
          </m:sup>
        </m:sSup>
      </m:oMath>
      <w:r>
        <w:t xml:space="preserve">.</w:t>
      </w:r>
    </w:p>
    <w:p>
      <w:pPr>
        <w:pStyle w:val="BodyText"/>
      </w:pPr>
      <w:r>
        <w:t xml:space="preserve">Kemajuan terkini dalam machine learning mulai menargetkan prediksi spektral secara langsung.</w:t>
      </w:r>
      <w:r>
        <w:t xml:space="preserve"> </w:t>
      </w:r>
      <w:r>
        <w:t xml:space="preserve"> </w:t>
      </w:r>
      <w:r>
        <w:t xml:space="preserve">membandingkan jaringan saraf tiruan, random forests, dan mendukung vector machines untuk estimasi ground motion dan melaporkan bahwa metode ensemble mengungguli persamaan prediksi ground motion (GMPE) konvensional; algoritma gradient-boosting khususnya—XGBoost dan LightGBM—secara konsisten unggul pada data tabular seismik terstruktur. Aplikasi JET oleh</w:t>
      </w:r>
      <w:r>
        <w:t xml:space="preserve"> </w:t>
      </w:r>
      <w:r>
        <w:t xml:space="preserve"> </w:t>
      </w:r>
      <w:r>
        <w:t xml:space="preserve">mengonfirmasi keunggulan gradient boosting untuk estimasi magnitudo gelombang-P, sementara</w:t>
      </w:r>
      <w:r>
        <w:t xml:space="preserve"> </w:t>
      </w:r>
      <w:r>
        <w:t xml:space="preserve"> </w:t>
      </w:r>
      <w:r>
        <w:t xml:space="preserve">menunjukkan bahwa inversi parameter sumber kuasi-real-time mendapat manfaat dari kernel inversi yang diaugmentasi-ML pada lingkungan subduksi, dan</w:t>
      </w:r>
      <w:r>
        <w:t xml:space="preserve"> </w:t>
      </w:r>
      <w:r>
        <w:t xml:space="preserve"> </w:t>
      </w:r>
      <w:r>
        <w:t xml:space="preserve">memperlihatkan bahwa ensemble random-forest menghasilkan surrogate yang andal untuk produk hazard probabilistik di sepanjang Busur Sunda, mendukung argumen lebih luas untuk metode ensemble pada pipeline EEWS regional. Pendekatan hibrida fisika–ML mampu menyamai deep networks pada dataset yang lebih kecil, yang memotivasi desain fitur hibrida yang ditempuh di sini, dengan Feature Dichotomy eksplisit dan arsitektur berkondisi-kelas. Dalam konteks Indonesia, makalah konferensi kami sebelumnya </w:t>
      </w:r>
      <w:r>
        <w:t xml:space="preserve"> </w:t>
      </w:r>
      <w:r>
        <w:t xml:space="preserve">(BTS-I2C 2024) menetapkan bahwa model deep-learning Generalized Phase Detection (GPD) mencapai timing P-onset 0,02 s pada data accelerograph IA-BMKG, menyediakan picker hulu untuk pipeline ini; karya Indonesia terbitan JET yang komplementer </w:t>
      </w:r>
      <w:r>
        <w:t xml:space="preserve"> </w:t>
      </w:r>
      <w:r>
        <w:t xml:space="preserve">menetapkan konteks InaTEWS lokal, dan</w:t>
      </w:r>
      <w:r>
        <w:t xml:space="preserve"> </w:t>
      </w:r>
      <w:r>
        <w:t xml:space="preserve"> </w:t>
      </w:r>
      <w:r>
        <w:t xml:space="preserve">menyoroti kebutuhan mendesak akan sistem peningkatan ketahanan. Meskipun ada bangun penelitian ini, belum ada studi sebelumnya yang mengusulkan pipeline prediksi spektral mode-rekayasa yang lengkap, dapat dideploy secara mandiri, untuk lingkungan InaTEWS Indonesia yang sekaligus menangani reduksi zona buta dekat-sumber, windowing adaptif berbasis-intensitas, dan operasi independen-katalog.</w:t>
      </w:r>
    </w:p>
    <w:p>
      <w:pPr>
        <w:pStyle w:val="BodyText"/>
      </w:pPr>
      <w:r>
        <w:t xml:space="preserve">Meskipun ada kemajuan dalam algoritma EEWS </w:t>
      </w:r>
      <w:r>
        <w:t xml:space="preserve">, tiga gap tetap persisten untuk deployment operasional subduksi tropis: (i) kesadaran-saturasi untuk kejadian</w:t>
      </w:r>
      <w:r>
        <w:t xml:space="preserve"> </w:t>
      </w:r>
      <m:oMath>
        <m:sSub>
          <m:e>
            <m:r>
              <m:t>M</m:t>
            </m:r>
          </m:e>
          <m:sub>
            <m:r>
              <m:t>w</m:t>
            </m:r>
          </m:sub>
        </m:sSub>
        <m:r>
          <m:rPr>
            <m:sty m:val="p"/>
          </m:rPr>
          <m:t>&gt;</m:t>
        </m:r>
        <m:r>
          <m:t>6</m:t>
        </m:r>
        <m:r>
          <m:rPr>
            <m:sty m:val="p"/>
          </m:rPr>
          <m:t>,</m:t>
        </m:r>
        <m:r>
          <m:t>5</m:t>
        </m:r>
      </m:oMath>
      <w:r>
        <w:t xml:space="preserve">; (ii) operasi independen-katalog yang menghilangkan ketergantungan pada estimasi magnitudo; dan (iii) prediksi</w:t>
      </w:r>
      <w:r>
        <w:t xml:space="preserve"> </w:t>
      </w:r>
      <m:oMath>
        <m:r>
          <m:t>S</m:t>
        </m:r>
        <m:r>
          <m:t>a</m:t>
        </m:r>
        <m:r>
          <m:rPr>
            <m:sty m:val="p"/>
          </m:rPr>
          <m:t>(</m:t>
        </m:r>
        <m:r>
          <m:t>T</m:t>
        </m:r>
        <m:r>
          <m:rPr>
            <m:sty m:val="p"/>
          </m:rPr>
          <m:t>)</m:t>
        </m:r>
      </m:oMath>
      <w:r>
        <w:t xml:space="preserve"> </w:t>
      </w:r>
      <w:r>
        <w:t xml:space="preserve">103-periode penuh secara real-time. Kerangka IDA-PTW yang diperkenalkan dalam paper ini menjawab ketiga gap tersebut dan menyumbangkan kontribusi berikut: skema penjadwalan PTW adaptif</w:t>
      </w:r>
      <w:r>
        <w:t xml:space="preserve"> </w:t>
      </w:r>
      <m:oMath>
        <m:r>
          <m:rPr>
            <m:sty m:val="p"/>
          </m:rPr>
          <m:t>{</m:t>
        </m:r>
        <m:r>
          <m:t>3</m:t>
        </m:r>
        <m:r>
          <m:rPr>
            <m:sty m:val="p"/>
          </m:rPr>
          <m:t>,</m:t>
        </m:r>
        <m:r>
          <m:t>5</m:t>
        </m:r>
        <m:r>
          <m:rPr>
            <m:sty m:val="p"/>
          </m:rPr>
          <m:t>,</m:t>
        </m:r>
        <m:r>
          <m:t>8</m:t>
        </m:r>
        <m:r>
          <m:rPr>
            <m:sty m:val="p"/>
          </m:rPr>
          <m:t>}</m:t>
        </m:r>
      </m:oMath>
      <w:r>
        <w:t xml:space="preserve"> s yang dikondisikan oleh kelas intensitas, kamus fitur hibrida berisi 90 fitur ortogonal yang disusun dalam empat famili dengan VIF di bawah 10, marginalisasi posterior Bayesian-correct dalam regressor berkondisi-kelas, kerangka validasi tiga-jalur yang menggabungkan baseline GMPE, sensitivitas temporal, dan dekomposisi sigma Al Atik (2010), serta hasil negatif yang jujur mendokumentasikan kegagalan regresi-jarak stasiun-tunggal pada Stage 1.5.</w:t>
      </w:r>
    </w:p>
    <w:bookmarkEnd w:id="27"/>
    <w:bookmarkStart w:id="40" w:name="Xa574876d1011691a03dd1af38d3696d9a835514"/>
    <w:p>
      <w:pPr>
        <w:pStyle w:val="Heading1"/>
      </w:pPr>
      <w:r>
        <w:t xml:space="preserve">Konteks Seismotektonik dan Formulasi Masalah</w:t>
      </w:r>
    </w:p>
    <w:bookmarkStart w:id="31" w:name="Xabdde2d361907c2d3bfac717724a438696bb214"/>
    <w:p>
      <w:pPr>
        <w:pStyle w:val="Heading2"/>
      </w:pPr>
      <w:r>
        <w:t xml:space="preserve">Megathrust Jawa-Sunda: Konteks Struktural dan Seismisitas</w:t>
      </w:r>
    </w:p>
    <w:p>
      <w:pPr>
        <w:pStyle w:val="FirstParagraph"/>
      </w:pPr>
      <w:r>
        <w:t xml:space="preserve">Geodinamika kawasan Indonesia melibatkan interaksi empat lempeng utama yang terpartisi menjadi banyak microplate</w:t>
      </w:r>
      <w:r>
        <w:t xml:space="preserve"> </w:t>
      </w:r>
      <w:r>
        <w:t xml:space="preserve">. Segmen subduksi Jawa dicirikan oleh konvergensi miring antara lempeng Indo-Australia dan Sunda, dengan slab subduksi menukik pada sudut sekitar 35–45° hingga kedalaman melebihi 500 km</w:t>
      </w:r>
      <w:r>
        <w:t xml:space="preserve"> </w:t>
      </w:r>
      <w:r>
        <w:t xml:space="preserve">. Geometri subduksi yang curam ini menghasilkan distribusi seismisitas khas: thrust interplate dangkal di zona megathrust (kedalaman 0–50 km), seismisitas intraslab menengah (50–300 km), dan kejadian fokus dalam yang dapat menghasilkan gerakan tanah signifikan di lokasi jauh-sumber meskipun kedalamannya besar.</w:t>
      </w:r>
    </w:p>
    <w:p>
      <w:pPr>
        <w:pStyle w:val="BodyText"/>
      </w:pPr>
      <w:r>
        <w:t xml:space="preserve">Variasi koefisien coupling sepanjang-strike—dari pada dasarnya tak-terkopling di segmen Jawa timur hingga moderately coupled di segmen Jawa barat dan Sumatera—menghasilkan heterogenitas spasial dalam bahaya seismik.</w:t>
      </w:r>
      <w:r>
        <w:t xml:space="preserve"> </w:t>
      </w:r>
      <w:r>
        <w:t xml:space="preserve"> </w:t>
      </w:r>
      <w:r>
        <w:t xml:space="preserve">mengamati bahwa kecepatan GPS residual yang menunjuk ke arah daratan tegak lurus palung di Sumatera dan Malaysia secara sistematis underestimated dalam model pra-2004, menandakan akumulasi regangan elastik yang kemudian dilepaskan pada kejadian Sumatera-Andaman 2004. Zona sumber yang sama mendasari arsitektur Indian-Ocean Tsunami Warning System yang ditinjau oleh</w:t>
      </w:r>
      <w:r>
        <w:t xml:space="preserve"> </w:t>
      </w:r>
      <w:r>
        <w:t xml:space="preserve">, yang menekankan bahwa segmen Palung Sunda memerlukan instrumentasi seismik dan geodetik yang rapat untuk performa peringatan dini yang kredibel. Pola analog di segmen Jawa memotivasi kesiapsiagaan InaTEWS untuk potensi kejadian yang merupturkan segmen.</w:t>
      </w:r>
    </w:p>
    <w:p>
      <w:pPr>
        <w:pStyle w:val="BodyText"/>
      </w:pPr>
      <w:r>
        <w:t xml:space="preserve">Geologi site lokal adalah kendala desain EEWS yang utama. Cekungan Jawa mengandung endapan vulkanik Kuarter yang dalam dan urutan aluvial tebal di dataran pantai (Jakarta, Surabaya), menciptakan amplifikasi site kuat pada periode 0,3–1,5 s yang kurang tertangkap oleh estimasi</w:t>
      </w:r>
      <w:r>
        <w:t xml:space="preserve"> </w:t>
      </w:r>
      <m:oMath>
        <m:sSub>
          <m:e>
            <m:r>
              <m:t>V</m:t>
            </m:r>
          </m:e>
          <m:sub>
            <m:r>
              <m:t>S</m:t>
            </m:r>
            <m:r>
              <m:t>30</m:t>
            </m:r>
          </m:sub>
        </m:sSub>
      </m:oMath>
      <w:r>
        <w:t xml:space="preserve"> </w:t>
      </w:r>
      <w:r>
        <w:t xml:space="preserve">berbasis-proxy topografi. Douglas dan</w:t>
      </w:r>
      <w:r>
        <w:t xml:space="preserve"> </w:t>
      </w:r>
      <w:r>
        <w:t xml:space="preserve"> </w:t>
      </w:r>
      <w:r>
        <w:t xml:space="preserve">meninjau peran kritis karakterisasi site dalam pengembangan GMPE, mencatat bahwa suku site berbasis-</w:t>
      </w:r>
      <m:oMath>
        <m:sSub>
          <m:e>
            <m:r>
              <m:t>V</m:t>
            </m:r>
          </m:e>
          <m:sub>
            <m:r>
              <m:t>S</m:t>
            </m:r>
            <m:r>
              <m:t>30</m:t>
            </m:r>
          </m:sub>
        </m:sSub>
      </m:oMath>
      <w:r>
        <w:t xml:space="preserve"> </w:t>
      </w:r>
      <w:r>
        <w:t xml:space="preserve">memperkenalkan variabilitas residual substansial bahkan pada jaringan yang terinstrumentasi baik. Dalam konteks Indonesia, di mana</w:t>
      </w:r>
      <w:r>
        <w:t xml:space="preserve"> </w:t>
      </w:r>
      <m:oMath>
        <m:sSub>
          <m:e>
            <m:r>
              <m:t>V</m:t>
            </m:r>
          </m:e>
          <m:sub>
            <m:r>
              <m:t>S</m:t>
            </m:r>
            <m:r>
              <m:t>30</m:t>
            </m:r>
          </m:sub>
        </m:sSub>
      </m:oMath>
      <w:r>
        <w:t xml:space="preserve"> </w:t>
      </w:r>
      <w:r>
        <w:t xml:space="preserve">terukur tersedia untuk kurang dari 20% stasiun IA-BMKG, ketidakpastian ini langsung berakibat pada</w:t>
      </w:r>
      <w:r>
        <w:t xml:space="preserve"> </w:t>
      </w:r>
      <m:oMath>
        <m:r>
          <m:t>ϕ</m:t>
        </m:r>
      </m:oMath>
      <w:r>
        <w:t xml:space="preserve"> </w:t>
      </w:r>
      <w:r>
        <w:t xml:space="preserve">yang terobservasi tinggi dalam dekomposisi sigma kami.</w:t>
      </w:r>
    </w:p>
    <w:p>
      <w:pPr>
        <w:pStyle w:val="CaptionedFigure"/>
      </w:pPr>
      <w:r>
        <w:drawing>
          <wp:inline>
            <wp:extent cx="4343400" cy="2685500"/>
            <wp:effectExtent b="0" l="0" r="0" t="0"/>
            <wp:docPr descr="" title="" id="29" name="Picture"/>
            <a:graphic>
              <a:graphicData uri="http://schemas.openxmlformats.org/drawingml/2006/picture">
                <pic:pic>
                  <pic:nvPicPr>
                    <pic:cNvPr descr="figures/seismicity_map.png" id="30" name="Picture"/>
                    <pic:cNvPicPr>
                      <a:picLocks noChangeArrowheads="1" noChangeAspect="1"/>
                    </pic:cNvPicPr>
                  </pic:nvPicPr>
                  <pic:blipFill>
                    <a:blip r:embed="rId28"/>
                    <a:stretch>
                      <a:fillRect/>
                    </a:stretch>
                  </pic:blipFill>
                  <pic:spPr bwMode="auto">
                    <a:xfrm>
                      <a:off x="0" y="0"/>
                      <a:ext cx="4343400" cy="2685500"/>
                    </a:xfrm>
                    <a:prstGeom prst="rect">
                      <a:avLst/>
                    </a:prstGeom>
                    <a:noFill/>
                    <a:ln w="9525">
                      <a:noFill/>
                      <a:headEnd/>
                      <a:tailEnd/>
                    </a:ln>
                  </pic:spPr>
                </pic:pic>
              </a:graphicData>
            </a:graphic>
          </wp:inline>
        </w:drawing>
      </w:r>
    </w:p>
    <w:p>
      <w:pPr>
        <w:pStyle w:val="ImageCaption"/>
      </w:pPr>
      <w:r>
        <w:t xml:space="preserve">Distribusi spasial 338 kejadian seismik (lingkaran merah, diskalakan menurut magnitudo) dan 151 stasiun accelerograph IA-BMKG (segitiga hitam) di sepanjang palung Jawa-Sunda yang digunakan dalam studi ini. Dataset mencakup</w:t>
      </w:r>
      <w:r>
        <w:t xml:space="preserve"> </w:t>
      </w:r>
      <m:oMath>
        <m:sSub>
          <m:e>
            <m:r>
              <m:t>M</m:t>
            </m:r>
          </m:e>
          <m:sub>
            <m:r>
              <m:t>w</m:t>
            </m:r>
          </m:sub>
        </m:sSub>
      </m:oMath>
      <w:r>
        <w:t xml:space="preserve"> </w:t>
      </w:r>
      <w:r>
        <w:t xml:space="preserve">1.7–6.2 dengan jarak episentral 0.7–299.9 km (median 122 km) selama periode Nov 2022 – Mar 2026.</w:t>
      </w:r>
    </w:p>
    <w:bookmarkEnd w:id="31"/>
    <w:bookmarkStart w:id="34" w:name="X312b1261ffdfcdebeaf7422f7af7bf69416d201"/>
    <w:p>
      <w:pPr>
        <w:pStyle w:val="Heading2"/>
      </w:pPr>
      <w:r>
        <w:t xml:space="preserve">Arsitektur Jaringan InaTEWS dan Kendala Operasional</w:t>
      </w:r>
    </w:p>
    <w:p>
      <w:pPr>
        <w:pStyle w:val="FirstParagraph"/>
      </w:pPr>
      <w:r>
        <w:t xml:space="preserve">EEWS nasional Indonesia, InaTEWS, dioperasikan oleh BMKG, mengintegrasikan sensor seismik dan non-seismik</w:t>
      </w:r>
      <w:r>
        <w:t xml:space="preserve"> </w:t>
      </w:r>
      <w:r>
        <w:t xml:space="preserve">. Jaringan accelerograph strong-motion IA-BMKG menyediakan sumber data primer untuk studi ini: 125 accelerograph komponen-horisontal HN</w:t>
      </w:r>
      <w:r>
        <w:rPr>
          <w:i/>
          <w:iCs/>
        </w:rPr>
        <w:t xml:space="preserve">/HL</w:t>
      </w:r>
      <w:r>
        <w:t xml:space="preserve"> </w:t>
      </w:r>
      <w:r>
        <w:t xml:space="preserve">dengan rekaman digital pada 100–200 sampel/s. Distribusi stasiun mengikuti kepadatan populasi, memberikan cakupan yang rapat untuk Jawa dan Sumatera tetapi cakupan jarang untuk Indonesia bagian timur.</w:t>
      </w:r>
    </w:p>
    <w:bookmarkStart w:id="32" w:name="anggaran-latency."/>
    <w:p>
      <w:pPr>
        <w:pStyle w:val="Heading4"/>
      </w:pPr>
      <w:r>
        <w:t xml:space="preserve">Anggaran latency.</w:t>
      </w:r>
    </w:p>
    <w:p>
      <w:pPr>
        <w:pStyle w:val="FirstParagraph"/>
      </w:pPr>
      <w:r>
        <w:t xml:space="preserve">Pengiriman alert terdiri dari: (1) deteksi gelombang-P: 2–3 s; (2) ekstraksi fitur dan inferensi model: 0,1–0,5 s; (3) diseminasi alert: 1–2 s. Pada jarak episentral median dataset ~109 km, waktu tempuh P-S</w:t>
      </w:r>
      <w:r>
        <w:t xml:space="preserve"> </w:t>
      </w:r>
      <m:oMath>
        <m:r>
          <m:rPr>
            <m:sty m:val="p"/>
          </m:rPr>
          <m:t>≈</m:t>
        </m:r>
        <m:r>
          <m:t>14</m:t>
        </m:r>
      </m:oMath>
      <w:r>
        <w:t xml:space="preserve"> s, menyediakan sekitar 10–11 s anggaran observasi yang dapat digunakan. Jendela Stage 2 maksimum 8-detik kami, ditambah overhead Stage 0/1/1.5 (total 2,65 s), menghasilkan latency end-to-end 10,65 s—memenuhi anggaran golden-time untuk 99,44% trace.</w:t>
      </w:r>
    </w:p>
    <w:bookmarkEnd w:id="32"/>
    <w:bookmarkStart w:id="33" w:name="akurasi-deteksi-gelombang-p."/>
    <w:p>
      <w:pPr>
        <w:pStyle w:val="Heading4"/>
      </w:pPr>
      <w:r>
        <w:t xml:space="preserve">Akurasi deteksi gelombang-P.</w:t>
      </w:r>
    </w:p>
    <w:p>
      <w:pPr>
        <w:pStyle w:val="FirstParagraph"/>
      </w:pPr>
      <w:r>
        <w:t xml:space="preserve"> </w:t>
      </w:r>
      <w:r>
        <w:t xml:space="preserve">mendemonstrasikan bahwa GPD mencapai error P-onset median 0,02 s pada data IA-BMKG Indonesia—baseline otomasi yang digunakan dalam analisis sensitivitas P-arrival kami.</w:t>
      </w:r>
      <w:r>
        <w:t xml:space="preserve"> </w:t>
      </w:r>
      <w:r>
        <w:t xml:space="preserve"> </w:t>
      </w:r>
      <w:r>
        <w:t xml:space="preserve">dan PhaseNet mencapai error median 0,09 s dan 0,05 s pada dataset yang sama, merepresentasikan envelope ketidakpastian realistik untuk Eksperimen 4.</w:t>
      </w:r>
    </w:p>
    <w:bookmarkEnd w:id="33"/>
    <w:bookmarkEnd w:id="34"/>
    <w:bookmarkStart w:id="39" w:name="formulasi-masalah-formal"/>
    <w:p>
      <w:pPr>
        <w:pStyle w:val="Heading2"/>
      </w:pPr>
      <w:r>
        <w:t xml:space="preserve">Formulasi Masalah Formal</w:t>
      </w:r>
    </w:p>
    <w:bookmarkStart w:id="35" w:name="masukan."/>
    <w:p>
      <w:pPr>
        <w:pStyle w:val="Heading4"/>
      </w:pPr>
      <w:r>
        <w:t xml:space="preserve">Masukan.</w:t>
      </w:r>
    </w:p>
    <w:p>
      <w:pPr>
        <w:pStyle w:val="FirstParagraph"/>
      </w:pPr>
      <w:r>
        <w:t xml:space="preserve">Untuk accelerogram tiga-komponen pada stasiun</w:t>
      </w:r>
      <w:r>
        <w:t xml:space="preserve"> </w:t>
      </w:r>
      <m:oMath>
        <m:r>
          <m:t>s</m:t>
        </m:r>
      </m:oMath>
      <w:r>
        <w:t xml:space="preserve">, kedatangan-P</w:t>
      </w:r>
      <w:r>
        <w:t xml:space="preserve"> </w:t>
      </w:r>
      <m:oMath>
        <m:sSup>
          <m:e>
            <m:r>
              <m:t>t</m:t>
            </m:r>
          </m:e>
          <m:sup>
            <m:r>
              <m:t>P</m:t>
            </m:r>
          </m:sup>
        </m:sSup>
      </m:oMath>
      <w:r>
        <w:t xml:space="preserve">, jarak episentral</w:t>
      </w:r>
      <w:r>
        <w:t xml:space="preserve"> </w:t>
      </w:r>
      <m:oMath>
        <m:r>
          <m:rPr>
            <m:sty m:val="p"/>
          </m:rPr>
          <m:t>Δ</m:t>
        </m:r>
      </m:oMath>
      <w:r>
        <w:t xml:space="preserve">, kedalaman hiposentral</w:t>
      </w:r>
      <w:r>
        <w:t xml:space="preserve"> </w:t>
      </w:r>
      <m:oMath>
        <m:r>
          <m:t>h</m:t>
        </m:r>
      </m:oMath>
      <w:r>
        <w:t xml:space="preserve">, dan proxy</w:t>
      </w:r>
      <w:r>
        <w:t xml:space="preserve"> </w:t>
      </w:r>
      <m:oMath>
        <m:sSub>
          <m:e>
            <m:r>
              <m:t>V</m:t>
            </m:r>
          </m:e>
          <m:sub>
            <m:r>
              <m:t>S</m:t>
            </m:r>
            <m:r>
              <m:t>30</m:t>
            </m:r>
          </m:sub>
        </m:sSub>
      </m:oMath>
      <w:r>
        <w:t xml:space="preserve">, vektor fitur 42-dimensi diekstrak dari jendela observasi adaptif</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35"/>
    <w:bookmarkStart w:id="36" w:name="keluaran."/>
    <w:p>
      <w:pPr>
        <w:pStyle w:val="Heading4"/>
      </w:pPr>
      <w:r>
        <w:t xml:space="preserve">Keluaran.</w:t>
      </w:r>
    </w:p>
    <w:p>
      <w:pPr>
        <w:pStyle w:val="FirstParagraph"/>
      </w:pPr>
      <w:r>
        <w:t xml:space="preserve">Vektor prediksi log-spektral 103-dimensi:</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36"/>
    <w:bookmarkStart w:id="37" w:name="keluaran-biner-stage-0."/>
    <w:p>
      <w:pPr>
        <w:pStyle w:val="Heading4"/>
      </w:pPr>
      <w:r>
        <w:t xml:space="preserve">Keluaran biner Stage 0.</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diterbitkan dalam 0,5 s setelah deteksi-P, di mana</w:t>
      </w:r>
      <w:r>
        <w:t xml:space="preserve"> </w:t>
      </w:r>
      <m:oMath>
        <m:acc>
          <m:accPr>
            <m:chr m:val="̂"/>
          </m:accPr>
          <m:e>
            <m:r>
              <m:t>z</m:t>
            </m:r>
          </m:e>
        </m:acc>
        <m:r>
          <m:rPr>
            <m:sty m:val="p"/>
          </m:rPr>
          <m:t>=</m:t>
        </m:r>
        <m:r>
          <m:t>1</m:t>
        </m:r>
      </m:oMath>
      <w:r>
        <w:t xml:space="preserve"> </w:t>
      </w:r>
      <w:r>
        <w:t xml:space="preserve">menandakan Damaging (threshold pelatihan PGA</w:t>
      </w:r>
      <w:r>
        <w:t xml:space="preserve"> </w:t>
      </w:r>
      <m:oMath>
        <m:r>
          <m:rPr>
            <m:sty m:val="p"/>
          </m:rPr>
          <m:t>≥</m:t>
        </m:r>
        <m:r>
          <m:t>0</m:t>
        </m:r>
        <m:r>
          <m:rPr>
            <m:sty m:val="p"/>
          </m:rPr>
          <m:t>,</m:t>
        </m:r>
        <m:r>
          <m:t>05</m:t>
        </m:r>
        <m:r>
          <m:t> </m:t>
        </m:r>
        <m:r>
          <m:t>g</m:t>
        </m:r>
        <m:r>
          <m:rPr>
            <m:sty m:val="p"/>
          </m:rPr>
          <m:t>≈</m:t>
        </m:r>
        <m:r>
          <m:t>49</m:t>
        </m:r>
      </m:oMath>
      <w:r>
        <w:t xml:space="preserve"> gal, terletak dekat transisi MMI V/VI dari Worden &amp;</w:t>
      </w:r>
      <w:r>
        <w:t xml:space="preserve"> </w:t>
      </w:r>
      <w:r>
        <w:t xml:space="preserve">).</w:t>
      </w:r>
    </w:p>
    <w:bookmarkEnd w:id="37"/>
    <w:bookmarkStart w:id="38" w:name="formulasi-optimasi-multi-objektif."/>
    <w:p>
      <w:pPr>
        <w:pStyle w:val="Heading4"/>
      </w:pPr>
      <w:r>
        <w:t xml:space="preserve">Formulasi optimasi multi-objektif.</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dengan kendala</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(Kendala Golden Time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sementara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38"/>
    <w:bookmarkEnd w:id="39"/>
    <w:bookmarkEnd w:id="40"/>
    <w:bookmarkStart w:id="46" w:name="kurasi-dataset-dan-rekayasa-fitur"/>
    <w:p>
      <w:pPr>
        <w:pStyle w:val="Heading1"/>
      </w:pPr>
      <w:r>
        <w:t xml:space="preserve">Kurasi Dataset dan Rekayasa Fitur</w:t>
      </w:r>
    </w:p>
    <w:bookmarkStart w:id="42" w:name="pipeline-pengolahan-bentuk-gelombang"/>
    <w:p>
      <w:pPr>
        <w:pStyle w:val="Heading2"/>
      </w:pPr>
      <w:r>
        <w:t xml:space="preserve">Pipeline Pengolahan Bentuk-Gelombang</w:t>
      </w:r>
    </w:p>
    <w:p>
      <w:pPr>
        <w:pStyle w:val="FirstParagraph"/>
      </w:pPr>
      <w:r>
        <w:t xml:space="preserve">Bentuk-gelombang MiniSEED mentah diunduh dari arsip SDS SeisComP-3 BMKG untuk jaringan accelerograph IA-BMKG, mencakup rekaman dari Nov 2022 – Mar 2026. Korpus awal terdiri dari sekitar 41.278 trace tiga-komponen; pipeline kontrol-kualitas lima-tahap yang dijelaskan di bawah (Tabel 1) menyaring korpus ini menjadi 25.058 accelerogram berkualitas-tinggi yang dipertahankan untuk pelatihan downstream. Pipeline pengolahan mengikuti konvensi yang sudah mapan untuk preparasi data strong-motion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41" w:name="komputasi-target-spektral."/>
    <w:p>
      <w:pPr>
        <w:pStyle w:val="Heading4"/>
      </w:pPr>
      <w:r>
        <w:t xml:space="preserve">Komputasi target spektral.</w:t>
      </w:r>
    </w:p>
    <w:p>
      <w:pPr>
        <w:pStyle w:val="FirstParagraph"/>
      </w:pPr>
      <w:r>
        <w:t xml:space="preserve">Spektrum respons</w:t>
      </w:r>
      <w:r>
        <w:t xml:space="preserve"> </w:t>
      </w:r>
      <m:oMath>
        <m:r>
          <m:t>S</m:t>
        </m:r>
        <m:r>
          <m:t>a</m:t>
        </m:r>
        <m:r>
          <m:rPr>
            <m:sty m:val="p"/>
          </m:rPr>
          <m:t>(</m:t>
        </m:r>
        <m:sSub>
          <m:e>
            <m:r>
              <m:t>T</m:t>
            </m:r>
          </m:e>
          <m:sub>
            <m:r>
              <m:t>j</m:t>
            </m:r>
          </m:sub>
        </m:sSub>
        <m:r>
          <m:rPr>
            <m:sty m:val="p"/>
          </m:rPr>
          <m:t>)</m:t>
        </m:r>
      </m:oMath>
      <w:r>
        <w:t xml:space="preserve"> </w:t>
      </w:r>
      <w:r>
        <w:t xml:space="preserve">dihitung menggunakan modul</w:t>
      </w:r>
      <w:r>
        <w:t xml:space="preserve"> </w:t>
      </w:r>
      <w:r>
        <w:rPr>
          <w:rStyle w:val="VerbatimChar"/>
        </w:rPr>
        <w:t xml:space="preserve">scwfparam</w:t>
      </w:r>
      <w:r>
        <w:t xml:space="preserve"> </w:t>
      </w:r>
      <w:r>
        <w:t xml:space="preserve">SeisComP melalui rantai pengolahan</w:t>
      </w:r>
      <w:r>
        <w:t xml:space="preserve"> </w:t>
      </w:r>
      <w:r>
        <w:t xml:space="preserve">: integrasi Newmark-Beta teredam 5% dari bentuk-gelombang akselerasi terkoreksi-instrumen, terkoreksi-baseline, dan terfilter pada 103 periode mengikuti grid periode IBC/ASCE. Ini menjamin konsistensi dengan spektrum desain seismik nasional Indonesia di bawah SNI 1726:2019</w:t>
      </w:r>
      <w:r>
        <w:t xml:space="preserve"> </w:t>
      </w:r>
      <w:r>
        <w:t xml:space="preserve">.</w:t>
      </w:r>
    </w:p>
    <w:bookmarkEnd w:id="41"/>
    <w:bookmarkEnd w:id="42"/>
    <w:bookmarkStart w:id="43" w:name="filter-kontrol-kualitas"/>
    <w:p>
      <w:pPr>
        <w:pStyle w:val="Heading2"/>
      </w:pPr>
      <w:r>
        <w:t xml:space="preserve">Filter Kontrol Kualitas</w:t>
      </w:r>
    </w:p>
    <w:p>
      <w:pPr>
        <w:pStyle w:val="FirstParagraph"/>
      </w:pPr>
      <w:r>
        <w:rPr>
          <w:b/>
          <w:bCs/>
        </w:rPr>
        <w:t xml:space="preserve">Tabel 1. Alur kontrol-kualitas dari arsip BMKG SDS SeisComP-3 (~41.278 trace mentah) melalui lima filter berurutan menjadi dataset pelatihan final 25.058 trace.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Step</w:t>
            </w:r>
          </w:p>
        </w:tc>
        <w:tc>
          <w:tcPr/>
          <w:p>
            <w:pPr>
              <w:pStyle w:val="Compact"/>
              <w:jc w:val="left"/>
            </w:pPr>
            <w:r>
              <w:t xml:space="preserve">Aksi / Kriteria Filter</w:t>
            </w:r>
          </w:p>
        </w:tc>
        <w:tc>
          <w:tcPr/>
          <w:p>
            <w:pPr>
              <w:pStyle w:val="Compact"/>
              <w:jc w:val="center"/>
            </w:pPr>
            <w:r>
              <w:t xml:space="preserve">Records Removed</w:t>
            </w:r>
          </w:p>
        </w:tc>
        <w:tc>
          <w:tcPr/>
          <w:p>
            <w:pPr>
              <w:pStyle w:val="Compact"/>
              <w:jc w:val="center"/>
            </w:pPr>
            <w:r>
              <w:t xml:space="preserve">N Tersisa</w:t>
            </w:r>
          </w:p>
        </w:tc>
      </w:tr>
      <w:tr>
        <w:tc>
          <w:tcPr>
            <w:gridSpan w:val="4"/>
          </w:tcPr>
          <w:p>
            <w:pPr>
              <w:pStyle w:val="Compact"/>
              <w:jc w:val="left"/>
            </w:pPr>
            <w:r>
              <w:rPr>
                <w:i/>
                <w:iCs/>
              </w:rPr>
              <w:t xml:space="preserve">Sumber: arsip BMKG SDS SeisComP-3 (jaringan accelerograph IA-BMKG, Nov 2022 – Mar 2026)</w:t>
            </w:r>
          </w:p>
        </w:tc>
      </w:tr>
      <w:tr>
        <w:tc>
          <w:tcPr>
            <w:gridSpan w:val="3"/>
          </w:tcPr>
          <w:p>
            <w:pPr>
              <w:pStyle w:val="Compact"/>
              <w:jc w:val="left"/>
            </w:pPr>
            <w:r>
              <w:rPr>
                <w:i/>
                <w:iCs/>
              </w:rPr>
              <w:t xml:space="preserve">Unduhan awal (trace tiga-komponen mentah):</w:t>
            </w:r>
          </w:p>
        </w:tc>
        <w:tc>
          <w:tcPr/>
          <w:p>
            <w:pPr>
              <w:pStyle w:val="Compact"/>
              <w:jc w:val="center"/>
            </w:pPr>
            <w:r>
              <w:rPr>
                <w:i/>
                <w:iCs/>
              </w:rPr>
              <w:t xml:space="preserve">~41.278</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c>
          <w:tcPr/>
          <w:p>
            <w:pPr>
              <w:pStyle w:val="Compact"/>
              <w:jc w:val="center"/>
            </w:pPr>
            <w:r>
              <w:t xml:space="preserve">~33.078</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c>
          <w:tcPr/>
          <w:p>
            <w:pPr>
              <w:pStyle w:val="Compact"/>
              <w:jc w:val="center"/>
            </w:pPr>
            <w:r>
              <w:t xml:space="preserve">~29.678</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c>
          <w:tcPr/>
          <w:p>
            <w:pPr>
              <w:pStyle w:val="Compact"/>
              <w:jc w:val="center"/>
            </w:pPr>
            <w:r>
              <w:t xml:space="preserve">~27.778</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c>
          <w:tcPr/>
          <w:p>
            <w:pPr>
              <w:pStyle w:val="Compact"/>
              <w:jc w:val="center"/>
            </w:pPr>
            <w:r>
              <w:t xml:space="preserve">~27.158</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c>
          <w:tcPr/>
          <w:p>
            <w:pPr>
              <w:pStyle w:val="Compact"/>
              <w:jc w:val="center"/>
            </w:pPr>
            <w:r>
              <w:rPr>
                <w:b/>
                <w:bCs/>
              </w:rPr>
              <w:t xml:space="preserve">25.058</w:t>
            </w:r>
          </w:p>
        </w:tc>
      </w:tr>
      <w:tr>
        <w:tc>
          <w:tcPr>
            <w:gridSpan w:val="3"/>
          </w:tcPr>
          <w:p>
            <w:pPr>
              <w:pStyle w:val="Compact"/>
              <w:jc w:val="left"/>
            </w:pPr>
            <w:r>
              <w:rPr>
                <w:b/>
                <w:bCs/>
              </w:rPr>
              <w:t xml:space="preserve">Dataset pelatihan kualitas-tinggi final (eksak, output Step 5):</w:t>
            </w:r>
          </w:p>
        </w:tc>
        <w:tc>
          <w:tcPr/>
          <w:p>
            <w:pPr>
              <w:pStyle w:val="Compact"/>
              <w:jc w:val="center"/>
            </w:pPr>
            <w:r>
              <w:rPr>
                <w:b/>
                <w:bCs/>
              </w:rPr>
              <w:t xml:space="preserve">25.058</w:t>
            </w:r>
          </w:p>
        </w:tc>
      </w:tr>
    </w:tbl>
    <w:p>
      <w:pPr>
        <w:pStyle w:val="BodyText"/>
      </w:pPr>
      <w:r>
        <w:rPr>
          <w:i/>
          <w:iCs/>
        </w:rPr>
        <w:t xml:space="preserve">Jumlah penghapusan per-step dibulatkan ke 100 trace terdekat karena filter berurutan beroperasi pada kriteria yang sebagian tumpang-tindih; total</w:t>
      </w:r>
      <w:r>
        <w:rPr>
          <w:i/>
          <w:iCs/>
        </w:rPr>
        <w:t xml:space="preserve"> </w:t>
      </w:r>
      <w:r>
        <w:rPr>
          <w:i/>
          <w:iCs/>
        </w:rPr>
        <w:t xml:space="preserve">“N Tersisa”</w:t>
      </w:r>
      <w:r>
        <w:rPr>
          <w:i/>
          <w:iCs/>
        </w:rPr>
        <w:t xml:space="preserve"> </w:t>
      </w:r>
      <w:r>
        <w:rPr>
          <w:i/>
          <w:iCs/>
        </w:rPr>
        <w:t xml:space="preserve">kumulatif mewarisi pembulatan ini. Jumlah akhir 25.058 bersifat eksak (hitungan literal file dalam dataset terkurasi yang digunakan untuk pelatihan).</w:t>
      </w:r>
    </w:p>
    <w:bookmarkEnd w:id="43"/>
    <w:bookmarkStart w:id="44" w:name="statistik-dataset-dan-distribusi-kelas"/>
    <w:p>
      <w:pPr>
        <w:pStyle w:val="Heading2"/>
      </w:pPr>
      <w:r>
        <w:t xml:space="preserve">Statistik Dataset dan Distribusi Kelas</w:t>
      </w:r>
    </w:p>
    <w:p>
      <w:pPr>
        <w:pStyle w:val="FirstParagraph"/>
      </w:pPr>
      <w:r>
        <w:t xml:space="preserve">Korpus pelatihan akhir terdiri dari 25.058 accelerogram tiga-komponen yang diambil dari dua aliran sumber komplementer: aliran seismisitas-rutin (24.466 trace) mengambil sampel kejadian dari arsip IA-BMKG BMKG yang kontinu (Nov 2022 – Mar 2026), diaugmentasi dengan 592 trace tiga-komponen dari tiga kejadian dekat-sumber</w:t>
      </w:r>
      <w:r>
        <w:t xml:space="preserve"> </w:t>
      </w:r>
      <m:oMath>
        <m:sSub>
          <m:e>
            <m:r>
              <m:t>M</m:t>
            </m:r>
          </m:e>
          <m:sub>
            <m:r>
              <m:t>w</m:t>
            </m:r>
          </m:sub>
        </m:sSub>
        <m:r>
          <m:rPr>
            <m:sty m:val="p"/>
          </m:rPr>
          <m:t>≥</m:t>
        </m:r>
        <m:r>
          <m:t>5</m:t>
        </m:r>
        <m:r>
          <m:rPr>
            <m:sty m:val="p"/>
          </m:rPr>
          <m:t>,</m:t>
        </m:r>
        <m:r>
          <m:t>6</m:t>
        </m:r>
      </m:oMath>
      <w:r>
        <w:t xml:space="preserve"> </w:t>
      </w:r>
      <w:r>
        <w:t xml:space="preserve">(Cianjur 2022-11-21,</w:t>
      </w:r>
      <w:r>
        <w:t xml:space="preserve"> </w:t>
      </w:r>
      <m:oMath>
        <m:sSub>
          <m:e>
            <m:r>
              <m:t>M</m:t>
            </m:r>
          </m:e>
          <m:sub>
            <m:r>
              <m:t>w</m:t>
            </m:r>
          </m:sub>
        </m:sSub>
      </m:oMath>
      <w:r>
        <w:t xml:space="preserve"> </w:t>
      </w:r>
      <w:r>
        <w:t xml:space="preserve">5,6; kejadian wilayah Sumedang 2023-12-31,</w:t>
      </w:r>
      <w:r>
        <w:t xml:space="preserve"> </w:t>
      </w:r>
      <m:oMath>
        <m:sSub>
          <m:e>
            <m:r>
              <m:t>M</m:t>
            </m:r>
          </m:e>
          <m:sub>
            <m:r>
              <m:t>w</m:t>
            </m:r>
          </m:sub>
        </m:sSub>
      </m:oMath>
      <w:r>
        <w:t xml:space="preserve"> </w:t>
      </w:r>
      <w:r>
        <w:t xml:space="preserve">5,7; dan kejadian wilayah Garut 2024-04-27,</w:t>
      </w:r>
      <w:r>
        <w:t xml:space="preserve"> </w:t>
      </w:r>
      <m:oMath>
        <m:sSub>
          <m:e>
            <m:r>
              <m:t>M</m:t>
            </m:r>
          </m:e>
          <m:sub>
            <m:r>
              <m:t>w</m:t>
            </m:r>
          </m:sub>
        </m:sSub>
      </m:oMath>
      <w:r>
        <w:t xml:space="preserve"> </w:t>
      </w:r>
      <w:r>
        <w:t xml:space="preserve">6,2) untuk class-balancing. Dataset yang diaugmentasi tetap strict event-grouped untuk cross-validation.</w:t>
      </w:r>
    </w:p>
    <w:p>
      <w:pPr>
        <w:pStyle w:val="BodyText"/>
      </w:pPr>
      <w:r>
        <w:rPr>
          <w:b/>
          <w:bCs/>
        </w:rPr>
        <w:t xml:space="preserve">Tabel 2. Ringkasan Dataset — Dataset EEWS Palung Jawa-Sunda (25.058 Trace).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Kelas intensitas mengikuti Skala Intensitas Seismik Indonesia lima-level (SIG-BMKG)</w:t>
      </w:r>
      <w:r>
        <w:t xml:space="preserve"> </w:t>
      </w:r>
      <w:r>
        <w:t xml:space="preserve">, yang batas-batas PGA-nya didasarkan pada Ground-Motion Intensity Conversion Equations (GMICE) probabilistik dari</w:t>
      </w:r>
      <w:r>
        <w:t xml:space="preserve"> </w:t>
      </w:r>
      <w:r>
        <w:t xml:space="preserve"> </w:t>
      </w:r>
      <w:r>
        <w:t xml:space="preserve">dan</w:t>
      </w:r>
      <w:r>
        <w:t xml:space="preserve"> </w:t>
      </w:r>
      <w:r>
        <w:t xml:space="preserve">, dan telah divalidasi secara independen untuk konteks Indonesia oleh</w:t>
      </w:r>
      <w:r>
        <w:t xml:space="preserve"> </w:t>
      </w:r>
      <w:r>
        <w:t xml:space="preserve"> </w:t>
      </w:r>
      <w:r>
        <w:t xml:space="preserve">menggunakan data dari gempa Padang 2009.</w:t>
      </w:r>
    </w:p>
    <w:p>
      <w:pPr>
        <w:pStyle w:val="BodyText"/>
      </w:pPr>
      <w:r>
        <w:rPr>
          <w:b/>
          <w:bCs/>
        </w:rPr>
        <w:t xml:space="preserve">Tabel 3. Distribusi kelas intensitas seismik SIG-BMKG pada dataset 25.058-trace yang dirakit.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Distribusi didominasi oleh SIG-BMKG Kelas I dan II (99,86%), mencerminkan jarak episentral median (~122 km) dan magnitudo sumber (</w:t>
      </w:r>
      <m:oMath>
        <m:sSub>
          <m:e>
            <m:r>
              <m:t>M</m:t>
            </m:r>
          </m:e>
          <m:sub>
            <m:r>
              <m:t>w</m:t>
            </m:r>
          </m:sub>
        </m:sSub>
        <m:r>
          <m:rPr>
            <m:sty m:val="p"/>
          </m:rPr>
          <m:t>≤</m:t>
        </m:r>
        <m:r>
          <m:t>6</m:t>
        </m:r>
        <m:r>
          <m:rPr>
            <m:sty m:val="p"/>
          </m:rPr>
          <m:t>,</m:t>
        </m:r>
        <m:r>
          <m:t>2</m:t>
        </m:r>
      </m:oMath>
      <w:r>
        <w:t xml:space="preserve">) yang terwakili dalam arsip IA-BMKG BMKG untuk Nov 2022 – Mar 2026. Sebuah ekor kecil namun bermakna sebanyak 34 trace (0,14% dari total) mencapai SIG-BMKG Kelas III–V (slight hingga heavy damage), didominasi oleh rangkaian Cianjur 2022</w:t>
      </w:r>
      <w:r>
        <w:t xml:space="preserve"> </w:t>
      </w:r>
      <m:oMath>
        <m:sSub>
          <m:e>
            <m:r>
              <m:t>M</m:t>
            </m:r>
          </m:e>
          <m:sub>
            <m:r>
              <m:t>w</m:t>
            </m:r>
          </m:sub>
        </m:sSub>
      </m:oMath>
      <w:r>
        <w:t xml:space="preserve"> </w:t>
      </w:r>
      <w:r>
        <w:t xml:space="preserve">5,6 (PGA maks ~600 gal, near-source) dan event Garut 2024</w:t>
      </w:r>
      <w:r>
        <w:t xml:space="preserve"> </w:t>
      </w:r>
      <m:oMath>
        <m:sSub>
          <m:e>
            <m:r>
              <m:t>M</m:t>
            </m:r>
          </m:e>
          <m:sub>
            <m:r>
              <m:t>w</m:t>
            </m:r>
          </m:sub>
        </m:sSub>
      </m:oMath>
      <w:r>
        <w:t xml:space="preserve"> </w:t>
      </w:r>
      <w:r>
        <w:t xml:space="preserve">6,2 (27 trace di Kelas III). Rekaman near-source ini memberikan sinyal training kritis untuk Stage 0 URPD dan diskriminasi intensitas Stage 1 di ujung safety-critical spektrum. Konsisten dengan analisis</w:t>
      </w:r>
      <w:r>
        <w:t xml:space="preserve"> </w:t>
      </w:r>
      <w:r>
        <w:t xml:space="preserve">, dataset yang didominasi oleh guncangan intensitas-menengah-ke-rendah masih menyediakan daya kalibrasi substansial untuk prediksi spektral, sebab struktur prediktabilitas dominan dikuasai oleh fitur cumulative-energy (CAV, CVAD, Intensitas Arias) yang berskala dengan durasi dan atenuasi, bukan level SIG-BMKG itu sendiri. Karena itu kami mendefinisikan</w:t>
      </w:r>
      <w:r>
        <w:t xml:space="preserve"> </w:t>
      </w:r>
      <w:r>
        <w:rPr>
          <w:b/>
          <w:bCs/>
        </w:rPr>
        <w:t xml:space="preserve">kelas routing-intensitas operasional</w:t>
      </w:r>
      <w:r>
        <w:t xml:space="preserve"> </w:t>
      </w:r>
      <w:r>
        <w:t xml:space="preserve">yang berbeda dari klasifikasi SIG-BMKG deskriptif, berdasarkan persentil PGA dari dataset aktual:</w:t>
      </w:r>
    </w:p>
    <w:p>
      <w:pPr>
        <w:pStyle w:val="BodyText"/>
      </w:pPr>
      <w:r>
        <w:rPr>
          <w:b/>
          <w:bCs/>
        </w:rPr>
        <w:t xml:space="preserve">Tabel 4. Kelas routing PGA-persentil operasional yang digunakan oleh gate intensitas Stage-1 IDA-PTW.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Gating operasional berbasis-persentil ini memungkinkan classifier routing Stage 1 untuk menstratifikasi trace berdasarkan posisinya dalam distribusi PGA dataset, menghasilkan jumlah kelas yang seimbang dengan baik dan sesuai untuk klasifikasi gradient-boosting. Batas kelas High-PGA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persentil ke-95) berhimpitan dengan batas bawah SIG-BMKG Kelas III (89 gal), mengonfirmasi bahwa kelas operasional</w:t>
      </w:r>
      <w:r>
        <w:t xml:space="preserve"> </w:t>
      </w:r>
      <w:r>
        <w:t xml:space="preserve">“High-PGA”</w:t>
      </w:r>
      <w:r>
        <w:t xml:space="preserve"> </w:t>
      </w:r>
      <w:r>
        <w:t xml:space="preserve">menangkap ujung damaging secara fisik dari distribusi dan bukan sekadar artefak persentil. Definisi ini selaras dengan subset uji-saturasi (</w:t>
      </w:r>
      <m:oMath>
        <m:r>
          <m:t>N</m:t>
        </m:r>
        <m:r>
          <m:rPr>
            <m:sty m:val="p"/>
          </m:rPr>
          <m:t>=</m:t>
        </m:r>
        <m:r>
          <m:t>1.204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yang dilaporkan di Section V.C.</w:t>
      </w:r>
    </w:p>
    <w:bookmarkEnd w:id="44"/>
    <w:bookmarkStart w:id="45" w:name="Xeca4f9933dfae5fadf49d50abe9479bc6fdf863"/>
    <w:p>
      <w:pPr>
        <w:pStyle w:val="Heading2"/>
      </w:pPr>
      <w:r>
        <w:t xml:space="preserve">Rekayasa Fitur: Kamus 42-Fitur Gelombang-P</w:t>
      </w:r>
    </w:p>
    <w:p>
      <w:pPr>
        <w:pStyle w:val="FirstParagraph"/>
      </w:pPr>
      <w:r>
        <w:t xml:space="preserve">Fitur diekstrak dari jendela gelombang-P tiga-komponen komponen-horisontal. Set 42-fitur mengikuti</w:t>
      </w:r>
      <w:r>
        <w:t xml:space="preserve"> </w:t>
      </w:r>
      <w:r>
        <w:t xml:space="preserve"> </w:t>
      </w:r>
      <w:r>
        <w:t xml:space="preserve">yang diperluas dengan fitur spektral</w:t>
      </w:r>
      <w:r>
        <w:t xml:space="preserve"> </w:t>
      </w:r>
      <w:r>
        <w:t xml:space="preserve">, diorganisasikan dalam famili fisis:</w:t>
      </w:r>
    </w:p>
    <w:p>
      <w:pPr>
        <w:pStyle w:val="BodyText"/>
      </w:pPr>
      <w:r>
        <w:rPr>
          <w:b/>
          <w:bCs/>
        </w:rPr>
        <w:t xml:space="preserve">Tabel 5. Kamus 42-Fitur Gelombang-P.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characterization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rPr>
          <w:b/>
          <w:bCs/>
        </w:rPr>
        <w:t xml:space="preserve">Feature Dichotomy</w:t>
      </w:r>
      <w:r>
        <w:t xml:space="preserve"> </w:t>
      </w:r>
      <w:r>
        <w:t xml:space="preserve">adalah prinsip desain utama: fitur saturating (</w:t>
      </w:r>
      <m:oMath>
        <m:sSub>
          <m:e>
            <m:r>
              <m:t>τ</m:t>
            </m:r>
          </m:e>
          <m:sub>
            <m:r>
              <m:t>c</m:t>
            </m:r>
          </m:sub>
        </m:sSub>
      </m:oMath>
      <w:r>
        <w:t xml:space="preserve">,</w:t>
      </w:r>
      <w:r>
        <w:t xml:space="preserve"> </w:t>
      </w:r>
      <m:oMath>
        <m:sSub>
          <m:e>
            <m:r>
              <m:t>P</m:t>
            </m:r>
          </m:e>
          <m:sub>
            <m:r>
              <m:t>d</m:t>
            </m:r>
          </m:sub>
        </m:sSub>
      </m:oMath>
      <w:r>
        <w:t xml:space="preserve">) digunakan di Stage 1 untuk routing intensitas—di mana saturasi pada</w:t>
      </w:r>
      <w:r>
        <w:t xml:space="preserve"> </w:t>
      </w:r>
      <m:oMath>
        <m:sSub>
          <m:e>
            <m:r>
              <m:t>M</m:t>
            </m:r>
          </m:e>
          <m:sub>
            <m:r>
              <m:t>w</m:t>
            </m:r>
          </m:sub>
        </m:sSub>
        <m:r>
          <m:rPr>
            <m:sty m:val="p"/>
          </m:rPr>
          <m:t>&gt;</m:t>
        </m:r>
        <m:r>
          <m:t>7</m:t>
        </m:r>
      </m:oMath>
      <w:r>
        <w:t xml:space="preserve"> </w:t>
      </w:r>
      <w:r>
        <w:t xml:space="preserve">dapat diterima karena keputusan routing bersifat biner—tetapi ditekan di Stage 2 melalui bobot fitur yang dikurangi 5</w:t>
      </w:r>
      <m:oMath>
        <m:r>
          <m:rPr>
            <m:sty m:val="p"/>
          </m:rPr>
          <m:t>×</m:t>
        </m:r>
      </m:oMath>
      <w:r>
        <w:t xml:space="preserve">, memastikan kejadian besar tidak bias ke arah prediksi periode-pendek.</w:t>
      </w:r>
    </w:p>
    <w:p>
      <w:r>
        <w:pict>
          <v:rect style="width:0;height:1.5pt" o:hralign="center" o:hrstd="t" o:hr="t"/>
        </w:pict>
      </w:r>
    </w:p>
    <w:bookmarkEnd w:id="45"/>
    <w:bookmarkEnd w:id="46"/>
    <w:bookmarkStart w:id="72" w:name="pipeline-empat-tahap-ida-ptw"/>
    <w:p>
      <w:pPr>
        <w:pStyle w:val="Heading1"/>
      </w:pPr>
      <w:r>
        <w:t xml:space="preserve">Pipeline Empat-Tahap IDA-PTW</w:t>
      </w:r>
    </w:p>
    <w:bookmarkStart w:id="50" w:name="tinjauan-arsitektur"/>
    <w:p>
      <w:pPr>
        <w:pStyle w:val="Heading2"/>
      </w:pPr>
      <w:r>
        <w:t xml:space="preserve">Tinjauan Arsitektur</w:t>
      </w:r>
    </w:p>
    <w:p>
      <w:pPr>
        <w:pStyle w:val="FirstParagraph"/>
      </w:pPr>
      <w:r>
        <w:t xml:space="preserve">Gbr. 2 menyajikan tinjauan end-to-end pipeline IDA-PTW, merangkum keempat tahap, jendela, persamaan, dan metrik headline.</w:t>
      </w:r>
    </w:p>
    <w:p>
      <w:pPr>
        <w:pStyle w:val="BodyText"/>
      </w:pPr>
      <w:r>
        <w:t xml:space="preserve">Pipeline IDA-PTW mengimplementasikan kaskade sekuensial (Gbr. 3) dengan jendela observasi progresif yang mencerminkan ketersediaan temporal informasi gelombang-P: deteksi-P (0,5 s)</w:t>
      </w:r>
      <w:r>
        <w:t xml:space="preserve"> </w:t>
      </w:r>
      <m:oMath>
        <m:r>
          <m:rPr>
            <m:sty m:val="p"/>
          </m:rPr>
          <m:t>→</m:t>
        </m:r>
      </m:oMath>
      <w:r>
        <w:t xml:space="preserve"> </w:t>
      </w:r>
      <w:r>
        <w:t xml:space="preserve">Stage 0</w:t>
      </w:r>
      <w:r>
        <w:t xml:space="preserve"> </w:t>
      </w:r>
      <m:oMath>
        <m:r>
          <m:rPr>
            <m:sty m:val="p"/>
          </m:rPr>
          <m:t>→</m:t>
        </m:r>
      </m:oMath>
      <w:r>
        <w:t xml:space="preserve"> </w:t>
      </w:r>
      <w:r>
        <w:t xml:space="preserve">Stage 1 (2,0 s)</w:t>
      </w:r>
      <w:r>
        <w:t xml:space="preserve"> </w:t>
      </w:r>
      <m:oMath>
        <m:r>
          <m:rPr>
            <m:sty m:val="p"/>
          </m:rPr>
          <m:t>→</m:t>
        </m:r>
      </m:oMath>
      <w:r>
        <w:t xml:space="preserve"> </w:t>
      </w:r>
      <w:r>
        <w:t xml:space="preserve">Stage 1.5 (</w:t>
      </w:r>
      <m:oMath>
        <m:r>
          <m:rPr>
            <m:sty m:val="p"/>
          </m:rPr>
          <m:t>+</m:t>
        </m:r>
        <m:r>
          <m:t>0</m:t>
        </m:r>
        <m:r>
          <m:rPr>
            <m:sty m:val="p"/>
          </m:rPr>
          <m:t>,</m:t>
        </m:r>
        <m:r>
          <m:t>1</m:t>
        </m:r>
      </m:oMath>
      <w:r>
        <w:t xml:space="preserve"> s)</w:t>
      </w:r>
      <w:r>
        <w:t xml:space="preserve"> </w:t>
      </w:r>
      <m:oMath>
        <m:r>
          <m:rPr>
            <m:sty m:val="p"/>
          </m:rPr>
          <m:t>→</m:t>
        </m:r>
      </m:oMath>
      <w:r>
        <w:t xml:space="preserve"> </w:t>
      </w:r>
      <w:r>
        <w:t xml:space="preserve">Stage 2. Setiap stage aktif pada latency yang didefinisikan secara presisi, memungkinkan prediksi parsial progresif daripada menunggu penyelesaian pipeline penuh.</w:t>
      </w:r>
    </w:p>
    <w:p>
      <w:pPr>
        <w:pStyle w:val="CaptionedFigure"/>
      </w:pPr>
      <w:r>
        <w:drawing>
          <wp:inline>
            <wp:extent cx="4343400" cy="2200850"/>
            <wp:effectExtent b="0" l="0" r="0" t="0"/>
            <wp:docPr descr="" title="" id="48" name="Picture"/>
            <a:graphic>
              <a:graphicData uri="http://schemas.openxmlformats.org/drawingml/2006/picture">
                <pic:pic>
                  <pic:nvPicPr>
                    <pic:cNvPr descr="figures/architecture_overview_v2.png" id="49" name="Picture"/>
                    <pic:cNvPicPr>
                      <a:picLocks noChangeArrowheads="1" noChangeAspect="1"/>
                    </pic:cNvPicPr>
                  </pic:nvPicPr>
                  <pic:blipFill>
                    <a:blip r:embed="rId47"/>
                    <a:stretch>
                      <a:fillRect/>
                    </a:stretch>
                  </pic:blipFill>
                  <pic:spPr bwMode="auto">
                    <a:xfrm>
                      <a:off x="0" y="0"/>
                      <a:ext cx="4343400" cy="2200850"/>
                    </a:xfrm>
                    <a:prstGeom prst="rect">
                      <a:avLst/>
                    </a:prstGeom>
                    <a:noFill/>
                    <a:ln w="9525">
                      <a:noFill/>
                      <a:headEnd/>
                      <a:tailEnd/>
                    </a:ln>
                  </pic:spPr>
                </pic:pic>
              </a:graphicData>
            </a:graphic>
          </wp:inline>
        </w:drawing>
      </w:r>
    </w:p>
    <w:p>
      <w:pPr>
        <w:pStyle w:val="ImageCaption"/>
      </w:pPr>
      <w:r>
        <w:t xml:space="preserve">Tinjauan pipeline empat-tahap IDA-PTW. Timeline (atas) menandai empat milestone temporal: P-trigger, Stage 0 pada 0,5 s, Stage 1 pada 3 s, Stage 2 dengan jendela adaptif</w:t>
      </w:r>
      <w:r>
        <w:t xml:space="preserve"> </w:t>
      </w:r>
      <m:oMath>
        <m:r>
          <m:rPr>
            <m:sty m:val="p"/>
          </m:rPr>
          <m:t>{</m:t>
        </m:r>
        <m:r>
          <m:t>3</m:t>
        </m:r>
        <m:r>
          <m:rPr>
            <m:sty m:val="p"/>
          </m:rPr>
          <m:t>,</m:t>
        </m:r>
        <m:r>
          <m:t>5</m:t>
        </m:r>
        <m:r>
          <m:rPr>
            <m:sty m:val="p"/>
          </m:rPr>
          <m:t>,</m:t>
        </m:r>
        <m:r>
          <m:t>8</m:t>
        </m:r>
        <m:r>
          <m:rPr>
            <m:sty m:val="p"/>
          </m:rPr>
          <m:t>}</m:t>
        </m:r>
      </m:oMath>
      <w:r>
        <w:t xml:space="preserve"> s, dan keluaran akhir 100+ periode</w:t>
      </w:r>
      <w:r>
        <w:t xml:space="preserve"> </w:t>
      </w:r>
      <m:oMath>
        <m:r>
          <m:t>S</m:t>
        </m:r>
        <m:r>
          <m:t>a</m:t>
        </m:r>
        <m:r>
          <m:rPr>
            <m:sty m:val="p"/>
          </m:rPr>
          <m:t>(</m:t>
        </m:r>
        <m:r>
          <m:t>T</m:t>
        </m:r>
        <m:r>
          <m:rPr>
            <m:sty m:val="p"/>
          </m:rPr>
          <m:t>)</m:t>
        </m:r>
      </m:oMath>
      <w:r>
        <w:t xml:space="preserve">. Setiap kotak stage melaporkan tujuan, jendela observasi, keluaran, keluarga model, persamaan penentu, dan metrik headline. Catatan di bawah mendokumentasikan hasil negatif regresi-jarak Stage 1.5 yang memotivasi strategi routing berbasis-kelas yang sebenarnya diadopsi pada Stage 1.</w:t>
      </w:r>
    </w:p>
    <w:bookmarkEnd w:id="50"/>
    <w:bookmarkStart w:id="57" w:name="Xd8c1a6c9692db61b0b66221860269c1ed45c58d"/>
    <w:p>
      <w:pPr>
        <w:pStyle w:val="Heading2"/>
      </w:pPr>
      <w:r>
        <w:t xml:space="preserve">Stage 0: Ultra-Rapid P-wave Discriminator (URPD)</w:t>
      </w:r>
    </w:p>
    <w:bookmarkStart w:id="51" w:name="motivasi-fisis."/>
    <w:p>
      <w:pPr>
        <w:pStyle w:val="Heading4"/>
      </w:pPr>
      <w:r>
        <w:t xml:space="preserve">Motivasi fisis.</w:t>
      </w:r>
    </w:p>
    <w:p>
      <w:pPr>
        <w:pStyle w:val="FirstParagraph"/>
      </w:pPr>
      <w:r>
        <w:t xml:space="preserve">Paradigma EEW on-site</w:t>
      </w:r>
      <w:r>
        <w:t xml:space="preserve"> </w:t>
      </w:r>
      <w:r>
        <w:t xml:space="preserve"> </w:t>
      </w:r>
      <w:r>
        <w:t xml:space="preserve">memerlukan prediksi dari beberapa detik pertama kedatangan gelombang-P.</w:t>
      </w:r>
      <w:r>
        <w:t xml:space="preserve"> </w:t>
      </w:r>
      <w:r>
        <w:t xml:space="preserve"> </w:t>
      </w:r>
      <w:r>
        <w:t xml:space="preserve">memperlihatkan bahwa kombinasi parameter amplitudo dan spektral substansial mengungguli</w:t>
      </w:r>
      <w:r>
        <w:t xml:space="preserve"> </w:t>
      </w:r>
      <m:oMath>
        <m:sSub>
          <m:e>
            <m:r>
              <m:t>τ</m:t>
            </m:r>
          </m:e>
          <m:sub>
            <m:r>
              <m:t>c</m:t>
            </m:r>
          </m:sub>
        </m:sSub>
      </m:oMath>
      <w:r>
        <w:t xml:space="preserve"> </w:t>
      </w:r>
      <w:r>
        <w:t xml:space="preserve">tunggal. Diterapkan pada coda gelombang-P setengah-detik, fitur spektral mengkodekan ledakan energi frekuensi-tinggi karakteristik gerakan-kuat dekat-sumber tanpa memerlukan parameter sumber yang membutuhkan beberapa detik untuk diestimasi.</w:t>
      </w:r>
    </w:p>
    <w:p>
      <w:pPr>
        <w:pStyle w:val="BodyText"/>
      </w:pPr>
      <w:r>
        <w:t xml:space="preserve">Kerangka CAV</w:t>
      </w:r>
      <w:r>
        <w:t xml:space="preserve"> </w:t>
      </w:r>
      <w:r>
        <w:t xml:space="preserve"> </w:t>
      </w:r>
      <w:r>
        <w:t xml:space="preserve">mendemonstrasikan bahwa metrik energi kumulatif yang dikomputasi pada jendela yang sangat singkat berkorelasi dengan potensi kerusakan ground-motion. Pada 0,5 detik, CAV didominasi oleh amplitudo gelombang-P awal—suatu proxy untuk fluks energi dekat-sumber yang berskala dengan jarak sumber-ke-site lebih robust daripada</w:t>
      </w:r>
      <w:r>
        <w:t xml:space="preserve"> </w:t>
      </w:r>
      <m:oMath>
        <m:sSub>
          <m:e>
            <m:r>
              <m:t>τ</m:t>
            </m:r>
          </m:e>
          <m:sub>
            <m:r>
              <m:t>c</m:t>
            </m:r>
          </m:sub>
        </m:sSub>
      </m:oMath>
      <w:r>
        <w:t xml:space="preserve">.</w:t>
      </w:r>
    </w:p>
    <w:bookmarkEnd w:id="51"/>
    <w:bookmarkStart w:id="52"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optimization</w:t>
      </w:r>
      <w:r>
        <w:t xml:space="preserve"> </w:t>
      </w:r>
      <w:r>
        <w:t xml:space="preserve">,</w:t>
      </w:r>
      <w:r>
        <w:t xml:space="preserve"> </w:t>
      </w:r>
      <w:r>
        <w:t xml:space="preserve">. Target pelatihan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52"/>
    <w:bookmarkStart w:id="53" w:name="pentingnya-fitur-berbasis-shap."/>
    <w:p>
      <w:pPr>
        <w:pStyle w:val="Heading4"/>
      </w:pPr>
      <w:r>
        <w:t xml:space="preserve">Pentingnya fitur (berbasis SHAP).</w:t>
      </w:r>
    </w:p>
    <w:p>
      <w:pPr>
        <w:pStyle w:val="FirstParagraph"/>
      </w:pPr>
      <w:r>
        <w:t xml:space="preserve">Kami menghitung nilai Shapley Additive exPlanations (SHAP) untuk menyusun peringkat ketujuh fitur spektral berdasarkan kontribusi marginalnya terhadap keputusan biner Stage-0. Pasangan dominan (spectral centroid dan spectral rolloff) bersama-sama menjelaskan lebih dari 80% keluaran model, mengonfirmasi bahwa deskriptor domain-frekuensi membawa sinyal diskriminasi dekat-sumber terkuat pada jendela setengah-detik. Tabel 6 mencantumkan ketujuh fitur dengan persentase SHAP dan interpretasi fisisnya.</w:t>
      </w:r>
    </w:p>
    <w:p>
      <w:pPr>
        <w:pStyle w:val="BodyText"/>
      </w:pPr>
      <w:r>
        <w:rPr>
          <w:b/>
          <w:bCs/>
        </w:rPr>
        <w:t xml:space="preserve">Tabel 6. Pentingnya Fitur Stage 0 URPD (Jendela 0,5 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dekat-sumber,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53"/>
    <w:bookmarkStart w:id="54" w:name="performa."/>
    <w:p>
      <w:pPr>
        <w:pStyle w:val="Heading4"/>
      </w:pPr>
      <w:r>
        <w:t xml:space="preserve">Performa.</w:t>
      </w:r>
    </w:p>
    <w:p>
      <w:pPr>
        <w:pStyle w:val="FirstParagraph"/>
      </w:pPr>
      <w:r>
        <w:t xml:space="preserve">Kami mengevaluasi Stage 0 pada tiga operating point yang membentang ruang trade-off recall–precision yang relevan untuk profil konsumen berbeda (infrastruktur kritis, perlindungan manusia seimbang, dan sistem otomatis presisi tinggi). Setiap operating point berkaitan dengan threshold keputusan yang berbeda pada posterior GBM yang dikalibrasi. Tabel 7 melaporkan threshold, recall, precision, dan F1 score untuk masing-masing.</w:t>
      </w:r>
    </w:p>
    <w:p>
      <w:pPr>
        <w:pStyle w:val="BodyText"/>
      </w:pPr>
      <w:r>
        <w:rPr>
          <w:b/>
          <w:bCs/>
        </w:rPr>
        <w:t xml:space="preserve">Tabel 7. Operating Point Stage 0 URPD.</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8. Mode operating-point Stage-0 URPD: Konservatif, Seimbang, Agresif — dan rekomendasi use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Infrastruktur kritis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dekat-sumber warning systems prioritize recall over precision. The three operating point (high-recall, balanced, high-precision) are listed in the auto-generated provenance block above.</w:t>
      </w:r>
    </w:p>
    <w:bookmarkEnd w:id="54"/>
    <w:bookmarkStart w:id="55" w:name="reduksi-zona-buta."/>
    <w:p>
      <w:pPr>
        <w:pStyle w:val="Heading4"/>
      </w:pPr>
      <w:r>
        <w:t xml:space="preserve">Reduksi zona buta.</w:t>
      </w:r>
    </w:p>
    <w:p>
      <w:pPr>
        <w:pStyle w:val="FirstParagraph"/>
      </w:pPr>
      <w:r>
        <w:t xml:space="preserve">Pada Balanced operating point:</w:t>
      </w:r>
    </w:p>
    <w:p>
      <w:pPr>
        <w:pStyle w:val="BodyText"/>
      </w:pPr>
      <w:r>
        <w:rPr>
          <w:b/>
          <w:bCs/>
        </w:rPr>
        <w:t xml:space="preserve">Tabel 9. Reduksi Zona Buta Dekat-Sumber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mengurangi to 4 km—approaching the physical limit imposed by P-wave propagation velocity itself.</w:t>
      </w:r>
    </w:p>
    <w:bookmarkEnd w:id="55"/>
    <w:bookmarkStart w:id="56" w:name="studi-kasus-retrospektif."/>
    <w:p>
      <w:pPr>
        <w:pStyle w:val="Heading4"/>
      </w:pPr>
      <w:r>
        <w:t xml:space="preserve">Studi kasus retrospektif.</w:t>
      </w:r>
    </w:p>
    <w:p>
      <w:pPr>
        <w:pStyle w:val="FirstParagraph"/>
      </w:pPr>
      <w:r>
        <w:t xml:space="preserve">Dievaluasi pada rekaman dari arsip strong-motion BMKG:</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dekat-sumber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dekat-sumber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memerlukan discrimination from damaging dekat-sumber records (Garut).</w:t>
      </w:r>
    </w:p>
    <w:bookmarkEnd w:id="56"/>
    <w:bookmarkEnd w:id="57"/>
    <w:bookmarkStart w:id="61" w:name="stage-1-gate-intensitas-xgboost"/>
    <w:p>
      <w:pPr>
        <w:pStyle w:val="Heading2"/>
      </w:pPr>
      <w:r>
        <w:t xml:space="preserve">Stage 1: Gate Intensitas XGBoost</w:t>
      </w:r>
    </w:p>
    <w:bookmarkStart w:id="58" w:name="rasional-desain."/>
    <w:p>
      <w:pPr>
        <w:pStyle w:val="Heading4"/>
      </w:pPr>
      <w:r>
        <w:t xml:space="preserve">Rasional desain.</w:t>
      </w:r>
    </w:p>
    <w:p>
      <w:pPr>
        <w:pStyle w:val="FirstParagraph"/>
      </w:pPr>
      <w:r>
        <w:t xml:space="preserve">Gate Intensitas mengklasifikasikan trace masuk ke dalam tiga kelas operasional menggunakan vektor fitur gelombang-P 2,0-detik—empat kali lebih panjang dari Stage 0, memungkinkan ekstraksi fitur yang lebih kaya. Kritisnya, Stage 1 menggunakan</w:t>
      </w:r>
      <w:r>
        <w:t xml:space="preserve"> </w:t>
      </w:r>
      <w:r>
        <w:rPr>
          <w:b/>
          <w:bCs/>
        </w:rPr>
        <w:t xml:space="preserve">ensemble penuh 90 fitur</w:t>
      </w:r>
      <w:r>
        <w:t xml:space="preserve"> </w:t>
      </w:r>
      <w:r>
        <w:t xml:space="preserve">(fitur dasar gelombang-P pada Tabel 5 yang diaugmentasi dengan metadata site-path, fitur Dai multi-window, dan fitur frequency-domain sebagaimana dirinci pada ablation inkremental Tabel 13), termasuk parameter saturating (</w:t>
      </w:r>
      <m:oMath>
        <m:sSub>
          <m:e>
            <m:r>
              <m:t>τ</m:t>
            </m:r>
          </m:e>
          <m:sub>
            <m:r>
              <m:t>c</m:t>
            </m:r>
          </m:sub>
        </m:sSub>
      </m:oMath>
      <w:r>
        <w:t xml:space="preserve">,</w:t>
      </w:r>
      <w:r>
        <w:t xml:space="preserve"> </w:t>
      </w:r>
      <m:oMath>
        <m:sSub>
          <m:e>
            <m:r>
              <m:t>P</m:t>
            </m:r>
          </m:e>
          <m:sub>
            <m:r>
              <m:t>d</m:t>
            </m:r>
          </m:sub>
        </m:sSub>
      </m:oMath>
      <w:r>
        <w:t xml:space="preserve">). Sebagaimana diargumentasikan oleh</w:t>
      </w:r>
      <w:r>
        <w:t xml:space="preserve"> </w:t>
      </w:r>
      <w:r>
        <w:t xml:space="preserve"> </w:t>
      </w:r>
      <w:r>
        <w:t xml:space="preserve">dan</w:t>
      </w:r>
      <w:r>
        <w:t xml:space="preserve"> </w:t>
      </w:r>
      <w:r>
        <w:t xml:space="preserve">, fitur-fitur ini mempertahankan daya diskriminatif untuk klasifikasi intensitas lokal bahkan di mana mereka mengalami saturasi untuk estimasi magnitudo: kejadian damaging dekat-sumber M5,5 benar-benar menghasilkan</w:t>
      </w:r>
      <w:r>
        <w:t xml:space="preserve"> </w:t>
      </w:r>
      <m:oMath>
        <m:sSub>
          <m:e>
            <m:r>
              <m:t>τ</m:t>
            </m:r>
          </m:e>
          <m:sub>
            <m:r>
              <m:t>c</m:t>
            </m:r>
          </m:sub>
        </m:sSub>
      </m:oMath>
      <w:r>
        <w:t xml:space="preserve"> </w:t>
      </w:r>
      <w:r>
        <w:t xml:space="preserve">yang lebih panjang setelah 2 detik daripada kejadian lemah M4,0 yang jauh terekam di stasiun yang sama—saturasi hanya mempengaruhi estimasi magnitudo jauh-sumber pada</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mengungguli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58"/>
    <w:bookmarkStart w:id="59" w:name="X9b0a47d3c68be841ef1634c14b15419834e2c35"/>
    <w:p>
      <w:pPr>
        <w:pStyle w:val="Heading4"/>
      </w:pPr>
      <w:r>
        <w:t xml:space="preserve">Implementasi Feature-Dichotomy di Stage 1.</w:t>
      </w:r>
    </w:p>
    <w:p>
      <w:pPr>
        <w:pStyle w:val="FirstParagraph"/>
      </w:pPr>
      <w:r>
        <w:t xml:space="preserve">Seluruh 90 fitur berfungsi sebagai input Stage 1, tetapi klasifikasi Stage 1 secara eksplisit</w:t>
      </w:r>
      <w:r>
        <w:t xml:space="preserve"> </w:t>
      </w:r>
      <w:r>
        <w:rPr>
          <w:b/>
          <w:bCs/>
        </w:rPr>
        <w:t xml:space="preserve">tidak digunakan</w:t>
      </w:r>
      <w:r>
        <w:t xml:space="preserve"> </w:t>
      </w:r>
      <w:r>
        <w:t xml:space="preserve">untuk estimasi magnitudo—ia merutekan ke panjang jendela. Ini menghindari masalah saturasi yang diidentifikasi oleh Lancieri dan</w:t>
      </w:r>
      <w:r>
        <w:t xml:space="preserve"> </w:t>
      </w:r>
      <w:r>
        <w:t xml:space="preserve">: saturasi</w:t>
      </w:r>
      <w:r>
        <w:t xml:space="preserve"> </w:t>
      </w:r>
      <m:oMath>
        <m:sSub>
          <m:e>
            <m:r>
              <m:t>τ</m:t>
            </m:r>
          </m:e>
          <m:sub>
            <m:r>
              <m:t>c</m:t>
            </m:r>
          </m:sub>
        </m:sSub>
      </m:oMath>
      <w:r>
        <w:t xml:space="preserve"> </w:t>
      </w:r>
      <w:r>
        <w:t xml:space="preserve">pada magnitudo besar hanya mengivalidasi</w:t>
      </w:r>
      <w:r>
        <w:t xml:space="preserve"> </w:t>
      </w:r>
      <w:r>
        <w:rPr>
          <w:i/>
          <w:iCs/>
        </w:rPr>
        <w:t xml:space="preserve">prediksi magnitudo</w:t>
      </w:r>
      <w:r>
        <w:t xml:space="preserve">, bukan diskriminasi</w:t>
      </w:r>
      <w:r>
        <w:t xml:space="preserve"> </w:t>
      </w:r>
      <w:r>
        <w:rPr>
          <w:i/>
          <w:iCs/>
        </w:rPr>
        <w:t xml:space="preserve">kelas intensitas</w:t>
      </w:r>
      <w:r>
        <w:t xml:space="preserve"> </w:t>
      </w:r>
      <w:r>
        <w:t xml:space="preserve">yang menggerakkan routing.</w:t>
      </w:r>
    </w:p>
    <w:p>
      <w:pPr>
        <w:pStyle w:val="BodyText"/>
      </w:pPr>
      <w:r>
        <w:rPr>
          <w:b/>
          <w:bCs/>
        </w:rPr>
        <w:t xml:space="preserve">Tabel 10. Peran Fitur Stage 1 dalam Klasifikasi Intensitas.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Tabel 11. Performa Classifier Stage 1 (CV Event-Grouped 5-Fold, 23.537 Trace, Kelas MMI-Hybrid).</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59"/>
    <w:bookmarkStart w:id="60" w:name="tingkat-critical-miss."/>
    <w:p>
      <w:pPr>
        <w:pStyle w:val="Heading4"/>
      </w:pPr>
      <w:r>
        <w:t xml:space="preserve">Tingkat critical miss.</w:t>
      </w:r>
    </w:p>
    <w:p>
      <w:pPr>
        <w:pStyle w:val="FirstParagraph"/>
      </w:pPr>
      <w:r>
        <w:t xml:space="preserve">Tingkat critical miss kelas Damaging (fraksi trace true-High yang diresleng ke jendela Low-3s) adalah</w:t>
      </w:r>
      <w:r>
        <w:t xml:space="preserve"> </w:t>
      </w:r>
      <w:r>
        <w:rPr>
          <w:b/>
          <w:bCs/>
        </w:rPr>
        <w:t xml:space="preserve">4–6%</w:t>
      </w:r>
      <w:r>
        <w:t xml:space="preserve"> </w:t>
      </w:r>
      <w:r>
        <w:t xml:space="preserve">di bawah ensemble task 15 — substansial di bawah 20,54% yang dilaporkan untuk tercile-baseline (konfigurasi task 2, dipertahankan sebagai ablation di Supplementary Materials SM1). Metrik ini—bukan akurasi keseluruhan—adalah hasil yang relevan-keselamatan secara primer dan ia lebih lanjut diproteksi oleh Stage 0, yang secara independen menandai kejadian Damaging dekat-sumber dalam 0,5 s, sebelum Stage 1 selesai.</w:t>
      </w:r>
      <w:r>
        <w:t xml:space="preserve"> </w:t>
      </w:r>
      <w:r>
        <w:t xml:space="preserve"> </w:t>
      </w:r>
      <w:r>
        <w:t xml:space="preserve">mencatat bahwa tidak ada kerangka penilaian EEW universal; kami mengadopsi critical miss rate sebagai metrik keselamatan primer mengikuti</w:t>
      </w:r>
      <w:r>
        <w:t xml:space="preserve"> </w:t>
      </w:r>
      <w:r>
        <w:t xml:space="preserve">.</w:t>
      </w:r>
    </w:p>
    <w:bookmarkEnd w:id="60"/>
    <w:bookmarkEnd w:id="61"/>
    <w:bookmarkStart w:id="62" w:name="X6991d23f16bb0b414f8fa979910bd73c23e6347"/>
    <w:p>
      <w:pPr>
        <w:pStyle w:val="Heading2"/>
      </w:pPr>
      <w:r>
        <w:t xml:space="preserve">Stage 1.5: Strategi Routing dan Kegagalan Regresi-Jarak</w:t>
      </w:r>
    </w:p>
    <w:p>
      <w:pPr>
        <w:pStyle w:val="FirstParagraph"/>
      </w:pPr>
      <w:r>
        <w:t xml:space="preserve">EEWS yang sepenuhnya otonom idealnya akan mengestimasi jarak episentral langsung dari vektor fitur gelombang-P 3-detik. Kami mengevaluasi lima konfigurasi fitur di bawah protokol GroupKFold 5-fold yang sama dengan Stage 1 dan 2; semua varian menghasilkan</w:t>
      </w:r>
      <w:r>
        <w:t xml:space="preserve"> </w:t>
      </w:r>
      <m:oMath>
        <m:sSup>
          <m:e>
            <m:r>
              <m:t>R</m:t>
            </m:r>
          </m:e>
          <m:sup>
            <m:r>
              <m:t>2</m:t>
            </m:r>
          </m:sup>
        </m:sSup>
        <m:r>
          <m:rPr>
            <m:sty m:val="p"/>
          </m:rPr>
          <m:t>≤</m:t>
        </m:r>
        <m:r>
          <m:t>0</m:t>
        </m:r>
      </m:oMath>
      <w:r>
        <w:t xml:space="preserve"> </w:t>
      </w:r>
      <w:r>
        <w:t xml:space="preserve">pada data out-of-fold, mengonfirmasi bahwa fitur stasiun-tunggal 3-s tidak dapat memprediksi jarak secara andal di atas katalog subduksi yang membentang</w:t>
      </w:r>
      <w:r>
        <w:t xml:space="preserve"> </w:t>
      </w:r>
      <m:oMath>
        <m:sSub>
          <m:e>
            <m:r>
              <m:t>M</m:t>
            </m:r>
          </m:e>
          <m:sub>
            <m:r>
              <m:t>w</m:t>
            </m:r>
          </m:sub>
        </m:sSub>
      </m:oMath>
      <w:r>
        <w:t xml:space="preserve"> </w:t>
      </w:r>
      <w:r>
        <w:t xml:space="preserve">4,0–7,5 dan</w:t>
      </w:r>
      <w:r>
        <w:t xml:space="preserve"> </w:t>
      </w:r>
      <m:oMath>
        <m:sSub>
          <m:e>
            <m:r>
              <m:rPr>
                <m:sty m:val="p"/>
              </m:rPr>
              <m:t>Δ</m:t>
            </m:r>
          </m:e>
          <m:sub>
            <m:r>
              <m:t>e</m:t>
            </m:r>
            <m:r>
              <m:t>p</m:t>
            </m:r>
          </m:sub>
        </m:sSub>
      </m:oMath>
      <w:r>
        <w:t xml:space="preserve"> </w:t>
      </w:r>
      <w:r>
        <w:t xml:space="preserve">10–500 km. Karena itu kami merutekan trace berdasarkan kelas intensitas Stage-1, bukan berdasarkan jarak yang diestimasi, sebab label kelas menginternalisasi konten informasi gabungan jarak–magnitudo. Tabel ablation lengkap dan diskusi diperluas tentang implikasi fisis dan arsitektural ditunda ke Sec. 6.5.</w:t>
      </w:r>
    </w:p>
    <w:bookmarkEnd w:id="62"/>
    <w:bookmarkStart w:id="69" w:name="X1a97f40ffd4e503e2011791f8fced9e714ca880"/>
    <w:p>
      <w:pPr>
        <w:pStyle w:val="Heading2"/>
      </w:pPr>
      <w:r>
        <w:t xml:space="preserve">Stage 2: Ensemble Regressor Spektral PTW Adaptif</w:t>
      </w:r>
    </w:p>
    <w:bookmarkStart w:id="63" w:name="struktur-ensemble."/>
    <w:p>
      <w:pPr>
        <w:pStyle w:val="Heading4"/>
      </w:pPr>
      <w:r>
        <w:t xml:space="preserve">Struktur ensemble.</w:t>
      </w:r>
    </w:p>
    <w:p>
      <w:pPr>
        <w:pStyle w:val="FirstParagraph"/>
      </w:pPr>
      <w:r>
        <w:t xml:space="preserve">Untuk setiap periode spektral</w:t>
      </w:r>
      <w:r>
        <w:t xml:space="preserve"> </w:t>
      </w:r>
      <m:oMath>
        <m:sSub>
          <m:e>
            <m:r>
              <m:t>T</m:t>
            </m:r>
          </m:e>
          <m:sub>
            <m:r>
              <m:t>p</m:t>
            </m:r>
          </m:sub>
        </m:sSub>
      </m:oMath>
      <w:r>
        <w:t xml:space="preserve"> </w:t>
      </w:r>
      <w:r>
        <w:t xml:space="preserve">dan durasi PTW</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s, regressor XGBoost independen</w:t>
      </w:r>
      <w:r>
        <w:t xml:space="preserve"> </w:t>
      </w:r>
      <m:oMath>
        <m:sSup>
          <m:e>
            <m:r>
              <m:t>f</m:t>
            </m:r>
          </m:e>
          <m:sup>
            <m:r>
              <m:rPr>
                <m:sty m:val="p"/>
              </m:rPr>
              <m:t>(</m:t>
            </m:r>
            <m:r>
              <m:t>p</m:t>
            </m:r>
            <m:r>
              <m:rPr>
                <m:sty m:val="p"/>
              </m:rPr>
              <m:t>,</m:t>
            </m:r>
            <m:r>
              <m:t>w</m:t>
            </m:r>
            <m:r>
              <m:rPr>
                <m:sty m:val="p"/>
              </m:rPr>
              <m:t>)</m:t>
            </m:r>
          </m:sup>
        </m:sSup>
      </m:oMath>
      <w:r>
        <w:t xml:space="preserve"> </w:t>
      </w:r>
      <w:r>
        <w:t xml:space="preserve">dilatih:</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optimization and capturing the fundamentally different physical scales governing short-period (site-dominated) vs. long-period (source-dominated) spectral content.</w:t>
      </w:r>
    </w:p>
    <w:bookmarkEnd w:id="63"/>
    <w:bookmarkStart w:id="64" w:name="objektif-dan-regularisasi-xgboost."/>
    <w:p>
      <w:pPr>
        <w:pStyle w:val="Heading4"/>
      </w:pPr>
      <w:r>
        <w:t xml:space="preserve">Objektif dan regularisasi XGBoost.</w:t>
      </w:r>
    </w:p>
    <w:p>
      <w:pPr>
        <w:pStyle w:val="FirstParagraph"/>
      </w:pPr>
      <w:r>
        <w:t xml:space="preserve">Mengikuti Chen dan</w:t>
      </w:r>
      <w:r>
        <w:t xml:space="preserve"> </w:t>
      </w:r>
      <w:r>
        <w:t xml:space="preserve">, objektif pelatihan Stage 2 adalah:</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64"/>
    <w:bookmarkStart w:id="68" w:name="penegakan-feature-dichotomy."/>
    <w:p>
      <w:pPr>
        <w:pStyle w:val="Heading4"/>
      </w:pPr>
      <w:r>
        <w:t xml:space="preserve">Penegakan Feature-Dichotomy.</w:t>
      </w:r>
    </w:p>
    <w:p>
      <w:pPr>
        <w:pStyle w:val="FirstParagraph"/>
      </w:pPr>
      <w:r>
        <w:t xml:space="preserve">Fitur saturating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ditugasi</w:t>
      </w:r>
      <w:r>
        <w:t xml:space="preserve"> </w:t>
      </w:r>
      <w:r>
        <w:rPr>
          <w:rStyle w:val="VerbatimChar"/>
        </w:rPr>
        <w:t xml:space="preserve">feature_weights</w:t>
      </w:r>
      <w:r>
        <w:t xml:space="preserve"> </w:t>
      </w:r>
      <w:r>
        <w:t xml:space="preserve">yang dikurangi 5</w:t>
      </w:r>
      <m:oMath>
        <m:r>
          <m:rPr>
            <m:sty m:val="p"/>
          </m:rPr>
          <m:t>×</m:t>
        </m:r>
      </m:oMath>
      <w:r>
        <w:t xml:space="preserve"> </w:t>
      </w:r>
      <w:r>
        <w:t xml:space="preserve">di XGBoost, secara efektif menurunkan importance SHAP-nya untuk mencegah artefak saturasi event-besar. Ini mengimplementasikan pada level algoritmik prinsip fisis yang diidentifikasi oleh Lancieri dan</w:t>
      </w:r>
      <w:r>
        <w:t xml:space="preserve"> </w:t>
      </w:r>
      <w:r>
        <w:t xml:space="preserve"> </w:t>
      </w:r>
      <w:r>
        <w:t xml:space="preserve">dan</w:t>
      </w:r>
      <w:r>
        <w:t xml:space="preserve"> </w:t>
      </w:r>
      <w:r>
        <w:t xml:space="preserve">: parameter gelombang-P awal membawa informasi prediktif terbatas tentang konten spektral large-rupture.</w:t>
      </w:r>
    </w:p>
    <w:p>
      <w:pPr>
        <w:pStyle w:val="BodyText"/>
      </w:pPr>
      <w:r>
        <w:rPr>
          <w:b/>
          <w:bCs/>
        </w:rPr>
        <w:t xml:space="preserve">Tabel 12. Hyperparameter Regressor Stage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4343400" cy="1783463"/>
            <wp:effectExtent b="0" l="0" r="0" t="0"/>
            <wp:docPr descr="" title="" id="66" name="Picture"/>
            <a:graphic>
              <a:graphicData uri="http://schemas.openxmlformats.org/drawingml/2006/picture">
                <pic:pic>
                  <pic:nvPicPr>
                    <pic:cNvPr descr="figures/feature_importance_3stage.png" id="67" name="Picture"/>
                    <pic:cNvPicPr>
                      <a:picLocks noChangeArrowheads="1" noChangeAspect="1"/>
                    </pic:cNvPicPr>
                  </pic:nvPicPr>
                  <pic:blipFill>
                    <a:blip r:embed="rId65"/>
                    <a:stretch>
                      <a:fillRect/>
                    </a:stretch>
                  </pic:blipFill>
                  <pic:spPr bwMode="auto">
                    <a:xfrm>
                      <a:off x="0" y="0"/>
                      <a:ext cx="4343400" cy="1783463"/>
                    </a:xfrm>
                    <a:prstGeom prst="rect">
                      <a:avLst/>
                    </a:prstGeom>
                    <a:noFill/>
                    <a:ln w="9525">
                      <a:noFill/>
                      <a:headEnd/>
                      <a:tailEnd/>
                    </a:ln>
                  </pic:spPr>
                </pic:pic>
              </a:graphicData>
            </a:graphic>
          </wp:inline>
        </w:drawing>
      </w:r>
    </w:p>
    <w:p>
      <w:pPr>
        <w:pStyle w:val="ImageCaption"/>
      </w:pPr>
      <w:r>
        <w:t xml:space="preserve">Pentingnya fitur per-stage (gain ternormalisasi) untuk kaskade IDA-PTW yang dievaluasi di bawah CV 5-fold event-grouped.</w:t>
      </w:r>
      <w:r>
        <w:t xml:space="preserve"> </w:t>
      </w:r>
      <w:r>
        <w:rPr>
          <w:i/>
          <w:iCs/>
        </w:rPr>
        <w:t xml:space="preserve">Kiri:</w:t>
      </w:r>
      <w:r>
        <w:t xml:space="preserve"> </w:t>
      </w:r>
      <w:r>
        <w:t xml:space="preserve">Stage 0/1 URPD — deteksi gelombang-P biner pada jendela 3-s, didominasi oleh proxy frekuensi-sudut sumber</w:t>
      </w:r>
      <w:r>
        <w:t xml:space="preserve"> </w:t>
      </w:r>
      <m:oMath>
        <m:sSub>
          <m:e>
            <m:r>
              <m:t>τ</m:t>
            </m:r>
          </m:e>
          <m:sub>
            <m:r>
              <m:t>c</m:t>
            </m:r>
          </m:sub>
        </m:sSub>
      </m:oMath>
      <w:r>
        <w:t xml:space="preserve"> </w:t>
      </w:r>
      <w:r>
        <w:t xml:space="preserve">bersama deskriptor durasi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Tengah:</w:t>
      </w:r>
      <w:r>
        <w:t xml:space="preserve"> </w:t>
      </w:r>
      <w:r>
        <w:t xml:space="preserve">Stage 1/2 Gate MMI — routing tiga-kelas Rendah/Sedang/Tinggi pada jendela 3-s yang sama, di mana</w:t>
      </w:r>
      <w:r>
        <w:t xml:space="preserve"> </w:t>
      </w:r>
      <m:oMath>
        <m:sSub>
          <m:e>
            <m:r>
              <m:t>τ</m:t>
            </m:r>
          </m:e>
          <m:sub>
            <m:r>
              <m:t>c</m:t>
            </m:r>
          </m:sub>
        </m:sSub>
      </m:oMath>
      <w:r>
        <w:t xml:space="preserve"> </w:t>
      </w:r>
      <w:r>
        <w:t xml:space="preserve">tetap dominan tetapi sekarang informatif bersamaan dengan</w:t>
      </w:r>
      <w:r>
        <w:t xml:space="preserve"> </w:t>
      </w:r>
      <m:oMath>
        <m:sSub>
          <m:e>
            <m:r>
              <m:t>t</m:t>
            </m:r>
          </m:e>
          <m:sub>
            <m:r>
              <m:t>p</m:t>
            </m:r>
          </m:sub>
        </m:sSub>
      </m:oMath>
      <w:r>
        <w:t xml:space="preserve">,</w:t>
      </w:r>
      <w:r>
        <w:t xml:space="preserve"> </w:t>
      </w:r>
      <m:oMath>
        <m:sSub>
          <m:e>
            <m:r>
              <m:t>t</m:t>
            </m:r>
          </m:e>
          <m:sub>
            <m:r>
              <m:t>v</m:t>
            </m:r>
            <m:r>
              <m:t>a</m:t>
            </m:r>
          </m:sub>
        </m:sSub>
      </m:oMath>
      <w:r>
        <w:t xml:space="preserve">, dan deskriptor intensitas komposit (</w:t>
      </w:r>
      <m:oMath>
        <m:sSub>
          <m:e>
            <m:r>
              <m:t>I</m:t>
            </m:r>
          </m:e>
          <m:sub>
            <m:r>
              <m:rPr>
                <m:nor/>
                <m:sty m:val="p"/>
              </m:rPr>
              <m:t>char-vel</m:t>
            </m:r>
          </m:sub>
        </m:sSub>
      </m:oMath>
      <w:r>
        <w:t xml:space="preserve">, rasio PGV/PGD, CVAD).</w:t>
      </w:r>
      <w:r>
        <w:t xml:space="preserve"> </w:t>
      </w:r>
      <w:r>
        <w:rPr>
          <w:i/>
          <w:iCs/>
        </w:rPr>
        <w:t xml:space="preserve">Kanan:</w:t>
      </w:r>
      <w:r>
        <w:t xml:space="preserve"> </w:t>
      </w:r>
      <w:r>
        <w:t xml:space="preserve">regressor spektral Stage 2/3 — komposit multi-jendela, didominasi oleh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bersama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energi kumulatif CAV yang dikomputasi pada jendela 5-s.</w:t>
      </w:r>
    </w:p>
    <w:p>
      <w:pPr>
        <w:pStyle w:val="BodyText"/>
      </w:pPr>
      <w:r>
        <w:t xml:space="preserve">Pola lintas-stage dalam gambar ini memberikan dukungan empiris langsung untuk Feature Dichotomy yang memotivasi arsitektur. Pada tahap deteksi-biner (Stage 0/1),</w:t>
      </w:r>
      <w:r>
        <w:t xml:space="preserve"> </w:t>
      </w:r>
      <m:oMath>
        <m:sSub>
          <m:e>
            <m:r>
              <m:t>τ</m:t>
            </m:r>
          </m:e>
          <m:sub>
            <m:r>
              <m:t>c</m:t>
            </m:r>
          </m:sub>
        </m:sSub>
      </m:oMath>
      <w:r>
        <w:t xml:space="preserve"> </w:t>
      </w:r>
      <w:r>
        <w:t xml:space="preserve">saja membawa sekitar 30% gain — konsisten dengan interpretasi corner-frequency Brune </w:t>
      </w:r>
      <w:r>
        <w:t xml:space="preserve"> </w:t>
      </w:r>
      <w:r>
        <w:t xml:space="preserve">di mana periode karakteristik yang lebih panjang pada coda gelombang-P awal menandakan patch sumber yang lebih besar dan karena itu probabilitas guncangan yang merusak yang lebih tinggi; ketiga deskriptor durasi (</w:t>
      </w:r>
      <m:oMath>
        <m:sSub>
          <m:e>
            <m:r>
              <m:t>t</m:t>
            </m:r>
          </m:e>
          <m:sub>
            <m:r>
              <m:t>p</m:t>
            </m:r>
          </m:sub>
        </m:sSub>
      </m:oMath>
      <w:r>
        <w:t xml:space="preserve">,</w:t>
      </w:r>
      <w:r>
        <w:t xml:space="preserve"> </w:t>
      </w:r>
      <m:oMath>
        <m:sSub>
          <m:e>
            <m:r>
              <m:t>t</m:t>
            </m:r>
          </m:e>
          <m:sub>
            <m:r>
              <m:t>v</m:t>
            </m:r>
            <m:r>
              <m:t>a</m:t>
            </m:r>
          </m:sub>
        </m:sSub>
      </m:oMath>
      <w:r>
        <w:t xml:space="preserve">, dan interval Husid 5–75%</w:t>
      </w:r>
      <w:r>
        <w:t xml:space="preserve"> </w:t>
      </w:r>
      <m:oMath>
        <m:sSub>
          <m:e>
            <m:r>
              <m:t>t</m:t>
            </m:r>
          </m:e>
          <m:sub>
            <m:r>
              <m:t>d</m:t>
            </m:r>
            <m:r>
              <m:t>5</m:t>
            </m:r>
            <m:r>
              <m:rPr>
                <m:nor/>
                <m:sty m:val="p"/>
              </m:rPr>
              <m:t>-</m:t>
            </m:r>
            <m:r>
              <m:t>75</m:t>
            </m:r>
          </m:sub>
        </m:sSub>
      </m:oMath>
      <w:r>
        <w:t xml:space="preserve">) bersama-sama menyumbang</w:t>
      </w:r>
      <w:r>
        <w:t xml:space="preserve"> </w:t>
      </w:r>
      <m:oMath>
        <m:r>
          <m:rPr>
            <m:sty m:val="p"/>
          </m:rPr>
          <m:t>∼</m:t>
        </m:r>
      </m:oMath>
      <w:r>
        <w:t xml:space="preserve">40%, mengkodekan laju akumulasi energi pada tiga detik pertama. Pada tahap routing tiga-kelas (Stage 1/2), fitur frekuensi yang saturating</w:t>
      </w:r>
      <w:r>
        <w:t xml:space="preserve"> </w:t>
      </w:r>
      <m:oMath>
        <m:sSub>
          <m:e>
            <m:r>
              <m:t>τ</m:t>
            </m:r>
          </m:e>
          <m:sub>
            <m:r>
              <m:t>c</m:t>
            </m:r>
          </m:sub>
        </m:sSub>
      </m:oMath>
      <w:r>
        <w:t xml:space="preserve"> </w:t>
      </w:r>
      <w:r>
        <w:t xml:space="preserve">mempertahankan dominasinya tetapi sekarang beroperasi dalam campuran durasi dan deskriptor komposit yang lebih kaya — khususnya proxy kecepatan-karakteristik</w:t>
      </w:r>
      <w:r>
        <w:t xml:space="preserve"> </w:t>
      </w:r>
      <m:oMath>
        <m:sSub>
          <m:e>
            <m:r>
              <m:t>I</m:t>
            </m:r>
          </m:e>
          <m:sub>
            <m:r>
              <m:rPr>
                <m:nor/>
                <m:sty m:val="p"/>
              </m:rPr>
              <m:t>char-vel</m:t>
            </m:r>
          </m:sub>
        </m:sSub>
      </m:oMath>
      <w:r>
        <w:t xml:space="preserve"> </w:t>
      </w:r>
      <w:r>
        <w:t xml:space="preserve">dan rasio PGV/PGD</w:t>
      </w:r>
      <w:r>
        <w:t xml:space="preserve"> </w:t>
      </w:r>
      <w:r>
        <w:t xml:space="preserve">, keduanya mengkodekan penskalaan kecepatan rupture dan memiliki korelasi yang sudah mapan dengan batas-batas kelas intensitas pada lingkungan subduksi. Pergeseran dominansi pada Stage 2/3 adalah signature paling informatif dalam gambar: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melonjak ke</w:t>
      </w:r>
      <w:r>
        <w:t xml:space="preserve"> </w:t>
      </w:r>
      <m:oMath>
        <m:r>
          <m:rPr>
            <m:sty m:val="p"/>
          </m:rPr>
          <m:t>∼</m:t>
        </m:r>
      </m:oMath>
      <w:r>
        <w:t xml:space="preserve">34% gain, sementara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CAV energi-kumulatif pada jendela 5-s secara kolektif menyumbang</w:t>
      </w:r>
      <w:r>
        <w:t xml:space="preserve"> </w:t>
      </w:r>
      <m:oMath>
        <m:r>
          <m:rPr>
            <m:sty m:val="p"/>
          </m:rPr>
          <m:t>∼</m:t>
        </m:r>
      </m:oMath>
      <w:r>
        <w:t xml:space="preserve">15% lagi. Inilah yang diprediksi spektrum sumber Brune dan argumen atenuasi-path satu-dimensi: akselerasi response-spektral pada periode yang relevan secara rekayasa digerakkan oleh konten frekuensi-rendah dari spektrum sumber yang teradiasi dan oleh penyebaran geometris yang dikoreksi-amplifikasi-site di sepanjang path, bukan oleh proxy corner-frequency early-coda yang mendominasi tahap-tahap biner. Inversi fitur dominan antara tahap-tahap routing dan tahap regresi —</w:t>
      </w:r>
      <w:r>
        <w:t xml:space="preserve"> </w:t>
      </w:r>
      <m:oMath>
        <m:sSub>
          <m:e>
            <m:r>
              <m:t>τ</m:t>
            </m:r>
          </m:e>
          <m:sub>
            <m:r>
              <m:t>c</m:t>
            </m:r>
          </m:sub>
        </m:sSub>
      </m:oMath>
      <w:r>
        <w:t xml:space="preserve"> </w:t>
      </w:r>
      <w:r>
        <w:t xml:space="preserve">saturating di depan, deskriptor kumulatif dan frekuensi-rendah non-saturating di belakang — karena itu bukanlah pilihan pemodelan yang sembarang melainkan refleksi langsung dari fisika yang mendasari inisiasi gelombang-P versus pelepasan spektral gelombang-penuh.</w:t>
      </w:r>
    </w:p>
    <w:bookmarkEnd w:id="68"/>
    <w:bookmarkEnd w:id="69"/>
    <w:bookmarkStart w:id="70" w:name="optimasi-pipeline-rekayasa-fitur"/>
    <w:p>
      <w:pPr>
        <w:pStyle w:val="Heading2"/>
      </w:pPr>
      <w:r>
        <w:t xml:space="preserve">Optimasi Pipeline Rekayasa Fitur</w:t>
      </w:r>
    </w:p>
    <w:p>
      <w:pPr>
        <w:pStyle w:val="FirstParagraph"/>
      </w:pPr>
      <w:r>
        <w:t xml:space="preserve">Composite</w:t>
      </w:r>
      <w:r>
        <w:t xml:space="preserve"> </w:t>
      </w:r>
      <m:oMath>
        <m:sSup>
          <m:e>
            <m:r>
              <m:t>R</m:t>
            </m:r>
          </m:e>
          <m:sup>
            <m:r>
              <m:t>2</m:t>
            </m:r>
          </m:sup>
        </m:sSup>
        <m:r>
          <m:rPr>
            <m:sty m:val="p"/>
          </m:rPr>
          <m:t>=</m:t>
        </m:r>
        <m:r>
          <m:t>0</m:t>
        </m:r>
        <m:r>
          <m:rPr>
            <m:sty m:val="p"/>
          </m:rPr>
          <m:t>,</m:t>
        </m:r>
        <m:r>
          <m:t>7091</m:t>
        </m:r>
      </m:oMath>
      <w:r>
        <w:t xml:space="preserve"> </w:t>
      </w:r>
      <w:r>
        <w:t xml:space="preserve">yang dilaporkan di Section V.A adalah hasil dari program rekayasa-fitur bertahap; setiap famili fitur inkremental menyumbangkan gain yang dapat diukur secara independen. Tabel 13 mendekomposisikan peningkatan total</w:t>
      </w:r>
      <w:r>
        <w:t xml:space="preserve"> </w:t>
      </w:r>
      <m:oMath>
        <m:r>
          <m:rPr>
            <m:sty m:val="p"/>
          </m:rPr>
          <m:t>+</m:t>
        </m:r>
        <m:r>
          <m:t>0</m:t>
        </m:r>
        <m:r>
          <m:rPr>
            <m:sty m:val="p"/>
          </m:rPr>
          <m:t>,</m:t>
        </m:r>
        <m:r>
          <m:t>102</m:t>
        </m:r>
      </m:oMath>
      <w:r>
        <w:t xml:space="preserve"> </w:t>
      </w:r>
      <w:r>
        <w:t xml:space="preserve">dari baseline 34-fitur ke pipeline final 90-fitur.</w:t>
      </w:r>
    </w:p>
    <w:p>
      <w:pPr>
        <w:pStyle w:val="BodyText"/>
      </w:pPr>
      <w:r>
        <w:rPr>
          <w:b/>
          <w:bCs/>
        </w:rPr>
        <w:t xml:space="preserve">Tabel 13. Peningkatan inkremental rekayasa-fitur untuk pipeline IDA-PTW (GroupKFold 5-fold, N = 23.537, seed =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70"/>
    <w:bookmarkStart w:id="71" w:name="protokol-cross-validation"/>
    <w:p>
      <w:pPr>
        <w:pStyle w:val="Heading2"/>
      </w:pPr>
      <w:r>
        <w:t xml:space="preserve">Protokol Cross-Validation</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generalization to unseen events. Stratified GroupKFold maintains class balance across folds. Random splits would yield inflated R² ~0.85 (memorization); event-grouped strict splits yield honest R² = 0.7091.</w:t>
      </w:r>
    </w:p>
    <w:bookmarkEnd w:id="71"/>
    <w:bookmarkEnd w:id="72"/>
    <w:bookmarkStart w:id="102" w:name="hasil-eksperimen"/>
    <w:p>
      <w:pPr>
        <w:pStyle w:val="Heading1"/>
      </w:pPr>
      <w:r>
        <w:t xml:space="preserve">Hasil Eksperimen</w:t>
      </w:r>
    </w:p>
    <w:bookmarkStart w:id="81" w:name="Xb12be6798427e0e4cad29a8a99cd3ecbcb84c62"/>
    <w:p>
      <w:pPr>
        <w:pStyle w:val="Heading2"/>
      </w:pPr>
      <w:r>
        <w:t xml:space="preserve">Eksperimen 1: Benchmark Fixed-Window vs. IDA-PTW Adaptif</w:t>
      </w:r>
    </w:p>
    <w:p>
      <w:pPr>
        <w:pStyle w:val="FirstParagraph"/>
      </w:pPr>
      <w:r>
        <w:t xml:space="preserve">Ensemble regressor spektral XGBoost dilatih pada PTW tetap sebesar 2, 3, 5, 8, dan 10 detik—arsitektur dan hyperparameter identik dengan Stage 2. Tabel 14 melaporkan composite</w:t>
      </w:r>
      <w:r>
        <w:t xml:space="preserve"> </w:t>
      </w:r>
      <m:oMath>
        <m:sSup>
          <m:e>
            <m:r>
              <m:t>R</m:t>
            </m:r>
          </m:e>
          <m:sup>
            <m:r>
              <m:t>2</m:t>
            </m:r>
          </m:sup>
        </m:sSup>
      </m:oMath>
      <w:r>
        <w:t xml:space="preserve"> </w:t>
      </w:r>
      <w:r>
        <w:t xml:space="preserve">yang dirata-ratakan pada periode-anchor kunci.</w:t>
      </w:r>
    </w:p>
    <w:p>
      <w:pPr>
        <w:pStyle w:val="BodyText"/>
      </w:pPr>
      <w:r>
        <w:rPr>
          <w:b/>
          <w:bCs/>
        </w:rPr>
        <w:t xml:space="preserve">IDA-PTW Operasional (final)</w:t>
      </w:r>
      <w:r>
        <w:t xml:space="preserve">: composite</w:t>
      </w:r>
      <w:r>
        <w:t xml:space="preserve"> </w:t>
      </w:r>
      <m:oMath>
        <m:sSup>
          <m:e>
            <m:r>
              <m:t>R</m:t>
            </m:r>
          </m:e>
          <m:sup>
            <m:r>
              <m:t>2</m:t>
            </m:r>
          </m:sup>
        </m:sSup>
        <m:r>
          <m:rPr>
            <m:sty m:val="p"/>
          </m:rPr>
          <m:t>=</m:t>
        </m:r>
        <m:r>
          <m:t>0</m:t>
        </m:r>
        <m:r>
          <m:rPr>
            <m:sty m:val="p"/>
          </m:rPr>
          <m:t>,</m:t>
        </m:r>
        <m:r>
          <m:t>7091</m:t>
        </m:r>
      </m:oMath>
      <w:r>
        <w:t xml:space="preserve"> </w:t>
      </w:r>
      <w:r>
        <w:t xml:space="preserve">(OOF, 5-fold, dimarjinalisasi atas posterior ensemble Stage-1); operational-band</w:t>
      </w:r>
      <w:r>
        <w:t xml:space="preserve"> </w:t>
      </w:r>
      <m:oMath>
        <m:sSup>
          <m:e>
            <m:r>
              <m:t>R</m:t>
            </m:r>
          </m:e>
          <m:sup>
            <m:r>
              <m:t>2</m:t>
            </m:r>
          </m:sup>
        </m:sSup>
        <m:r>
          <m:rPr>
            <m:sty m:val="p"/>
          </m:rPr>
          <m:t>=</m:t>
        </m:r>
        <m:r>
          <m:t>0</m:t>
        </m:r>
        <m:r>
          <m:rPr>
            <m:sty m:val="p"/>
          </m:rPr>
          <m:t>,</m:t>
        </m:r>
        <m:r>
          <m:t>6962</m:t>
        </m:r>
      </m:oMath>
      <w:r>
        <w:t xml:space="preserve"> </w:t>
      </w:r>
      <w:r>
        <w:t xml:space="preserve">(</w:t>
      </w:r>
      <m:oMath>
        <m:r>
          <m:t>T</m:t>
        </m:r>
        <m:r>
          <m:rPr>
            <m:sty m:val="p"/>
          </m:rPr>
          <m:t>≤</m:t>
        </m:r>
        <m:r>
          <m:t>2</m:t>
        </m:r>
      </m:oMath>
      <w:r>
        <w:t xml:space="preserve"> s, 42 periode); oracle upper bound</w:t>
      </w:r>
      <w:r>
        <w:t xml:space="preserve"> </w:t>
      </w:r>
      <m:oMath>
        <m:sSup>
          <m:e>
            <m:r>
              <m:t>R</m:t>
            </m:r>
          </m:e>
          <m:sup>
            <m:r>
              <m:t>2</m:t>
            </m:r>
          </m:sup>
        </m:sSup>
        <m:r>
          <m:rPr>
            <m:sty m:val="p"/>
          </m:rPr>
          <m:t>=</m:t>
        </m:r>
        <m:r>
          <m:t>0</m:t>
        </m:r>
        <m:r>
          <m:rPr>
            <m:sty m:val="p"/>
          </m:rPr>
          <m:t>,</m:t>
        </m:r>
        <m:r>
          <m:t>7779</m:t>
        </m:r>
      </m:oMath>
      <w:r>
        <w:t xml:space="preserve">.</w:t>
      </w:r>
    </w:p>
    <w:p>
      <w:pPr>
        <w:pStyle w:val="BodyText"/>
      </w:pPr>
      <w:r>
        <w:rPr>
          <w:b/>
          <w:bCs/>
        </w:rPr>
        <w:t xml:space="preserve">Tabel 14. Benchmark Fixed-Window vs. Pipeline Operasional IDA-PTW (N = 23.537 trace, 335 kejadian, CV GroupKFold 5-fold).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marginalized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marginalized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bukan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berkondisi-kelas</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73" w:name="trade-off-keselamatanakurasi-eews."/>
    <w:p>
      <w:pPr>
        <w:pStyle w:val="Heading4"/>
      </w:pPr>
      <w:r>
        <w:t xml:space="preserve">Trade-off Keselamatan–Akurasi EEWS.</w:t>
      </w:r>
    </w:p>
    <w:p>
      <w:pPr>
        <w:pStyle w:val="FirstParagraph"/>
      </w:pPr>
      <m:oMath>
        <m:sSup>
          <m:e>
            <m:r>
              <m:t>R</m:t>
            </m:r>
          </m:e>
          <m:sup>
            <m:r>
              <m:t>2</m:t>
            </m:r>
          </m:sup>
        </m:sSup>
        <m:r>
          <m:rPr>
            <m:sty m:val="p"/>
          </m:rPr>
          <m:t>=</m:t>
        </m:r>
        <m:r>
          <m:t>0</m:t>
        </m:r>
        <m:r>
          <m:rPr>
            <m:sty m:val="p"/>
          </m:rPr>
          <m:t>,</m:t>
        </m:r>
        <m:r>
          <m:t>7091</m:t>
        </m:r>
      </m:oMath>
      <w:r>
        <w:t xml:space="preserve"> </w:t>
      </w:r>
      <w:r>
        <w:t xml:space="preserve">operasional lebih rendah dari Fixed-8 s (</w:t>
      </w:r>
      <m:oMath>
        <m:sSup>
          <m:e>
            <m:r>
              <m:t>R</m:t>
            </m:r>
          </m:e>
          <m:sup>
            <m:r>
              <m:t>2</m:t>
            </m:r>
          </m:sup>
        </m:sSup>
        <m:r>
          <m:rPr>
            <m:sty m:val="p"/>
          </m:rPr>
          <m:t>=</m:t>
        </m:r>
        <m:r>
          <m:t>0</m:t>
        </m:r>
        <m:r>
          <m:rPr>
            <m:sty m:val="p"/>
          </m:rPr>
          <m:t>,</m:t>
        </m:r>
        <m:r>
          <m:t>786</m:t>
        </m:r>
      </m:oMath>
      <w:r>
        <w:t xml:space="preserve">) karena ketidakpastian routing Stage-1 masuk ke regresi spektral melalui formula marginalisasi. Batas atas oracle</w:t>
      </w:r>
      <w:r>
        <w:t xml:space="preserve"> </w:t>
      </w:r>
      <m:oMath>
        <m:sSup>
          <m:e>
            <m:r>
              <m:t>R</m:t>
            </m:r>
          </m:e>
          <m:sup>
            <m:r>
              <m:t>2</m:t>
            </m:r>
          </m:sup>
        </m:sSup>
        <m:r>
          <m:rPr>
            <m:sty m:val="p"/>
          </m:rPr>
          <m:t>=</m:t>
        </m:r>
        <m:r>
          <m:t>0</m:t>
        </m:r>
        <m:r>
          <m:rPr>
            <m:sty m:val="p"/>
          </m:rPr>
          <m:t>,</m:t>
        </m:r>
        <m:r>
          <m:t>7779</m:t>
        </m:r>
      </m:oMath>
      <w:r>
        <w:t xml:space="preserve"> </w:t>
      </w:r>
      <w:r>
        <w:t xml:space="preserve">— diperoleh dengan menggantikan label kelas sejati untuk posterior Stage-1 — mengkuantifikasi langit-langit yang dapat dicapai di bawah kapasitas Stage-2 sekarang; gap</w:t>
      </w:r>
      <w:r>
        <w:t xml:space="preserve"> </w:t>
      </w:r>
      <m:oMath>
        <m:r>
          <m:rPr>
            <m:sty m:val="p"/>
          </m:rPr>
          <m:t>≈</m:t>
        </m:r>
        <m:r>
          <m:t>0</m:t>
        </m:r>
        <m:r>
          <m:rPr>
            <m:sty m:val="p"/>
          </m:rPr>
          <m:t>,</m:t>
        </m:r>
        <m:r>
          <m:t>07</m:t>
        </m:r>
      </m:oMath>
      <w:r>
        <w:t xml:space="preserve"> </w:t>
      </w:r>
      <w:r>
        <w:t xml:space="preserve">mendefinisikan anggaran ketidakpastian eksplisit. Tujuan keselamatan primer sistem IDA-PTW adalah memaksimalkan Damaging Recall (Stage 0: 95,0% pada operating point High-Recall, recall kelas-Tinggi Stage 1: 86% di bawah ensemble MMI-hybrid) sambil mengirimkan alert cepat untuk kejadian non-damaging yang tersisa — desain safety-first yang mengeluarkan penalti composite-</w:t>
      </w:r>
      <m:oMath>
        <m:sSup>
          <m:e>
            <m:r>
              <m:t>R</m:t>
            </m:r>
          </m:e>
          <m:sup>
            <m:r>
              <m:t>2</m:t>
            </m:r>
          </m:sup>
        </m:sSup>
      </m:oMath>
      <w:r>
        <w:t xml:space="preserve"> </w:t>
      </w:r>
      <w:r>
        <w:t xml:space="preserve">yang moderat demi keandalan operasional. Operating point Stage 0 dapat di-retune ke trade-off recall–precision lain (Balanced 90,0% / High-Precision 80,0%; Tabel 7) tanpa retraining, dengan memilih threshold keputusan yang sesuai pada posterior GBM yang dikalibrasi.</w:t>
      </w:r>
    </w:p>
    <w:bookmarkEnd w:id="73"/>
    <w:bookmarkStart w:id="80" w:name="X31857c636c7ef83107540fed9b8536b1292fd0c"/>
    <w:p>
      <w:pPr>
        <w:pStyle w:val="Heading4"/>
      </w:pPr>
      <w:r>
        <w:t xml:space="preserve">Perbandingan dengan framework ML-EEWS state-of-the-art.</w:t>
      </w:r>
    </w:p>
    <w:p>
      <w:pPr>
        <w:pStyle w:val="FirstParagraph"/>
      </w:pPr>
      <w:r>
        <w:t xml:space="preserve">The IDA-PTW framework delivers equivalent spectral accuracy to Fixed-3s (the current InaTEWS baseline) sementara additionally providing: (i) binary dekat-sumber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mencapai superior uncertainty quantification for individual event sizes, it does not menyediakan dekat-sumber sub-second alerts or autonomous distance estimation. ROSERS predicts full response spectra but memerlukan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menyediakan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analyzed by Lin and</w:t>
      </w:r>
      <w:r>
        <w:t xml:space="preserve"> </w:t>
      </w:r>
      <w:r>
        <w:t xml:space="preserve"> </w:t>
      </w:r>
      <w:r>
        <w:t xml:space="preserve">is a non-saturating cumulative feature analogous to our CAV and CVAD, confirming that the Field Dichotomy principle generalizes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sementara Fig. 5 shows the per-period</w:t>
      </w:r>
      <w:r>
        <w:t xml:space="preserve"> </w:t>
      </w:r>
      <m:oMath>
        <m:sSup>
          <m:e>
            <m:r>
              <m:t>R</m:t>
            </m:r>
          </m:e>
          <m:sup>
            <m:r>
              <m:t>2</m:t>
            </m:r>
          </m:sup>
        </m:sSup>
      </m:oMath>
      <w:r>
        <w:t xml:space="preserve"> </w:t>
      </w:r>
      <w:r>
        <w:t xml:space="preserve">curve for the stratified IDA-PTW set pelatihan.</w:t>
      </w:r>
    </w:p>
    <w:p>
      <w:pPr>
        <w:pStyle w:val="CaptionedFigure"/>
      </w:pPr>
      <w:r>
        <w:drawing>
          <wp:inline>
            <wp:extent cx="4343400" cy="2440112"/>
            <wp:effectExtent b="0" l="0" r="0" t="0"/>
            <wp:docPr descr="" title="" id="75" name="Picture"/>
            <a:graphic>
              <a:graphicData uri="http://schemas.openxmlformats.org/drawingml/2006/picture">
                <pic:pic>
                  <pic:nvPicPr>
                    <pic:cNvPr descr="figures/comparison_fixed_vs_ida_vs_fullwave.png" id="76" name="Picture"/>
                    <pic:cNvPicPr>
                      <a:picLocks noChangeArrowheads="1" noChangeAspect="1"/>
                    </pic:cNvPicPr>
                  </pic:nvPicPr>
                  <pic:blipFill>
                    <a:blip r:embed="rId74"/>
                    <a:stretch>
                      <a:fillRect/>
                    </a:stretch>
                  </pic:blipFill>
                  <pic:spPr bwMode="auto">
                    <a:xfrm>
                      <a:off x="0" y="0"/>
                      <a:ext cx="4343400" cy="2440112"/>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2–10 s benchmark range (red band; PTW = 2, 3, 5, 8, 10 s tested), IDA-PTW Adaptive with operational PTW</w:t>
      </w:r>
      <w:r>
        <w:t xml:space="preserve"> </w:t>
      </w:r>
      <m:oMath>
        <m:r>
          <m:rPr>
            <m:sty m:val="p"/>
          </m:rPr>
          <m:t>∈</m:t>
        </m:r>
        <m:r>
          <m:rPr>
            <m:sty m:val="p"/>
          </m:rPr>
          <m:t>{</m:t>
        </m:r>
        <m:r>
          <m:t>3</m:t>
        </m:r>
        <m:r>
          <m:rPr>
            <m:sty m:val="p"/>
          </m:rPr>
          <m:t>,</m:t>
        </m:r>
        <m:r>
          <m:t>5</m:t>
        </m:r>
        <m:r>
          <m:rPr>
            <m:sty m:val="p"/>
          </m:rPr>
          <m:t>,</m:t>
        </m:r>
        <m:r>
          <m:t>8</m:t>
        </m:r>
        <m:r>
          <m:rPr>
            <m:sty m:val="p"/>
          </m:rPr>
          <m:t>}</m:t>
        </m:r>
      </m:oMath>
      <w:r>
        <w:t xml:space="preserve"> s scheduled by intensity class (blue, 103-period curve from the N=2,747 stratified subset), Post-P Full-Wave ML ceiling (~341 s, green diamonds), Total MiniSEED ML ceiling (~430 s, teal squares), and Newmark-Beta physical ceiling (purple triangles). The orange band marks the EEWS-critical zone (T = 0.1–3.0 s). The IDA-PTW Adaptive curve matches or exceeds Fixed-10 s across the structural-design range sementara delivering 3–8 s adaptive latency depending on Stage 1 routing.</w:t>
      </w:r>
    </w:p>
    <w:p>
      <w:pPr>
        <w:pStyle w:val="CaptionedFigure"/>
      </w:pPr>
      <w:r>
        <w:drawing>
          <wp:inline>
            <wp:extent cx="4343400" cy="2670892"/>
            <wp:effectExtent b="0" l="0" r="0" t="0"/>
            <wp:docPr descr="" title="" id="78" name="Picture"/>
            <a:graphic>
              <a:graphicData uri="http://schemas.openxmlformats.org/drawingml/2006/picture">
                <pic:pic>
                  <pic:nvPicPr>
                    <pic:cNvPr descr="figures/per_period_r2_full.png" id="79" name="Picture"/>
                    <pic:cNvPicPr>
                      <a:picLocks noChangeArrowheads="1" noChangeAspect="1"/>
                    </pic:cNvPicPr>
                  </pic:nvPicPr>
                  <pic:blipFill>
                    <a:blip r:embed="rId77"/>
                    <a:stretch>
                      <a:fillRect/>
                    </a:stretch>
                  </pic:blipFill>
                  <pic:spPr bwMode="auto">
                    <a:xfrm>
                      <a:off x="0" y="0"/>
                      <a:ext cx="4343400" cy="2670892"/>
                    </a:xfrm>
                    <a:prstGeom prst="rect">
                      <a:avLst/>
                    </a:prstGeom>
                    <a:noFill/>
                    <a:ln w="9525">
                      <a:noFill/>
                      <a:headEnd/>
                      <a:tailEnd/>
                    </a:ln>
                  </pic:spPr>
                </pic:pic>
              </a:graphicData>
            </a:graphic>
          </wp:inline>
        </w:drawing>
      </w:r>
    </w:p>
    <w:p>
      <w:pPr>
        <w:pStyle w:val="ImageCaption"/>
      </w:pPr>
      <m:oMath>
        <m:sSup>
          <m:e>
            <m:r>
              <m:t>R</m:t>
            </m:r>
          </m:e>
          <m:sup>
            <m:r>
              <m:t>2</m:t>
            </m:r>
          </m:sup>
        </m:sSup>
      </m:oMath>
      <w:r>
        <w:t xml:space="preserve"> </w:t>
      </w:r>
      <w:r>
        <w:t xml:space="preserve">per-periode dari regressor Adaptif IDA-PTW di semua 103 periode spektral dari T = 0,051 s hingga T = 10,0 s. Minimum lokal</w:t>
      </w:r>
      <w:r>
        <w:t xml:space="preserve"> </w:t>
      </w:r>
      <m:oMath>
        <m:sSup>
          <m:e>
            <m:r>
              <m:t>R</m:t>
            </m:r>
          </m:e>
          <m:sup>
            <m:r>
              <m:t>2</m:t>
            </m:r>
          </m:sup>
        </m:sSup>
      </m:oMath>
      <w:r>
        <w:t xml:space="preserve"> </w:t>
      </w:r>
      <w:r>
        <w:t xml:space="preserve">pada T</w:t>
      </w:r>
      <w:r>
        <w:t xml:space="preserve"> </w:t>
      </w:r>
      <m:oMath>
        <m:r>
          <m:rPr>
            <m:sty m:val="p"/>
          </m:rPr>
          <m:t>≈</m:t>
        </m:r>
      </m:oMath>
      <w:r>
        <w:t xml:space="preserve"> </w:t>
      </w:r>
      <w:r>
        <w:t xml:space="preserve">0,3–0,5 s konsisten dengan variabilitas amplifikasi site yang maksimum pada periode pendek</w:t>
      </w:r>
      <w:r>
        <w:t xml:space="preserve"> </w:t>
      </w:r>
      <w:r>
        <w:t xml:space="preserve">,</w:t>
      </w:r>
      <w:r>
        <w:t xml:space="preserve"> </w:t>
      </w:r>
      <w:r>
        <w:t xml:space="preserve">, di mana</w:t>
      </w:r>
      <w:r>
        <w:t xml:space="preserve"> </w:t>
      </w:r>
      <m:oMath>
        <m:r>
          <m:t>ϕ</m:t>
        </m:r>
      </m:oMath>
      <w:r>
        <w:t xml:space="preserve"> </w:t>
      </w:r>
      <w:r>
        <w:t xml:space="preserve">mencapai puncak (T = 0,5 s pada Tabel 17).</w:t>
      </w:r>
      <w:r>
        <w:t xml:space="preserve"> </w:t>
      </w:r>
      <m:oMath>
        <m:sSup>
          <m:e>
            <m:r>
              <m:t>R</m:t>
            </m:r>
          </m:e>
          <m:sup>
            <m:r>
              <m:t>2</m:t>
            </m:r>
          </m:sup>
        </m:sSup>
      </m:oMath>
      <w:r>
        <w:t xml:space="preserve"> </w:t>
      </w:r>
      <w:r>
        <w:t xml:space="preserve">meningkat secara monoton ke periode yang lebih panjang seiring konten yang dikontrol sumber menjadi lebih dapat diprediksi.</w:t>
      </w:r>
    </w:p>
    <w:p>
      <w:pPr>
        <w:pStyle w:val="BodyText"/>
      </w:pPr>
      <w:r>
        <w:rPr>
          <w:i/>
          <w:iCs/>
        </w:rPr>
        <w:t xml:space="preserve">Catatan: Nilai sigma periode-anchor representatif dari dekomposisi sigma lengkap dilaporkan pada Tabel 17 (Seksi 5.5). Nilai di bawah diekstrak dari Tabel 17 untuk referensi cepat.</w:t>
      </w:r>
    </w:p>
    <w:p>
      <w:pPr>
        <w:pStyle w:val="BodyText"/>
      </w:pPr>
      <w:r>
        <w:rPr>
          <w:b/>
          <w:bCs/>
        </w:rPr>
        <w:t xml:space="preserve">Tabel 15. Dekomposisi sigma (Al Atik</w:t>
      </w:r>
      <w:r>
        <w:rPr>
          <w:b/>
          <w:bCs/>
        </w:rPr>
        <w:t xml:space="preserve"> </w:t>
      </w:r>
      <w:r>
        <w:rPr>
          <w:b/>
          <w:bCs/>
          <w:i/>
          <w:iCs/>
        </w:rPr>
        <w:t xml:space="preserve">et al.</w:t>
      </w:r>
      <w:r>
        <w:rPr>
          <w:b/>
          <w:bCs/>
        </w:rPr>
        <w:t xml:space="preserve"> 2010 mixed-effects) — periode anchor representatif (diekstrak dari Tabel 17; N = 37.456 trace per periode PSA).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80"/>
    <w:bookmarkEnd w:id="81"/>
    <w:bookmarkStart w:id="82" w:name="X3ca00c7b537b9ed7b66786a6e411dfeb54cb250"/>
    <w:p>
      <w:pPr>
        <w:pStyle w:val="Heading2"/>
      </w:pPr>
      <w:r>
        <w:t xml:space="preserve">Eksperimen 2: Performa Standalone Stage-0 URPD</w:t>
      </w:r>
    </w:p>
    <w:p>
      <w:pPr>
        <w:pStyle w:val="FirstParagraph"/>
      </w:pPr>
      <w:r>
        <w:t xml:space="preserve">Diskriminator Stage-0 URPD dievaluasi secara independen untuk mengarakterisasi perilaku standalone-nya sebagai mekanisme alert biner 0,5-detik. Dilatih pada 25.058 trace dengan vektor fitur setengah-detik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pada 0,5 s), model Stage-0 mencapai area di bawah kurva ROC</w:t>
      </w:r>
      <w:r>
        <w:t xml:space="preserve"> </w:t>
      </w:r>
      <m:oMath>
        <m:r>
          <m:rPr>
            <m:sty m:val="p"/>
          </m:rPr>
          <m:t>A</m:t>
        </m:r>
        <m:r>
          <m:rPr>
            <m:sty m:val="p"/>
          </m:rPr>
          <m:t>U</m:t>
        </m:r>
        <m:r>
          <m:rPr>
            <m:sty m:val="p"/>
          </m:rPr>
          <m:t>C</m:t>
        </m:r>
        <m:r>
          <m:rPr>
            <m:sty m:val="p"/>
          </m:rPr>
          <m:t>=</m:t>
        </m:r>
        <m:r>
          <m:t>0</m:t>
        </m:r>
        <m:r>
          <m:rPr>
            <m:sty m:val="p"/>
          </m:rPr>
          <m:t>,</m:t>
        </m:r>
        <m:r>
          <m:t>9136</m:t>
        </m:r>
      </m:oMath>
      <w:r>
        <w:t xml:space="preserve"> </w:t>
      </w:r>
      <w:r>
        <w:t xml:space="preserve">(out-of-fold, 5-fold event-grouped GroupKFold). Recall kelas Damaging berkisar dari 82% pada operating point Konservatif hingga 100% pada operating point Seimbang dan Agresif (Tabel 8); mode Seimbang—yang direkomendasikan untuk perlindungan manusia dan infrastruktur—menjamin nol kejadian Damaging yang terlewat. Aplikasi retrospektif pada kejadian Cianjur 2022 (</w:t>
      </w:r>
      <m:oMath>
        <m:sSub>
          <m:e>
            <m:r>
              <m:t>M</m:t>
            </m:r>
          </m:e>
          <m:sub>
            <m:r>
              <m:t>w</m:t>
            </m:r>
          </m:sub>
        </m:sSub>
      </m:oMath>
      <w:r>
        <w:t xml:space="preserve"> 5,6) dan Sumedang 2024 (</w:t>
      </w:r>
      <m:oMath>
        <m:sSub>
          <m:e>
            <m:r>
              <m:t>M</m:t>
            </m:r>
          </m:e>
          <m:sub>
            <m:r>
              <m:t>w</m:t>
            </m:r>
          </m:sub>
        </m:sSub>
      </m:oMath>
      <w:r>
        <w:t xml:space="preserve"> 5,7) menghasilkan recall Damaging 100%, dengan reduksi zona-buta dekat-sumber dari</w:t>
      </w:r>
      <w:r>
        <w:t xml:space="preserve"> </w:t>
      </w:r>
      <m:oMath>
        <m:r>
          <m:rPr>
            <m:sty m:val="p"/>
          </m:rPr>
          <m:t>∼</m:t>
        </m:r>
      </m:oMath>
      <w:r>
        <w:t xml:space="preserve">38 km konvensional menjadi 11 km untuk alert manusia dan 4 km untuk lapisan alert infrastruktur. Kedua studi kasus ini, meski terbatas dalam jumlah, menjadi anchor klaim utilitas operasional kerangka untuk jaringan InaTEWS.</w:t>
      </w:r>
    </w:p>
    <w:bookmarkEnd w:id="82"/>
    <w:bookmarkStart w:id="86" w:name="eksperimen-3-uji-saturasi-magnitudo"/>
    <w:p>
      <w:pPr>
        <w:pStyle w:val="Heading2"/>
      </w:pPr>
      <w:r>
        <w:t xml:space="preserve">Eksperimen 3: Uji Saturasi Magnitudo</w:t>
      </w:r>
    </w:p>
    <w:p>
      <w:pPr>
        <w:pStyle w:val="FirstParagraph"/>
      </w:pPr>
      <w:r>
        <w:rPr>
          <w:b/>
          <w:bCs/>
        </w:rPr>
        <w:t xml:space="preserve">Tabel 16. Uji Saturasi — Fixed-3s vs. Fixed-15s (Subset High-PGA,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sementara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mengimplikasikan bahwa each additional second of observation beyond 3 s menyediakan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4343400" cy="1804587"/>
            <wp:effectExtent b="0" l="0" r="0" t="0"/>
            <wp:docPr descr="" title="" id="84" name="Picture"/>
            <a:graphic>
              <a:graphicData uri="http://schemas.openxmlformats.org/drawingml/2006/picture">
                <pic:pic>
                  <pic:nvPicPr>
                    <pic:cNvPr descr="figures/intensity_vs_accuracy_correlation.png" id="85" name="Picture"/>
                    <pic:cNvPicPr>
                      <a:picLocks noChangeArrowheads="1" noChangeAspect="1"/>
                    </pic:cNvPicPr>
                  </pic:nvPicPr>
                  <pic:blipFill>
                    <a:blip r:embed="rId83"/>
                    <a:stretch>
                      <a:fillRect/>
                    </a:stretch>
                  </pic:blipFill>
                  <pic:spPr bwMode="auto">
                    <a:xfrm>
                      <a:off x="0" y="0"/>
                      <a:ext cx="4343400" cy="1804587"/>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kelas intensitas at all spectral periods, demonstrating that the IDA-PTW framework delivers its best predictions precisely where the hazard is most severe.</w:t>
      </w:r>
    </w:p>
    <w:bookmarkEnd w:id="86"/>
    <w:bookmarkStart w:id="87" w:name="eksperimen-4-sensitivitas-p-arrival"/>
    <w:p>
      <w:pPr>
        <w:pStyle w:val="Heading2"/>
      </w:pPr>
      <w:r>
        <w:t xml:space="preserve">Eksperimen 4: Sensitivitas P-Arrival</w:t>
      </w:r>
    </w:p>
    <w:p>
      <w:pPr>
        <w:pStyle w:val="FirstParagraph"/>
      </w:pPr>
      <w:r>
        <w:t xml:space="preserve">Picking errors of ±2 s degrade composite</w:t>
      </w:r>
      <w:r>
        <w:t xml:space="preserve"> </w:t>
      </w:r>
      <m:oMath>
        <m:sSup>
          <m:e>
            <m:r>
              <m:t>R</m:t>
            </m:r>
          </m:e>
          <m:sup>
            <m:r>
              <m:t>2</m:t>
            </m:r>
          </m:sup>
        </m:sSup>
      </m:oMath>
      <w:r>
        <w:t xml:space="preserve"> </w:t>
      </w:r>
      <w:r>
        <w:t xml:space="preserve">by less than 0.5% —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87"/>
    <w:bookmarkStart w:id="95" w:name="Xd9272e05dcb596008880dc27f4f630a943eee77"/>
    <w:p>
      <w:pPr>
        <w:pStyle w:val="Heading2"/>
      </w:pPr>
      <w:r>
        <w:t xml:space="preserve">Eksperimen 5: Dekomposisi Sigma dan Karakterisasi Statistik Lanjutan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94"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Tabel 17. Dekomposisi Sigma — IDA-PTW (baseline 25.058-trace, mengikuti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characterization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marginalized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Rerata</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well-characterized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4343400" cy="1439069"/>
            <wp:effectExtent b="0" l="0" r="0" t="0"/>
            <wp:docPr descr="" title="" id="89" name="Picture"/>
            <a:graphic>
              <a:graphicData uri="http://schemas.openxmlformats.org/drawingml/2006/picture">
                <pic:pic>
                  <pic:nvPicPr>
                    <pic:cNvPr descr="figures/validation_dashboard_T1.000.png" id="90" name="Picture"/>
                    <pic:cNvPicPr>
                      <a:picLocks noChangeArrowheads="1" noChangeAspect="1"/>
                    </pic:cNvPicPr>
                  </pic:nvPicPr>
                  <pic:blipFill>
                    <a:blip r:embed="rId88"/>
                    <a:stretch>
                      <a:fillRect/>
                    </a:stretch>
                  </pic:blipFill>
                  <pic:spPr bwMode="auto">
                    <a:xfrm>
                      <a:off x="0" y="0"/>
                      <a:ext cx="4343400" cy="1439069"/>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dicapai across the structural-design range.</w:t>
      </w:r>
    </w:p>
    <w:p>
      <w:pPr>
        <w:pStyle w:val="CaptionedFigure"/>
      </w:pPr>
      <w:r>
        <w:drawing>
          <wp:inline>
            <wp:extent cx="4343400" cy="1612781"/>
            <wp:effectExtent b="0" l="0" r="0" t="0"/>
            <wp:docPr descr="" title="" id="92" name="Picture"/>
            <a:graphic>
              <a:graphicData uri="http://schemas.openxmlformats.org/drawingml/2006/picture">
                <pic:pic>
                  <pic:nvPicPr>
                    <pic:cNvPr descr="figures/sigma_decomposition.png" id="93" name="Picture"/>
                    <pic:cNvPicPr>
                      <a:picLocks noChangeArrowheads="1" noChangeAspect="1"/>
                    </pic:cNvPicPr>
                  </pic:nvPicPr>
                  <pic:blipFill>
                    <a:blip r:embed="rId91"/>
                    <a:stretch>
                      <a:fillRect/>
                    </a:stretch>
                  </pic:blipFill>
                  <pic:spPr bwMode="auto">
                    <a:xfrm>
                      <a:off x="0" y="0"/>
                      <a:ext cx="4343400" cy="1612781"/>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94"/>
    <w:bookmarkEnd w:id="95"/>
    <w:bookmarkStart w:id="100" w:name="Xfefcb5a786f44c2c425fa8a9a9c4a1041b0a55e"/>
    <w:p>
      <w:pPr>
        <w:pStyle w:val="Heading2"/>
      </w:pPr>
      <w:r>
        <w:t xml:space="preserve">Eksperimen 6: Analisis Dominansi Fitur Spesifik-Site</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bagian ini presents a complementary per-station analysis that empirically validates the comprehensive 90-feature design choice and menyediakan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96" w:name="metodologi"/>
    <w:p>
      <w:pPr>
        <w:pStyle w:val="Heading3"/>
      </w:pPr>
      <w:r>
        <w:t xml:space="preserve">Metodologi</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kami latih an independent LightGBM regressor (200 estimators, 21 leaves, learning rate 0.06) mapping the 90 waveform features to log Sa(T = 1.0 s). Per-station feature importance (normalized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96"/>
    <w:bookmarkStart w:id="97" w:name="X1893d4b7111f22ceaea9474a8ea4ea21f8ee75a"/>
    <w:p>
      <w:pPr>
        <w:pStyle w:val="Heading3"/>
      </w:pPr>
      <w:r>
        <w:t xml:space="preserve">Empat Cluster Spesifik-Site Teridentifikasi</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merepresentasikan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merepresentasikan an extreme soft-sediment site where corner-period dominates as the only reliable predictor.</w:t>
      </w:r>
    </w:p>
    <w:bookmarkEnd w:id="97"/>
    <w:bookmarkStart w:id="98" w:name="korelasi-dengan-karakteristik-site"/>
    <w:p>
      <w:pPr>
        <w:pStyle w:val="Heading3"/>
      </w:pPr>
      <w:r>
        <w:t xml:space="preserve">Korelasi dengan Karakteristik Site</w:t>
      </w:r>
    </w:p>
    <w:p>
      <w:pPr>
        <w:pStyle w:val="FirstParagraph"/>
      </w:pPr>
      <w:r>
        <w:t xml:space="preserve">Vs30 and average log-distance show weak linear correlation with frequency-family dominance (R = -0.18). However, clustering reveals lebih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bukan a minimal subset.</w:t>
      </w:r>
    </w:p>
    <w:bookmarkEnd w:id="98"/>
    <w:bookmarkStart w:id="99" w:name="implikasi-untuk-eews-adaptif-site-aware"/>
    <w:p>
      <w:pPr>
        <w:pStyle w:val="Heading3"/>
      </w:pPr>
      <w:r>
        <w:t xml:space="preserve">Implikasi untuk EEWS Adaptif Site-Aware</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specialized feature subsets emphasizing cepstral or τ_c features may improve accuracy. This merepresentasikan a future research direction (Paper 4) building directly on the IDA-PTW infrastructure presented herein.</w:t>
      </w:r>
    </w:p>
    <w:bookmarkEnd w:id="99"/>
    <w:bookmarkEnd w:id="100"/>
    <w:bookmarkStart w:id="101" w:name="kepatuhan-golden-time"/>
    <w:p>
      <w:pPr>
        <w:pStyle w:val="Heading2"/>
      </w:pPr>
      <w:r>
        <w:t xml:space="preserve">Kepatuhan Golden Time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merepresentasikan the extreme dekat-sumber scenario where Stage 0’s 0.5-second binary alert is the only actionable warning. The infrastructure alert threshold (0.5 s + alert dissemination = 1.5 s total) mencapai Golden Time Compliance for events beyond 4 km—below which no earthly EEWS can menyediakan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101"/>
    <w:bookmarkEnd w:id="102"/>
    <w:bookmarkStart w:id="113" w:name="pembahasan"/>
    <w:p>
      <w:pPr>
        <w:pStyle w:val="Heading1"/>
      </w:pPr>
      <w:r>
        <w:t xml:space="preserve">Pembahasan</w:t>
      </w:r>
    </w:p>
    <w:bookmarkStart w:id="103" w:name="Xf08b9b09656a9ea507b0e40d8ff96409f6e1c44"/>
    <w:p>
      <w:pPr>
        <w:pStyle w:val="Heading2"/>
      </w:pPr>
      <w:r>
        <w:t xml:space="preserve">Perbandingan dengan Metode Terpublikasi dan Plafon Informasi</w:t>
      </w:r>
    </w:p>
    <w:p>
      <w:pPr>
        <w:pStyle w:val="FirstParagraph"/>
      </w:pPr>
      <w:r>
        <w:t xml:space="preserve">IDA-PTW mencapai composite</w:t>
      </w:r>
      <w:r>
        <w:t xml:space="preserve"> </w:t>
      </w:r>
      <m:oMath>
        <m:sSup>
          <m:e>
            <m:r>
              <m:t>R</m:t>
            </m:r>
          </m:e>
          <m:sup>
            <m:r>
              <m:t>2</m:t>
            </m:r>
          </m:sup>
        </m:sSup>
        <m:r>
          <m:rPr>
            <m:sty m:val="p"/>
          </m:rPr>
          <m:t>=</m:t>
        </m:r>
        <m:r>
          <m:t>0</m:t>
        </m:r>
        <m:r>
          <m:rPr>
            <m:sty m:val="p"/>
          </m:rPr>
          <m:t>,</m:t>
        </m:r>
        <m:r>
          <m:t>7091</m:t>
        </m:r>
      </m:oMath>
      <w:r>
        <w:t xml:space="preserve"> </w:t>
      </w:r>
      <w:r>
        <w:t xml:space="preserve">di 103 periode spektral. Literatur JET terbaru</w:t>
      </w:r>
      <w:r>
        <w:t xml:space="preserve"> </w:t>
      </w:r>
      <w:r>
        <w:t xml:space="preserve"> </w:t>
      </w:r>
      <w:r>
        <w:t xml:space="preserve">mengonfirmasi bahwa pendekatan ML-EEWS mengungguli persamaan prediksi ground-motion konvensional, dan karakterisasi spektral gempa subduksi yang terekam pada stasiun strong-motion K-NET</w:t>
      </w:r>
      <w:r>
        <w:t xml:space="preserve"> </w:t>
      </w:r>
      <w:r>
        <w:t xml:space="preserve"> </w:t>
      </w:r>
      <w:r>
        <w:t xml:space="preserve">menyediakan benchmark internasional yang penting untuk nilai</w:t>
      </w:r>
      <w:r>
        <w:t xml:space="preserve"> </w:t>
      </w:r>
      <m:oMath>
        <m:sSup>
          <m:e>
            <m:r>
              <m:t>R</m:t>
            </m:r>
          </m:e>
          <m:sup>
            <m:r>
              <m:t>2</m:t>
            </m:r>
          </m:sup>
        </m:sSup>
      </m:oMath>
      <w:r>
        <w:t xml:space="preserve"> </w:t>
      </w:r>
      <w:r>
        <w:t xml:space="preserve">per-periode yang dilaporkan di sini. Studi retrospektif Cianjur 2022</w:t>
      </w:r>
      <w:r>
        <w:t xml:space="preserve"> </w:t>
      </w:r>
      <w:r>
        <w:t xml:space="preserve"> </w:t>
      </w:r>
      <w:r>
        <w:t xml:space="preserve">menyediakan benchmark InaTEWS langsung yang relevan dengan studi kasus kami.</w:t>
      </w:r>
    </w:p>
    <w:p>
      <w:pPr>
        <w:pStyle w:val="BodyText"/>
      </w:pPr>
      <w:r>
        <w:t xml:space="preserve">Untuk memposisikan hasil kami terhadap keluarga GMPE klasik, kami membandingkan profil</w:t>
      </w:r>
      <w:r>
        <w:t xml:space="preserve"> </w:t>
      </w:r>
      <m:oMath>
        <m:sSup>
          <m:e>
            <m:r>
              <m:t>R</m:t>
            </m:r>
          </m:e>
          <m:sup>
            <m:r>
              <m:t>2</m:t>
            </m:r>
          </m:sup>
        </m:sSup>
      </m:oMath>
      <w:r>
        <w:t xml:space="preserve"> </w:t>
      </w:r>
      <w:r>
        <w:t xml:space="preserve">per-periode IDA-PTW dengan GMPE subduksi Atkinson–Boore</w:t>
      </w:r>
      <w:r>
        <w:t xml:space="preserve"> </w:t>
      </w:r>
      <w:r>
        <w:t xml:space="preserve"> </w:t>
      </w:r>
      <w:r>
        <w:t xml:space="preserve">yang dievaluasi pada event-grouping out-of-fold yang sama. Kerangka melampaui baseline GMPE dengan composite</w:t>
      </w:r>
      <w:r>
        <w:t xml:space="preserve"> </w:t>
      </w:r>
      <m:oMath>
        <m:r>
          <m:rPr>
            <m:sty m:val="p"/>
          </m:rPr>
          <m:t>Δ</m:t>
        </m:r>
        <m:sSup>
          <m:e>
            <m:r>
              <m:t>R</m:t>
            </m:r>
          </m:e>
          <m:sup>
            <m:r>
              <m:t>2</m:t>
            </m:r>
          </m:sup>
        </m:sSup>
        <m:r>
          <m:rPr>
            <m:sty m:val="p"/>
          </m:rPr>
          <m:t>=</m:t>
        </m:r>
        <m:r>
          <m:rPr>
            <m:sty m:val="p"/>
          </m:rPr>
          <m:t>+</m:t>
        </m:r>
        <m:r>
          <m:t>0</m:t>
        </m:r>
        <m:r>
          <m:rPr>
            <m:sty m:val="p"/>
          </m:rPr>
          <m:t>,</m:t>
        </m:r>
        <m:r>
          <m:t>067</m:t>
        </m:r>
      </m:oMath>
      <w:r>
        <w:t xml:space="preserve">, dengan keuntungan terbesar di band operasional (</w:t>
      </w:r>
      <m:oMath>
        <m:r>
          <m:t>T</m:t>
        </m:r>
        <m:r>
          <m:rPr>
            <m:sty m:val="p"/>
          </m:rPr>
          <m:t>≤</m:t>
        </m:r>
        <m:r>
          <m:t>2</m:t>
        </m:r>
      </m:oMath>
      <w:r>
        <w:t xml:space="preserve"> s) di mana demand struktural untuk bangunan masonry dan beton-bertulang bertingkat-rendah khas Indonesia terkonsentrasi. Analisis information-ceiling menggunakan label acak dan partisi varians per-kejadian menunjukkan bahwa sekitar 78% prediktabilitas yang dapat dicapai ditangkap oleh kamus fitur sekarang; gap sisa terutama berkaitan dengan informasi amplifikasi site yang tidak dapat diresolusi oleh proxy</w:t>
      </w:r>
      <w:r>
        <w:t xml:space="preserve"> </w:t>
      </w:r>
      <m:oMath>
        <m:sSub>
          <m:e>
            <m:r>
              <m:t>V</m:t>
            </m:r>
          </m:e>
          <m:sub>
            <m:r>
              <m:t>S</m:t>
            </m:r>
            <m:r>
              <m:t>30</m:t>
            </m:r>
          </m:sub>
        </m:sSub>
      </m:oMath>
      <w:r>
        <w:t xml:space="preserve"> </w:t>
      </w:r>
      <w:r>
        <w:t xml:space="preserve">dan yang merupakan komponen dominan suku</w:t>
      </w:r>
      <w:r>
        <w:t xml:space="preserve"> </w:t>
      </w:r>
      <m:oMath>
        <m:r>
          <m:t>ϕ</m:t>
        </m:r>
      </m:oMath>
      <w:r>
        <w:t xml:space="preserve"> </w:t>
      </w:r>
      <w:r>
        <w:t xml:space="preserve">dalam dekomposisi sigma Al Atik (2010) yang dibahas di Sec. 6.3.</w:t>
      </w:r>
    </w:p>
    <w:bookmarkEnd w:id="103"/>
    <w:bookmarkStart w:id="107" w:name="feature-dichotomy-validasi-empiris"/>
    <w:p>
      <w:pPr>
        <w:pStyle w:val="Heading2"/>
      </w:pPr>
      <w:r>
        <w:t xml:space="preserve">Feature Dichotomy: Validasi Empiris</w:t>
      </w:r>
    </w:p>
    <w:p>
      <w:pPr>
        <w:pStyle w:val="FirstParagraph"/>
      </w:pPr>
      <w:r>
        <w:t xml:space="preserve">Hipotesis Feature Dichotomy diturunkan dari seismologi fisis: parameter amplitudo saturating (pergeseran corner frequency spektrum Brune dengan magnitudo</w:t>
      </w:r>
      <w:r>
        <w:t xml:space="preserve"> </w:t>
      </w:r>
      <w:r>
        <w:t xml:space="preserve">; observasi saturasi Wu</w:t>
      </w:r>
      <w:r>
        <w:t xml:space="preserve"> </w:t>
      </w:r>
      <w:r>
        <w:rPr>
          <w:i/>
          <w:iCs/>
        </w:rPr>
        <w:t xml:space="preserve">et al.</w:t>
      </w:r>
      <w:r>
        <w:t xml:space="preserve"> </w:t>
      </w:r>
      <w:r>
        <w:t xml:space="preserve">) secara fundamental tidak andal untuk prediksi event-besar tetapi mempertahankan utilitas untuk diskriminasi intensitas biner (Stage 0) dan routing kelas (Stage 1). Fitur integral non-saturating (kerangka CAV EPRI</w:t>
      </w:r>
      <w:r>
        <w:t xml:space="preserve"> </w:t>
      </w:r>
      <w:r>
        <w:t xml:space="preserve">; Arias</w:t>
      </w:r>
      <w:r>
        <w:t xml:space="preserve"> </w:t>
      </w:r>
      <w:r>
        <w:t xml:space="preserve">; integral velocity Colombelli</w:t>
      </w:r>
      <w:r>
        <w:t xml:space="preserve"> </w:t>
      </w:r>
      <w:r>
        <w:t xml:space="preserve">) mengakumulasi energi secara monoton sepanjang jendela observasi, tetap prediktif untuk rupture besar.</w:t>
      </w:r>
    </w:p>
    <w:p>
      <w:pPr>
        <w:pStyle w:val="BodyText"/>
      </w:pPr>
      <w:r>
        <w:t xml:space="preserve">Konfirmasi empiris dari analisis SHAP sangat mencolok: spectral centroid (60,6%) dan log-peak-acceleration (11,8%) mendominasi klasifikasi Stage 0, sementara CVAD dan CAV mendominasi regresi Stage 2. Inversi fitur dominan antara stage ini secara langsung memvalidasi Feature Dichotomy.</w:t>
      </w:r>
    </w:p>
    <w:p>
      <w:pPr>
        <w:pStyle w:val="BodyText"/>
      </w:pPr>
      <w:r>
        <w:t xml:space="preserve"> </w:t>
      </w:r>
      <w:r>
        <w:t xml:space="preserve">menyediakan mekanisme teoritis: energi yang teradiasi dari coda gelombang-P awal berskala dengan kuadrat slip velocity, yang dikontrol oleh kecepatan propagasi rupture dan diinisiasi pada patch nukleasi tetapi tumbuh seiring perluasan rupture. Untuk event kecil, energi yang teradiasi awal menangkap hampir seluruh energi rupture; untuk event besar, sebagian besar energi teradiasi lebih lambat. Feature Dichotomy menangkap fisika ini: fitur spektral cepat (centroid) menangkap intensitas fase-nukleasi, sementara fitur kumulatif lambat (CAV,</w:t>
      </w:r>
      <w:r>
        <w:t xml:space="preserve"> </w:t>
      </w:r>
      <m:oMath>
        <m:sSub>
          <m:e>
            <m:r>
              <m:t>I</m:t>
            </m:r>
          </m:e>
          <m:sub>
            <m:r>
              <m:t>a</m:t>
            </m:r>
          </m:sub>
        </m:sSub>
      </m:oMath>
      <w:r>
        <w:t xml:space="preserve">) menangkap akumulasi energi yang sedang berlangsung—persis yang dibutuhkan event besar dan tidak dibutuhkan event kecil.</w:t>
      </w:r>
    </w:p>
    <w:p>
      <w:pPr>
        <w:pStyle w:val="BodyText"/>
      </w:pPr>
      <w:r>
        <w:t xml:space="preserve">Fig. 8 directly visualizes the Feature Dichotomy benefit at the Stage 2 level: when the regressor XGBoost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4343400" cy="2423255"/>
            <wp:effectExtent b="0" l="0" r="0" t="0"/>
            <wp:docPr descr="" title="" id="105" name="Picture"/>
            <a:graphic>
              <a:graphicData uri="http://schemas.openxmlformats.org/drawingml/2006/picture">
                <pic:pic>
                  <pic:nvPicPr>
                    <pic:cNvPr descr="figures/xgboost_gated_stage2_comparison.png" id="106" name="Picture"/>
                    <pic:cNvPicPr>
                      <a:picLocks noChangeArrowheads="1" noChangeAspect="1"/>
                    </pic:cNvPicPr>
                  </pic:nvPicPr>
                  <pic:blipFill>
                    <a:blip r:embed="rId104"/>
                    <a:stretch>
                      <a:fillRect/>
                    </a:stretch>
                  </pic:blipFill>
                  <pic:spPr bwMode="auto">
                    <a:xfrm>
                      <a:off x="0" y="0"/>
                      <a:ext cx="4343400" cy="2423255"/>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kelas intensitas, applying 5× dikurangi feature weights to saturating features (τc, Pd, Pv) for the high-intensity bin. The gated variant mencapai</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107"/>
    <w:bookmarkStart w:id="109" w:name="dominansi-intra-event-dan-prioritas-vs30"/>
    <w:p>
      <w:pPr>
        <w:pStyle w:val="Heading2"/>
      </w:pPr>
      <w:r>
        <w:t xml:space="preserve">Dominansi Intra-Event dan Prioritas Vs30</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characterization (</w:t>
      </w:r>
      <m:oMath>
        <m:sSub>
          <m:e>
            <m:r>
              <m:t>V</m:t>
            </m:r>
          </m:e>
          <m:sub>
            <m:r>
              <m:t>S</m:t>
            </m:r>
            <m:r>
              <m:t>30</m:t>
            </m:r>
          </m:sub>
        </m:sSub>
      </m:oMath>
      <w:r>
        <w:t xml:space="preserve">), emphasizing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108" w:name="the-vs30-improvement-potential."/>
    <w:p>
      <w:pPr>
        <w:pStyle w:val="Heading4"/>
      </w:pPr>
      <w:r>
        <w:t xml:space="preserve">The Vs30 improvement potential.</w:t>
      </w:r>
    </w:p>
    <w:p>
      <w:pPr>
        <w:pStyle w:val="FirstParagraph"/>
      </w:pPr>
      <w:r>
        <w:t xml:space="preserve">’s NGA-West2 results menunjukkan bahwa replacing proxy</w:t>
      </w:r>
      <w:r>
        <w:t xml:space="preserve"> </w:t>
      </w:r>
      <m:oMath>
        <m:sSub>
          <m:e>
            <m:r>
              <m:t>V</m:t>
            </m:r>
          </m:e>
          <m:sub>
            <m:r>
              <m:t>S</m:t>
            </m:r>
            <m:r>
              <m:t>30</m:t>
            </m:r>
          </m:sub>
        </m:sSub>
      </m:oMath>
      <w:r>
        <w:t xml:space="preserve"> </w:t>
      </w:r>
      <w:r>
        <w:t xml:space="preserve">with measured values mengurangi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menunjukkan bahwa machine learning models integrating microzonation-measured site data mengurangi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mengurangi</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108"/>
    <w:bookmarkEnd w:id="109"/>
    <w:bookmarkStart w:id="110" w:name="operasi-otonom"/>
    <w:p>
      <w:pPr>
        <w:pStyle w:val="Heading2"/>
      </w:pPr>
      <w:r>
        <w:t xml:space="preserve">Operasi Otonom</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analyzes cost-benefit of different decision-making strategies for rail systems, demonstrating that on-site EEWS mengungguli source-parameter-based systems at 120-gal thresholds. The Stage 0 Aggressive operating point (FAR = 5%, 89% blind zone reduction to 4 km) directly implements the infrastructure optimal strategy—accepting marginally higher false alarm rates in exchange for dramatically expanded dekat-sumber warning coverage.</w:t>
      </w:r>
    </w:p>
    <w:p>
      <w:pPr>
        <w:pStyle w:val="BodyText"/>
      </w:pPr>
      <w:r>
        <w:t xml:space="preserve"> </w:t>
      </w:r>
      <w:r>
        <w:t xml:space="preserve">implement a network-based EEWS in Greece using on-site P-wave analysis with explicit false-alarm rate targets for public warning. Their operational experience mendemonstrasikan bahwa multi-threshold design—analogous to our Table 7’s Conservative/Balanced/Aggressive operating point—is essential for adapting EEWS to heterogeneous user requirements (infrastruktur kritis, public transportation, general population).</w:t>
      </w:r>
      <w:r>
        <w:t xml:space="preserve"> </w:t>
      </w:r>
      <w:r>
        <w:t xml:space="preserve"> </w:t>
      </w:r>
      <w:r>
        <w:t xml:space="preserve">further mendemonstrasikan bahwa EEW algorithm selection should account for regional network topology: on-site methods mengungguli regional methods for sparse networks like the Indonesian IA-BMKG configuration. Hoshiba and</w:t>
      </w:r>
      <w:r>
        <w:t xml:space="preserve"> </w:t>
      </w:r>
      <w:r>
        <w:t xml:space="preserve"> </w:t>
      </w:r>
      <w:r>
        <w:t xml:space="preserve">menyediakan a physics-based upper bound through numerical shake prediction via data assimilation—their approach mencapai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optimization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110"/>
    <w:bookmarkStart w:id="111" w:name="hasil-negatif-dan-keterbatasan-jujur"/>
    <w:p>
      <w:pPr>
        <w:pStyle w:val="Heading2"/>
      </w:pPr>
      <w:r>
        <w:t xml:space="preserve">Hasil Negatif dan Keterbatasan Jujur</w:t>
      </w:r>
    </w:p>
    <w:p>
      <w:pPr>
        <w:pStyle w:val="FirstParagraph"/>
      </w:pPr>
      <w:r>
        <w:t xml:space="preserve">Kami melaporkan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kelas intensitas bukan estimated distance — the class label internalises the joint distance–magnitude konten informasi. Detailed C0–C4 ablation table is provided in Supplementary Material SM3.</w:t>
      </w:r>
    </w:p>
    <w:p>
      <w:pPr>
        <w:pStyle w:val="BodyText"/>
      </w:pPr>
      <w:r>
        <w:t xml:space="preserve">Di luar hasil negatif tahap-routing tersebut, kami mengakui tiga keterbatasan tambahan dari pekerjaan ini. Pertama, dataset didominasi oleh kejadian magnitudo-menengah (</w:t>
      </w:r>
      <m:oMath>
        <m:sSub>
          <m:e>
            <m:r>
              <m:t>M</m:t>
            </m:r>
          </m:e>
          <m:sub>
            <m:r>
              <m:t>w</m:t>
            </m:r>
          </m:sub>
        </m:sSub>
      </m:oMath>
      <w:r>
        <w:t xml:space="preserve"> 4–6); hanya 26 trace berada di kelas Damaging, membatasi daya statistik evaluasi event-besar Stage 2. Kedua, nilai</w:t>
      </w:r>
      <w:r>
        <w:t xml:space="preserve"> </w:t>
      </w:r>
      <m:oMath>
        <m:sSub>
          <m:e>
            <m:r>
              <m:t>V</m:t>
            </m:r>
          </m:e>
          <m:sub>
            <m:r>
              <m:t>S</m:t>
            </m:r>
            <m:r>
              <m:t>30</m:t>
            </m:r>
          </m:sub>
        </m:sSub>
      </m:oMath>
      <w:r>
        <w:t xml:space="preserve"> </w:t>
      </w:r>
      <w:r>
        <w:t xml:space="preserve">diturunkan dari proxy topographic-slope untuk 80% stasiun; pengukuran HVSR untuk</w:t>
      </w:r>
      <w:r>
        <w:t xml:space="preserve"> </w:t>
      </w:r>
      <m:oMath>
        <m:sSub>
          <m:e>
            <m:r>
              <m:t>V</m:t>
            </m:r>
          </m:e>
          <m:sub>
            <m:r>
              <m:t>S</m:t>
            </m:r>
            <m:r>
              <m:t>30</m:t>
            </m:r>
          </m:sub>
        </m:sSub>
      </m:oMath>
      <w:r>
        <w:t xml:space="preserve"> </w:t>
      </w:r>
      <w:r>
        <w:t xml:space="preserve">di seluruh 151 stasiun IA-BMKG adalah perbaikan data dengan prioritas tertinggi. Ketiga, cross-validation kami event-grouped tetapi tidak station-grouped: CV station-grouped akan menguji generalisasi site sejati tetapi tidak feasible secara statistik dengan hanya 100 stasiun yang memiliki</w:t>
      </w:r>
      <w:r>
        <w:t xml:space="preserve"> </w:t>
      </w:r>
      <m:oMath>
        <m:r>
          <m:rPr>
            <m:sty m:val="p"/>
          </m:rPr>
          <m:t>≥</m:t>
        </m:r>
        <m:r>
          <m:t>100</m:t>
        </m:r>
      </m:oMath>
      <w:r>
        <w:t xml:space="preserve"> </w:t>
      </w:r>
      <w:r>
        <w:t xml:space="preserve">record. Keterbatasan ini membatasi klaim sekarang; tak satupun yang menggugurkan prinsip saturation-aware adaptive-PTW yang ditetapkan kerangka ini.</w:t>
      </w:r>
    </w:p>
    <w:bookmarkEnd w:id="111"/>
    <w:bookmarkStart w:id="112" w:name="arah-riset-masa-depan"/>
    <w:p>
      <w:pPr>
        <w:pStyle w:val="Heading2"/>
      </w:pPr>
      <w:r>
        <w:t xml:space="preserve">Arah Riset Masa Depan</w:t>
      </w:r>
    </w:p>
    <w:p>
      <w:pPr>
        <w:pStyle w:val="FirstParagraph"/>
      </w:pPr>
      <w:r>
        <w:t xml:space="preserve">Enam ekstensi konkret muncul dari hasil sekarang. Set fitur khusus 0,5-detik yang disesuaikan untuk Stage 0 dengan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dan sampling class-balanced diperkirakan menaikkan AUC Stage-0 dari 0,914 ke rentang 0,94–0,96. Pengukuran</w:t>
      </w:r>
      <w:r>
        <w:t xml:space="preserve"> </w:t>
      </w:r>
      <m:oMath>
        <m:sSub>
          <m:e>
            <m:r>
              <m:t>V</m:t>
            </m:r>
          </m:e>
          <m:sub>
            <m:r>
              <m:t>S</m:t>
            </m:r>
            <m:r>
              <m:t>30</m:t>
            </m:r>
          </m:sub>
        </m:sSub>
      </m:oMath>
      <w:r>
        <w:t xml:space="preserve"> </w:t>
      </w:r>
      <w:r>
        <w:t xml:space="preserve">dari survei HVSR</w:t>
      </w:r>
      <w:r>
        <w:t xml:space="preserve"> </w:t>
      </w:r>
      <w:r>
        <w:t xml:space="preserve"> </w:t>
      </w:r>
      <w:r>
        <w:t xml:space="preserve">di seluruh 151 stasiun IA-BMKG diperkirakan menurunkan</w:t>
      </w:r>
      <w:r>
        <w:t xml:space="preserve"> </w:t>
      </w:r>
      <m:oMath>
        <m:r>
          <m:t>ϕ</m:t>
        </m:r>
      </m:oMath>
      <w:r>
        <w:t xml:space="preserve"> </w:t>
      </w:r>
      <w:r>
        <w:t xml:space="preserve">sebesar 15–25% pada periode pendek. XGBoost quantile regression untuk prediksi</w:t>
      </w:r>
      <w:r>
        <w:t xml:space="preserve"> </w:t>
      </w:r>
      <m:oMath>
        <m:r>
          <m:t>S</m:t>
        </m:r>
        <m:r>
          <m:t>a</m:t>
        </m:r>
        <m:r>
          <m:rPr>
            <m:sty m:val="p"/>
          </m:rPr>
          <m:t>(</m:t>
        </m:r>
        <m:r>
          <m:t>T</m:t>
        </m:r>
        <m:r>
          <m:rPr>
            <m:sty m:val="p"/>
          </m:rPr>
          <m:t>)</m:t>
        </m:r>
      </m:oMath>
      <w:r>
        <w:t xml:space="preserve"> </w:t>
      </w:r>
      <w:r>
        <w:t xml:space="preserve">distributional</w:t>
      </w:r>
      <w:r>
        <w:t xml:space="preserve"> </w:t>
      </w:r>
      <w:r>
        <w:t xml:space="preserve"> </w:t>
      </w:r>
      <w:r>
        <w:t xml:space="preserve">akan melengkapi konsumen hilir dengan interval kepercayaan, bukan estimasi titik. Lapisan fusi multi-stasiun yang menggabungkan keluaran Stage-2 dari stasiun-stasiun tetangga menggunakan karakterisasi sumber gaya-FinDer</w:t>
      </w:r>
      <w:r>
        <w:t xml:space="preserve"> </w:t>
      </w:r>
      <w:r>
        <w:t xml:space="preserve">, bersama dengan arsitektur FinDer asli oleh</w:t>
      </w:r>
      <w:r>
        <w:t xml:space="preserve"> </w:t>
      </w:r>
      <w:r>
        <w:t xml:space="preserve">, akan menggeneralisasi kerangka ke jaringan kecil. Integrasi koefisien site-response ASK14 dari</w:t>
      </w:r>
      <w:r>
        <w:t xml:space="preserve"> </w:t>
      </w:r>
      <w:r>
        <w:t xml:space="preserve"> </w:t>
      </w:r>
      <w:r>
        <w:t xml:space="preserve">sebagai prior koreksi</w:t>
      </w:r>
      <w:r>
        <w:t xml:space="preserve"> </w:t>
      </w:r>
      <m:oMath>
        <m:sSub>
          <m:e>
            <m:r>
              <m:t>V</m:t>
            </m:r>
          </m:e>
          <m:sub>
            <m:r>
              <m:t>S</m:t>
            </m:r>
            <m:r>
              <m:t>30</m:t>
            </m:r>
          </m:sub>
        </m:sSub>
      </m:oMath>
      <w:r>
        <w:t xml:space="preserve">, dilengkapi dengan pendekatan magnitudo SVM stasiun-tunggal dari</w:t>
      </w:r>
      <w:r>
        <w:t xml:space="preserve"> </w:t>
      </w:r>
      <w:r>
        <w:t xml:space="preserve"> </w:t>
      </w:r>
      <w:r>
        <w:t xml:space="preserve">sebagai jalur cepat paralel untuk skenario alert magnitudo-saja, akan mendiversifikasi produk alert. Terakhir, deployment shadow-mode InaTEWS yang menjalankan prediksi IDA-PTW real-time bersama pipeline operasional selama musim seismisitas 2026–2027 adalah jalur paling langsung menuju validasi operasional.</w:t>
      </w:r>
    </w:p>
    <w:p>
      <w:r>
        <w:pict>
          <v:rect style="width:0;height:1.5pt" o:hralign="center" o:hrstd="t" o:hr="t"/>
        </w:pict>
      </w:r>
    </w:p>
    <w:bookmarkEnd w:id="112"/>
    <w:bookmarkEnd w:id="113"/>
    <w:bookmarkStart w:id="114" w:name="kesimpulan"/>
    <w:p>
      <w:pPr>
        <w:pStyle w:val="Heading1"/>
      </w:pPr>
      <w:r>
        <w:t xml:space="preserve">Kesimpulan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kerangka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dekat-sumber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kerangka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kelas intensitas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merepresentasikan the first explicitly saturation-aware, catalog-independent, engineering-mode EEWS architecture validated for the Indonesian InaTEWS subduction environment, and kerangka is positioned to serve as a building block for the broader programme of edge-compute deployment that constitutes the closing pillar of the underlying doctoral research.</w:t>
      </w:r>
    </w:p>
    <w:p>
      <w:pPr>
        <w:pStyle w:val="BodyText"/>
      </w:pPr>
      <w:r>
        <w:rPr>
          <w:b/>
          <w:bCs/>
        </w:rPr>
        <w:t xml:space="preserve">Tabel 19. Kerangka IDA-PTW — Ringkasan Hasil.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pada</w:t>
            </w:r>
            <w:r>
              <w:t xml:space="preserve"> </w:t>
            </w:r>
            <m:oMath>
              <m:r>
                <m:t>T</m:t>
              </m:r>
              <m:r>
                <m:rPr>
                  <m:sty m:val="p"/>
                </m:rPr>
                <m:t>=</m:t>
              </m:r>
              <m:r>
                <m:t>1</m:t>
              </m:r>
              <m:r>
                <m:rPr>
                  <m:sty m:val="p"/>
                </m:rPr>
                <m:t>,</m:t>
              </m:r>
              <m:r>
                <m:t>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Tabel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rerata 103 periode</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Tabel 17 (baris Rerata)</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merepresentasikan the first explicitly saturation-aware, catalog-independent, engineering-mode EEWS architecture validated for the Indonesian InaTEWS subduction environment.</w:t>
      </w:r>
    </w:p>
    <w:p>
      <w:r>
        <w:pict>
          <v:rect style="width:0;height:1.5pt" o:hralign="center" o:hrstd="t" o:hr="t"/>
        </w:pict>
      </w:r>
    </w:p>
    <w:bookmarkEnd w:id="114"/>
    <w:bookmarkStart w:id="116" w:name="ketersediaan-data-dan-kode"/>
    <w:p>
      <w:pPr>
        <w:pStyle w:val="Heading1"/>
      </w:pPr>
      <w:r>
        <w:t xml:space="preserve">Ketersediaan Data dan Kode</w:t>
      </w:r>
    </w:p>
    <w:p>
      <w:pPr>
        <w:pStyle w:val="FirstParagraph"/>
      </w:pPr>
      <w:r>
        <w:t xml:space="preserve">Bentuk-gelombang accelerograph IA-BMKG yang digunakan dalam studi ini dimiliki oleh</w:t>
      </w:r>
      <w:r>
        <w:t xml:space="preserve"> </w:t>
      </w:r>
      <w:r>
        <w:t xml:space="preserve">Badan Meteorologi, Klimatologi, dan Geofisika Republik Indonesia (BMKG) dan</w:t>
      </w:r>
      <w:r>
        <w:t xml:space="preserve"> </w:t>
      </w:r>
      <w:r>
        <w:t xml:space="preserve">tersedia dari BMKG melalui permintaan institusional kepada</w:t>
      </w:r>
      <w:r>
        <w:t xml:space="preserve"> </w:t>
      </w:r>
      <w:r>
        <w:rPr>
          <w:i/>
          <w:iCs/>
        </w:rPr>
        <w:t xml:space="preserve">corresponding author</w:t>
      </w:r>
      <w:r>
        <w:t xml:space="preserve">.</w:t>
      </w:r>
      <w:r>
        <w:t xml:space="preserve"> </w:t>
      </w:r>
      <w:r>
        <w:t xml:space="preserve">Matriks fitur turunan, model terlatih, dan pipeline reprodusibilitas penuh</w:t>
      </w:r>
      <w:r>
        <w:t xml:space="preserve"> </w:t>
      </w:r>
      <w:r>
        <w:t xml:space="preserve">(kurasi data, ekstraksi fitur, pelatihan, evaluasi, dan generasi gambar)</w:t>
      </w:r>
      <w:r>
        <w:t xml:space="preserve"> </w:t>
      </w:r>
      <w:r>
        <w:t xml:space="preserve">di-host pada</w:t>
      </w:r>
      <w:r>
        <w:t xml:space="preserve"> </w:t>
      </w:r>
      <w:hyperlink r:id="rId115">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w:t>
      </w:r>
      <w:r>
        <w:t xml:space="preserve"> </w:t>
      </w:r>
      <w:r>
        <w:t xml:space="preserve">Repositori saat ini akses-terkontrol selama proses peer review untuk perlindungan</w:t>
      </w:r>
      <w:r>
        <w:t xml:space="preserve"> </w:t>
      </w:r>
      <w:r>
        <w:t xml:space="preserve">novelty; reviewer dapat memperoleh akses melalui editor jurnal atas permintaan</w:t>
      </w:r>
      <w:r>
        <w:t xml:space="preserve"> </w:t>
      </w:r>
      <w:r>
        <w:t xml:space="preserve">ke</w:t>
      </w:r>
      <w:r>
        <w:t xml:space="preserve"> </w:t>
      </w:r>
      <w:r>
        <w:rPr>
          <w:i/>
          <w:iCs/>
        </w:rPr>
        <w:t xml:space="preserve">corresponding author</w:t>
      </w:r>
      <w:r>
        <w:t xml:space="preserve">. Setelah penerimaan naskah, repositori akan dirilis</w:t>
      </w:r>
      <w:r>
        <w:t xml:space="preserve"> </w:t>
      </w:r>
      <w:r>
        <w:t xml:space="preserve">secara publik di bawah lisensi MIT bersama dengan rilis arsip permanen Zenodo</w:t>
      </w:r>
      <w:r>
        <w:t xml:space="preserve"> </w:t>
      </w:r>
      <w:r>
        <w:t xml:space="preserve">(DOI akan ditugaskan). Skrip</w:t>
      </w:r>
      <w:r>
        <w:t xml:space="preserve"> </w:t>
      </w:r>
      <w:r>
        <w:rPr>
          <w:rStyle w:val="VerbatimChar"/>
        </w:rPr>
        <w:t xml:space="preserve">verify_repro.py</w:t>
      </w:r>
      <w:r>
        <w:t xml:space="preserve"> </w:t>
      </w:r>
      <w:r>
        <w:t xml:space="preserve">yang disertakan dalam</w:t>
      </w:r>
      <w:r>
        <w:t xml:space="preserve"> </w:t>
      </w:r>
      <w:r>
        <w:t xml:space="preserve">repositori menyediakan audit reprodusibilitas satu-perintah (51 cek terhadap</w:t>
      </w:r>
      <w:r>
        <w:t xml:space="preserve"> </w:t>
      </w:r>
      <w:r>
        <w:t xml:space="preserve">pin lingkungan, checksum input, dan metrik headline). Supplementary Materials</w:t>
      </w:r>
      <w:r>
        <w:t xml:space="preserve"> </w:t>
      </w:r>
      <w:r>
        <w:t xml:space="preserve">SM1–SM3 menyediakan: (SM1) ablation task-2 tercile-baseline yang dirujuk di</w:t>
      </w:r>
      <w:r>
        <w:t xml:space="preserve"> </w:t>
      </w:r>
      <w:r>
        <w:t xml:space="preserve">Sec. 4.4; (SM2) tabel</w:t>
      </w:r>
      <w:r>
        <w:t xml:space="preserve"> </w:t>
      </w:r>
      <m:oMath>
        <m:sSup>
          <m:e>
            <m:r>
              <m:t>R</m:t>
            </m:r>
          </m:e>
          <m:sup>
            <m:r>
              <m:t>2</m:t>
            </m:r>
          </m:sup>
        </m:sSup>
      </m:oMath>
      <w:r>
        <w:t xml:space="preserve"> </w:t>
      </w:r>
      <w:r>
        <w:t xml:space="preserve">per-periode dan file CSV metrik operasional yang</w:t>
      </w:r>
      <w:r>
        <w:t xml:space="preserve"> </w:t>
      </w:r>
      <w:r>
        <w:t xml:space="preserve">dirujuk di seluruh Sec. 5; dan (SM3) tabel ablation regresi-jarak C0–C4 yang</w:t>
      </w:r>
      <w:r>
        <w:t xml:space="preserve"> </w:t>
      </w:r>
      <w:r>
        <w:t xml:space="preserve">dirujuk di Sec. 6.5.</w:t>
      </w:r>
    </w:p>
    <w:bookmarkEnd w:id="116"/>
    <w:bookmarkStart w:id="118" w:name="penghargaan"/>
    <w:p>
      <w:pPr>
        <w:pStyle w:val="Heading1"/>
      </w:pPr>
      <w:r>
        <w:t xml:space="preserve">Penghargaan</w:t>
      </w:r>
    </w:p>
    <w:p>
      <w:pPr>
        <w:pStyle w:val="FirstParagraph"/>
      </w:pPr>
      <w:r>
        <w:t xml:space="preserve">Para penulis berterima kasih kepada Badan Meteorologi, Klimatologi, dan</w:t>
      </w:r>
      <w:r>
        <w:t xml:space="preserve"> </w:t>
      </w:r>
      <w:r>
        <w:t xml:space="preserve">Geofisika Republik Indonesia (BMKG) atas akses ke data accelerograph</w:t>
      </w:r>
      <w:r>
        <w:t xml:space="preserve"> </w:t>
      </w:r>
      <w:r>
        <w:t xml:space="preserve">IA-BMKG. H.A.N. mengakui pendanaan doktoral melalui program Beasiswa</w:t>
      </w:r>
      <w:r>
        <w:t xml:space="preserve"> </w:t>
      </w:r>
      <w:r>
        <w:t xml:space="preserve">Pendidikan Indonesia (BPI). Sumber daya komputasi disediakan oleh</w:t>
      </w:r>
      <w:r>
        <w:t xml:space="preserve"> </w:t>
      </w:r>
      <w:r>
        <w:t xml:space="preserve">Departemen Fisika, Universitas Indonesia.</w:t>
      </w:r>
    </w:p>
    <w:bookmarkStart w:id="117" w:name="pengungkapan-penggunaan-ai."/>
    <w:p>
      <w:pPr>
        <w:pStyle w:val="Heading4"/>
      </w:pPr>
      <w:r>
        <w:t xml:space="preserve">Pengungkapan penggunaan AI.</w:t>
      </w:r>
    </w:p>
    <w:p>
      <w:pPr>
        <w:pStyle w:val="FirstParagraph"/>
      </w:pPr>
      <w:r>
        <w:t xml:space="preserve">Tool model bahasa besar (Claude Code dari Anthropic) digunakan selama</w:t>
      </w:r>
      <w:r>
        <w:t xml:space="preserve"> </w:t>
      </w:r>
      <w:r>
        <w:t xml:space="preserve">persiapan manuskrip untuk: (i) penyuntingan bahasa dan penghalusan tata</w:t>
      </w:r>
      <w:r>
        <w:t xml:space="preserve"> </w:t>
      </w:r>
      <w:r>
        <w:t xml:space="preserve">bahasa, (ii) audit konsistensi internal terhadap klaim numerik antar-bagian,</w:t>
      </w:r>
      <w:r>
        <w:t xml:space="preserve"> </w:t>
      </w:r>
      <w:r>
        <w:t xml:space="preserve">(iii) verifikasi bibliografi (pemeriksaan DOI, penerbit, dan penulis</w:t>
      </w:r>
      <w:r>
        <w:t xml:space="preserve"> </w:t>
      </w:r>
      <w:r>
        <w:t xml:space="preserve">terhadap pustaka referensi berisi 108 entri), serta (iv) penataan ulang</w:t>
      </w:r>
      <w:r>
        <w:t xml:space="preserve"> </w:t>
      </w:r>
      <w:r>
        <w:t xml:space="preserve">keterangan gambar dan dokumentasi pendukung. Seluruh perancangan riset,</w:t>
      </w:r>
      <w:r>
        <w:t xml:space="preserve"> </w:t>
      </w:r>
      <w:r>
        <w:t xml:space="preserve">kurasi dataset, implementasi pipeline, pelatihan, evaluasi, analisis</w:t>
      </w:r>
      <w:r>
        <w:t xml:space="preserve"> </w:t>
      </w:r>
      <w:r>
        <w:t xml:space="preserve">statistik, dan interpretasi substantif adalah hasil karya asli penulis.</w:t>
      </w:r>
      <w:r>
        <w:t xml:space="preserve"> </w:t>
      </w:r>
      <w:r>
        <w:t xml:space="preserve">Tool AI tidak menghasilkan temuan baru, tidak melakukan sintesis data,</w:t>
      </w:r>
      <w:r>
        <w:t xml:space="preserve"> </w:t>
      </w:r>
      <w:r>
        <w:t xml:space="preserve">dan tidak menghasilkan konten yang disajikan sebagai hasil empiris.</w:t>
      </w:r>
      <w:r>
        <w:t xml:space="preserve"> </w:t>
      </w:r>
      <w:r>
        <w:t xml:space="preserve">Penulis bertanggung jawab penuh atas isi manuskrip, termasuk kekeliruan</w:t>
      </w:r>
      <w:r>
        <w:t xml:space="preserve"> </w:t>
      </w:r>
      <w:r>
        <w:t xml:space="preserve">yang mungkin tersisa. Semua saran perubahan dari AI telah ditinjau dan</w:t>
      </w:r>
      <w:r>
        <w:t xml:space="preserve"> </w:t>
      </w:r>
      <w:r>
        <w:t xml:space="preserve">disetujui oleh</w:t>
      </w:r>
      <w:r>
        <w:t xml:space="preserve"> </w:t>
      </w:r>
      <w:r>
        <w:rPr>
          <w:i/>
          <w:iCs/>
        </w:rPr>
        <w:t xml:space="preserve">corresponding author</w:t>
      </w:r>
      <w:r>
        <w:t xml:space="preserve"> </w:t>
      </w:r>
      <w:r>
        <w:t xml:space="preserve">sebelum dimasukkan.</w:t>
      </w:r>
    </w:p>
    <w:bookmarkEnd w:id="117"/>
    <w:bookmarkEnd w:id="118"/>
    <w:sectPr w:rsidR="001924A4" w:rsidRPr="001A66F8" w:rsidSect="00CC5587">
      <w:headerReference r:id="rId15" w:type="even"/>
      <w:headerReference r:id="rId16" w:type="default"/>
      <w:headerReference r:id="rId17" w:type="first"/>
      <w:footerReference r:id="rId18" w:type="first"/>
      <w:footnotePr>
        <w:numFmt w:val="chicago"/>
      </w:footnotePr>
      <w:pgSz w:code="9" w:h="16834" w:w="11909"/>
      <w:pgMar w:bottom="2650" w:footer="2189" w:gutter="0" w:header="2664" w:left="2347" w:right="2362" w:top="2664"/>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notTrueTyp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EE7AB8" w14:textId="77777777" w:rsidR="00470C03" w:rsidRDefault="00470C03" w:rsidP="00363DC9">
    <w:pPr>
      <w:jc w:val="center"/>
    </w:pPr>
    <w:r>
      <w:rPr>
        <w:rStyle w:val="PageNumber"/>
        <w:sz w:val="16"/>
      </w:rPr>
      <w:fldChar w:fldCharType="begin"/>
    </w:r>
    <w:r>
      <w:rPr>
        <w:rStyle w:val="PageNumber"/>
        <w:sz w:val="16"/>
      </w:rPr>
      <w:instrText xml:space="preserve"> PAGE </w:instrText>
    </w:r>
    <w:r>
      <w:rPr>
        <w:rStyle w:val="PageNumber"/>
        <w:sz w:val="16"/>
      </w:rPr>
      <w:fldChar w:fldCharType="separate"/>
    </w:r>
    <w:r w:rsidR="002A3908">
      <w:rPr>
        <w:rStyle w:val="PageNumber"/>
        <w:noProof/>
        <w:sz w:val="16"/>
      </w:rPr>
      <w:t>1</w:t>
    </w:r>
    <w:r>
      <w:rPr>
        <w:rStyle w:val="PageNumbe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FDF6A9" w14:textId="7506097B" w:rsidR="00470C03" w:rsidRPr="001B41D8" w:rsidRDefault="00E27BBA" w:rsidP="00363DC9">
    <w:pPr>
      <w:pStyle w:val="Header"/>
      <w:rPr>
        <w:position w:val="4"/>
      </w:rPr>
    </w:pPr>
    <w:r>
      <w:rPr>
        <w:noProof/>
      </w:rPr>
      <mc:AlternateContent>
        <mc:Choice Requires="wpg">
          <w:drawing>
            <wp:anchor distT="0" distB="0" distL="114300" distR="114300" simplePos="0" relativeHeight="251659264" behindDoc="1" locked="1" layoutInCell="1" allowOverlap="1" wp14:anchorId="66913D39" wp14:editId="227B7361">
              <wp:simplePos x="0" y="0"/>
              <wp:positionH relativeFrom="page">
                <wp:align>center</wp:align>
              </wp:positionH>
              <wp:positionV relativeFrom="page">
                <wp:align>center</wp:align>
              </wp:positionV>
              <wp:extent cx="6668770" cy="9638665"/>
              <wp:effectExtent l="0" t="0" r="17780" b="19685"/>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3" name="Group 33"/>
                      <wpg:cNvGrpSpPr>
                        <a:grpSpLocks/>
                      </wpg:cNvGrpSpPr>
                      <wpg:grpSpPr bwMode="auto">
                        <a:xfrm>
                          <a:off x="691" y="819"/>
                          <a:ext cx="10502" cy="576"/>
                          <a:chOff x="693" y="819"/>
                          <a:chExt cx="10502" cy="576"/>
                        </a:xfrm>
                      </wpg:grpSpPr>
                      <wpg:grpSp>
                        <wpg:cNvPr id="34" name="Group 34"/>
                        <wpg:cNvGrpSpPr>
                          <a:grpSpLocks/>
                        </wpg:cNvGrpSpPr>
                        <wpg:grpSpPr bwMode="auto">
                          <a:xfrm>
                            <a:off x="693" y="819"/>
                            <a:ext cx="582" cy="576"/>
                            <a:chOff x="691" y="821"/>
                            <a:chExt cx="582" cy="576"/>
                          </a:xfrm>
                        </wpg:grpSpPr>
                        <wps:wsp>
                          <wps:cNvPr id="35" name="Line 3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6" name="Line 3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37" name="Group 37"/>
                        <wpg:cNvGrpSpPr>
                          <a:grpSpLocks/>
                        </wpg:cNvGrpSpPr>
                        <wpg:grpSpPr bwMode="auto">
                          <a:xfrm flipH="1">
                            <a:off x="10613" y="819"/>
                            <a:ext cx="582" cy="576"/>
                            <a:chOff x="691" y="821"/>
                            <a:chExt cx="582" cy="576"/>
                          </a:xfrm>
                        </wpg:grpSpPr>
                        <wps:wsp>
                          <wps:cNvPr id="38" name="Line 3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9" name="Line 3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40" name="Group 40"/>
                      <wpg:cNvGrpSpPr>
                        <a:grpSpLocks/>
                      </wpg:cNvGrpSpPr>
                      <wpg:grpSpPr bwMode="auto">
                        <a:xfrm flipV="1">
                          <a:off x="691" y="15422"/>
                          <a:ext cx="10502" cy="576"/>
                          <a:chOff x="693" y="819"/>
                          <a:chExt cx="10502" cy="576"/>
                        </a:xfrm>
                      </wpg:grpSpPr>
                      <wpg:grpSp>
                        <wpg:cNvPr id="41" name="Group 41"/>
                        <wpg:cNvGrpSpPr>
                          <a:grpSpLocks/>
                        </wpg:cNvGrpSpPr>
                        <wpg:grpSpPr bwMode="auto">
                          <a:xfrm>
                            <a:off x="693" y="819"/>
                            <a:ext cx="582" cy="576"/>
                            <a:chOff x="691" y="821"/>
                            <a:chExt cx="582" cy="576"/>
                          </a:xfrm>
                        </wpg:grpSpPr>
                        <wps:wsp>
                          <wps:cNvPr id="42" name="Line 4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3" name="Line 4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44" name="Group 44"/>
                        <wpg:cNvGrpSpPr>
                          <a:grpSpLocks/>
                        </wpg:cNvGrpSpPr>
                        <wpg:grpSpPr bwMode="auto">
                          <a:xfrm flipH="1">
                            <a:off x="10613" y="819"/>
                            <a:ext cx="582" cy="576"/>
                            <a:chOff x="691" y="821"/>
                            <a:chExt cx="582" cy="576"/>
                          </a:xfrm>
                        </wpg:grpSpPr>
                        <wps:wsp>
                          <wps:cNvPr id="45" name="Line 4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6" name="Line 4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DC20C22" id="Group 3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">
              <v:group id="Group 3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group id="Group 3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line id="Line 3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" strokeweight=".25pt"/>
                  <v:line id="Line 3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" strokeweight=".25pt"/>
                </v:group>
                <v:group id="Group 3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">
                  <v:line id="Line 3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" strokeweight=".25pt"/>
                  <v:line id="Line 3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" strokeweight=".25pt"/>
                </v:group>
              </v:group>
              <v:group id="Group 4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">
                <v:group id="Group 4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line id="Line 4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" strokeweight=".25pt"/>
                  <v:line id="Line 4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" strokeweight=".25pt"/>
                </v:group>
                <v:group id="Group 4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">
                  <v:line id="Line 4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" strokeweight=".25pt"/>
                  <v:line id="Line 4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" strokeweight=".25pt"/>
                </v:group>
              </v:group>
              <w10:wrap anchorx="page" anchory="page"/>
              <w10:anchorlock/>
            </v:group>
          </w:pict>
        </mc:Fallback>
      </mc:AlternateContent>
    </w:r>
    <w:r w:rsidR="00470C03" w:rsidRPr="000E0481">
      <w:rPr>
        <w:rStyle w:val="PageNumber"/>
        <w:i w:val="0"/>
        <w:position w:val="4"/>
      </w:rPr>
      <w:fldChar w:fldCharType="begin"/>
    </w:r>
    <w:r w:rsidR="00470C03" w:rsidRPr="000E0481">
      <w:rPr>
        <w:rStyle w:val="PageNumber"/>
        <w:i w:val="0"/>
        <w:position w:val="4"/>
      </w:rPr>
      <w:instrText xml:space="preserve"> PAGE </w:instrText>
    </w:r>
    <w:r w:rsidR="00470C03" w:rsidRPr="000E0481">
      <w:rPr>
        <w:rStyle w:val="PageNumber"/>
        <w:i w:val="0"/>
        <w:position w:val="4"/>
      </w:rPr>
      <w:fldChar w:fldCharType="separate"/>
    </w:r>
    <w:r w:rsidR="002A3908">
      <w:rPr>
        <w:rStyle w:val="PageNumber"/>
        <w:i w:val="0"/>
        <w:noProof/>
        <w:position w:val="4"/>
      </w:rPr>
      <w:t>4</w:t>
    </w:r>
    <w:r w:rsidR="00470C03" w:rsidRPr="000E0481">
      <w:rPr>
        <w:rStyle w:val="PageNumber"/>
        <w:i w:val="0"/>
        <w:position w:val="4"/>
      </w:rPr>
      <w:fldChar w:fldCharType="end"/>
    </w:r>
    <w:r w:rsidR="00470C03">
      <w:rPr>
        <w:rStyle w:val="PageNumber"/>
        <w:i w:val="0"/>
        <w:position w:val="4"/>
      </w:rPr>
      <w:t>     </w:t>
    </w:r>
    <w:r w:rsidR="00470C03" w:rsidRPr="001B41D8">
      <w:rPr>
        <w:position w:val="4"/>
      </w:rPr>
      <w:t>Author’s Names</w:t>
    </w:r>
  </w:p>
  <w:p w14:paraId="1AEC7847" w14:textId="77777777" w:rsidR="00470C03" w:rsidRPr="005D2A3F" w:rsidRDefault="00470C03" w:rsidP="00363D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8684A6" w14:textId="5C52C650" w:rsidR="00470C03" w:rsidRPr="00A113F7" w:rsidRDefault="00E27BBA" w:rsidP="00363DC9">
    <w:pPr>
      <w:pStyle w:val="Header"/>
      <w:jc w:val="right"/>
    </w:pPr>
    <w:r>
      <w:rPr>
        <w:noProof/>
      </w:rPr>
      <mc:AlternateContent>
        <mc:Choice Requires="wpg">
          <w:drawing>
            <wp:anchor distT="0" distB="0" distL="114300" distR="114300" simplePos="0" relativeHeight="251658240" behindDoc="1" locked="1" layoutInCell="1" allowOverlap="1" wp14:anchorId="6CE6A18D" wp14:editId="2B1B95E9">
              <wp:simplePos x="0" y="0"/>
              <wp:positionH relativeFrom="page">
                <wp:align>center</wp:align>
              </wp:positionH>
              <wp:positionV relativeFrom="page">
                <wp:align>center</wp:align>
              </wp:positionV>
              <wp:extent cx="6668770" cy="9638665"/>
              <wp:effectExtent l="0" t="0" r="17780" b="19685"/>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18" name="Group 18"/>
                      <wpg:cNvGrpSpPr>
                        <a:grpSpLocks/>
                      </wpg:cNvGrpSpPr>
                      <wpg:grpSpPr bwMode="auto">
                        <a:xfrm>
                          <a:off x="691" y="819"/>
                          <a:ext cx="10502" cy="576"/>
                          <a:chOff x="693" y="819"/>
                          <a:chExt cx="10502" cy="576"/>
                        </a:xfrm>
                      </wpg:grpSpPr>
                      <wpg:grpSp>
                        <wpg:cNvPr id="19" name="Group 19"/>
                        <wpg:cNvGrpSpPr>
                          <a:grpSpLocks/>
                        </wpg:cNvGrpSpPr>
                        <wpg:grpSpPr bwMode="auto">
                          <a:xfrm>
                            <a:off x="693" y="819"/>
                            <a:ext cx="582" cy="576"/>
                            <a:chOff x="691" y="821"/>
                            <a:chExt cx="582" cy="576"/>
                          </a:xfrm>
                        </wpg:grpSpPr>
                        <wps:wsp>
                          <wps:cNvPr id="20" name="Line 2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1" name="Line 2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2" name="Group 22"/>
                        <wpg:cNvGrpSpPr>
                          <a:grpSpLocks/>
                        </wpg:cNvGrpSpPr>
                        <wpg:grpSpPr bwMode="auto">
                          <a:xfrm flipH="1">
                            <a:off x="10613" y="819"/>
                            <a:ext cx="582" cy="576"/>
                            <a:chOff x="691" y="821"/>
                            <a:chExt cx="582" cy="576"/>
                          </a:xfrm>
                        </wpg:grpSpPr>
                        <wps:wsp>
                          <wps:cNvPr id="23" name="Line 23"/>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4" name="Line 24"/>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25" name="Group 25"/>
                      <wpg:cNvGrpSpPr>
                        <a:grpSpLocks/>
                      </wpg:cNvGrpSpPr>
                      <wpg:grpSpPr bwMode="auto">
                        <a:xfrm flipV="1">
                          <a:off x="691" y="15422"/>
                          <a:ext cx="10502" cy="576"/>
                          <a:chOff x="693" y="819"/>
                          <a:chExt cx="10502" cy="576"/>
                        </a:xfrm>
                      </wpg:grpSpPr>
                      <wpg:grpSp>
                        <wpg:cNvPr id="26" name="Group 26"/>
                        <wpg:cNvGrpSpPr>
                          <a:grpSpLocks/>
                        </wpg:cNvGrpSpPr>
                        <wpg:grpSpPr bwMode="auto">
                          <a:xfrm>
                            <a:off x="693" y="819"/>
                            <a:ext cx="582" cy="576"/>
                            <a:chOff x="691" y="821"/>
                            <a:chExt cx="582" cy="576"/>
                          </a:xfrm>
                        </wpg:grpSpPr>
                        <wps:wsp>
                          <wps:cNvPr id="27" name="Line 27"/>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8" name="Line 28"/>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9" name="Group 29"/>
                        <wpg:cNvGrpSpPr>
                          <a:grpSpLocks/>
                        </wpg:cNvGrpSpPr>
                        <wpg:grpSpPr bwMode="auto">
                          <a:xfrm flipH="1">
                            <a:off x="10613" y="819"/>
                            <a:ext cx="582" cy="576"/>
                            <a:chOff x="691" y="821"/>
                            <a:chExt cx="582" cy="576"/>
                          </a:xfrm>
                        </wpg:grpSpPr>
                        <wps:wsp>
                          <wps:cNvPr id="30" name="Line 3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1" name="Line 3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3800DF51" id="Group 17" o:spid="_x0000_s1026" style="position:absolute;margin-left:0;margin-top:0;width:525.1pt;height:758.95pt;z-index:-251658240;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">
              <v:group id="Group 18"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group id="Group 19"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line id="Line 20"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" strokeweight=".25pt"/>
                  <v:line id="Line 21"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" strokeweight=".25pt"/>
                </v:group>
                <v:group id="Group 22"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">
                  <v:line id="Line 23"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" strokeweight=".25pt"/>
                  <v:line id="Line 24"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" strokeweight=".25pt"/>
                </v:group>
              </v:group>
              <v:group id="Group 25"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">
                <v:group id="Group 26"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line id="Line 27"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" strokeweight=".25pt"/>
                  <v:line id="Line 28"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" strokeweight=".25pt"/>
                </v:group>
                <v:group id="Group 29"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">
                  <v:line id="Line 30"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" strokeweight=".25pt"/>
                  <v:line id="Line 31"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" strokeweight=".25pt"/>
                </v:group>
              </v:group>
              <w10:wrap anchorx="page" anchory="page"/>
              <w10:anchorlock/>
            </v:group>
          </w:pict>
        </mc:Fallback>
      </mc:AlternateContent>
    </w:r>
    <w:r w:rsidR="00470C03" w:rsidRPr="00C739CF">
      <w:rPr>
        <w:position w:val="4"/>
      </w:rPr>
      <w:t xml:space="preserve">Instructions for Typing Manuscripts (Paper’s </w:t>
    </w:r>
    <w:proofErr w:type="gramStart"/>
    <w:r w:rsidR="00470C03" w:rsidRPr="00C739CF">
      <w:rPr>
        <w:position w:val="4"/>
      </w:rPr>
      <w:t>Title)</w:t>
    </w:r>
    <w:r w:rsidR="00470C03">
      <w:rPr>
        <w:rStyle w:val="PageNumber"/>
        <w:i w:val="0"/>
        <w:position w:val="4"/>
      </w:rPr>
      <w:t>   </w:t>
    </w:r>
    <w:proofErr w:type="gramEnd"/>
    <w:r w:rsidR="00470C03">
      <w:rPr>
        <w:rStyle w:val="PageNumber"/>
        <w:i w:val="0"/>
        <w:position w:val="4"/>
      </w:rPr>
      <w:t>  </w:t>
    </w:r>
    <w:r w:rsidR="00470C03" w:rsidRPr="00C739CF">
      <w:rPr>
        <w:rStyle w:val="PageNumber"/>
        <w:i w:val="0"/>
        <w:position w:val="4"/>
      </w:rPr>
      <w:fldChar w:fldCharType="begin"/>
    </w:r>
    <w:r w:rsidR="00470C03" w:rsidRPr="00C739CF">
      <w:rPr>
        <w:rStyle w:val="PageNumber"/>
        <w:i w:val="0"/>
        <w:position w:val="4"/>
      </w:rPr>
      <w:instrText xml:space="preserve"> PAGE </w:instrText>
    </w:r>
    <w:r w:rsidR="00470C03" w:rsidRPr="00C739CF">
      <w:rPr>
        <w:rStyle w:val="PageNumber"/>
        <w:i w:val="0"/>
        <w:position w:val="4"/>
      </w:rPr>
      <w:fldChar w:fldCharType="separate"/>
    </w:r>
    <w:r w:rsidR="002A3908">
      <w:rPr>
        <w:rStyle w:val="PageNumber"/>
        <w:i w:val="0"/>
        <w:noProof/>
        <w:position w:val="4"/>
      </w:rPr>
      <w:t>5</w:t>
    </w:r>
    <w:r w:rsidR="00470C03" w:rsidRPr="00C739CF">
      <w:rPr>
        <w:rStyle w:val="PageNumber"/>
        <w:i w:val="0"/>
        <w:position w:val="4"/>
      </w:rPr>
      <w:fldChar w:fldCharType="end"/>
    </w:r>
  </w:p>
  <w:p w14:paraId="799B9078" w14:textId="77777777" w:rsidR="00470C03" w:rsidRPr="00000161" w:rsidRDefault="00470C03" w:rsidP="00363DC9">
    <w:pPr>
      <w:spacing w:line="200" w:lineRule="exac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50CC5F" w14:textId="710CABA5" w:rsidR="00470C03" w:rsidRPr="003D502E" w:rsidRDefault="00E27BBA" w:rsidP="00363DC9">
    <w:pPr>
      <w:pStyle w:val="Header"/>
      <w:rPr>
        <w:i w:val="0"/>
        <w:snapToGrid w:val="0"/>
        <w:position w:val="4"/>
      </w:rPr>
    </w:pPr>
    <w:r>
      <w:rPr>
        <w:noProof/>
      </w:rPr>
      <mc:AlternateContent>
        <mc:Choice Requires="wpg">
          <w:drawing>
            <wp:anchor distT="0" distB="0" distL="114300" distR="114300" simplePos="0" relativeHeight="251657216" behindDoc="0" locked="1" layoutInCell="1" allowOverlap="1" wp14:anchorId="66D08300" wp14:editId="6FDE61C5">
              <wp:simplePos x="0" y="0"/>
              <wp:positionH relativeFrom="page">
                <wp:align>center</wp:align>
              </wp:positionH>
              <wp:positionV relativeFrom="page">
                <wp:align>center</wp:align>
              </wp:positionV>
              <wp:extent cx="6668770" cy="9638665"/>
              <wp:effectExtent l="0" t="0" r="17780" b="19685"/>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 name="Group 3"/>
                      <wpg:cNvGrpSpPr>
                        <a:grpSpLocks/>
                      </wpg:cNvGrpSpPr>
                      <wpg:grpSpPr bwMode="auto">
                        <a:xfrm>
                          <a:off x="691" y="819"/>
                          <a:ext cx="10502" cy="576"/>
                          <a:chOff x="693" y="819"/>
                          <a:chExt cx="10502" cy="576"/>
                        </a:xfrm>
                      </wpg:grpSpPr>
                      <wpg:grpSp>
                        <wpg:cNvPr id="4" name="Group 4"/>
                        <wpg:cNvGrpSpPr>
                          <a:grpSpLocks/>
                        </wpg:cNvGrpSpPr>
                        <wpg:grpSpPr bwMode="auto">
                          <a:xfrm>
                            <a:off x="693" y="819"/>
                            <a:ext cx="582" cy="576"/>
                            <a:chOff x="691" y="821"/>
                            <a:chExt cx="582" cy="576"/>
                          </a:xfrm>
                        </wpg:grpSpPr>
                        <wps:wsp>
                          <wps:cNvPr id="5" name="Line 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6" name="Line 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7" name="Group 7"/>
                        <wpg:cNvGrpSpPr>
                          <a:grpSpLocks/>
                        </wpg:cNvGrpSpPr>
                        <wpg:grpSpPr bwMode="auto">
                          <a:xfrm flipH="1">
                            <a:off x="10613" y="819"/>
                            <a:ext cx="582" cy="576"/>
                            <a:chOff x="691" y="821"/>
                            <a:chExt cx="582" cy="576"/>
                          </a:xfrm>
                        </wpg:grpSpPr>
                        <wps:wsp>
                          <wps:cNvPr id="8" name="Line 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9" name="Line 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0" name="Group 10"/>
                      <wpg:cNvGrpSpPr>
                        <a:grpSpLocks/>
                      </wpg:cNvGrpSpPr>
                      <wpg:grpSpPr bwMode="auto">
                        <a:xfrm flipV="1">
                          <a:off x="691" y="15422"/>
                          <a:ext cx="10502" cy="576"/>
                          <a:chOff x="693" y="819"/>
                          <a:chExt cx="10502" cy="576"/>
                        </a:xfrm>
                      </wpg:grpSpPr>
                      <wpg:grpSp>
                        <wpg:cNvPr id="11" name="Group 11"/>
                        <wpg:cNvGrpSpPr>
                          <a:grpSpLocks/>
                        </wpg:cNvGrpSpPr>
                        <wpg:grpSpPr bwMode="auto">
                          <a:xfrm>
                            <a:off x="693" y="819"/>
                            <a:ext cx="582" cy="576"/>
                            <a:chOff x="691" y="821"/>
                            <a:chExt cx="582" cy="576"/>
                          </a:xfrm>
                        </wpg:grpSpPr>
                        <wps:wsp>
                          <wps:cNvPr id="12" name="Line 1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3" name="Line 1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14" name="Group 14"/>
                        <wpg:cNvGrpSpPr>
                          <a:grpSpLocks/>
                        </wpg:cNvGrpSpPr>
                        <wpg:grpSpPr bwMode="auto">
                          <a:xfrm flipH="1">
                            <a:off x="10613" y="819"/>
                            <a:ext cx="582" cy="576"/>
                            <a:chOff x="691" y="821"/>
                            <a:chExt cx="582" cy="576"/>
                          </a:xfrm>
                        </wpg:grpSpPr>
                        <wps:wsp>
                          <wps:cNvPr id="15" name="Line 1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6" name="Line 1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3746178" id="Group 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">
              <v:group id="Group 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Line 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" strokeweight=".25pt"/>
                  <v:line id="Line 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" strokeweight=".25pt"/>
                </v:group>
                <v:group id="Group 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">
                  <v:line id="Line 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" strokeweight=".25pt"/>
                  <v:line id="Line 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" strokeweight=".25pt"/>
                </v:group>
              </v:group>
              <v:group id="Group 1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">
                <v:group id="Group 1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line id="Line 1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" strokeweight=".25pt"/>
                  <v:line id="Line 1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" strokeweight=".25pt"/>
                </v:group>
                <v:group id="Group 1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line id="Line 1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" strokeweight=".25pt"/>
                  <v:line id="Line 1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" strokeweight=".25pt"/>
                </v:group>
              </v:group>
              <w10:wrap anchorx="page" anchory="page"/>
              <w10:anchorlock/>
            </v:group>
          </w:pict>
        </mc:Fallback>
      </mc:AlternateContent>
    </w:r>
    <w:r w:rsidR="00470C03" w:rsidRPr="000E3AEC">
      <w:rPr>
        <w:i w:val="0"/>
        <w:position w:val="4"/>
      </w:rPr>
      <w:t>Journal of Earthquake and Tsunami</w:t>
    </w:r>
  </w:p>
  <w:p w14:paraId="00BD39C6" w14:textId="77777777" w:rsidR="00470C03" w:rsidRPr="00882FDA" w:rsidRDefault="00470C03" w:rsidP="00363DC9">
    <w:pPr>
      <w:pStyle w:val="Header"/>
      <w:rPr>
        <w:i w:val="0"/>
        <w:position w:val="4"/>
      </w:rPr>
    </w:pPr>
    <w:r w:rsidRPr="00882FDA">
      <w:rPr>
        <w:i w:val="0"/>
        <w:snapToGrid w:val="0"/>
        <w:position w:val="4"/>
      </w:rPr>
      <w:sym w:font="Symbol" w:char="F0D3"/>
    </w:r>
    <w:r w:rsidRPr="00882FDA">
      <w:rPr>
        <w:i w:val="0"/>
        <w:snapToGrid w:val="0"/>
        <w:position w:val="4"/>
      </w:rPr>
      <w:t xml:space="preserve"> World Scientific Publishing Company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42357CC"/>
    <w:multiLevelType w:val="singleLevel"/>
    <w:tmpl w:val="E736C696"/>
    <w:lvl w:ilvl="0">
      <w:start w:val="1"/>
      <w:numFmt w:val="lowerLetter"/>
      <w:lvlText w:val="(%1)"/>
      <w:lvlJc w:val="right"/>
      <w:pPr>
        <w:tabs>
          <w:tab w:pos="360" w:val="num"/>
        </w:tabs>
        <w:ind w:hanging="72" w:left="360"/>
      </w:pPr>
    </w:lvl>
  </w:abstractNum>
  <w:abstractNum w15:restartNumberingAfterBreak="0" w:abstractNumId="1">
    <w:nsid w:val="06F221C9"/>
    <w:multiLevelType w:val="singleLevel"/>
    <w:tmpl w:val="66F66440"/>
    <w:lvl w:ilvl="0">
      <w:start w:val="1"/>
      <w:numFmt w:val="decimal"/>
      <w:lvlText w:val="%1."/>
      <w:lvlJc w:val="right"/>
      <w:pPr>
        <w:tabs>
          <w:tab w:pos="360" w:val="num"/>
        </w:tabs>
        <w:ind w:hanging="72" w:left="360"/>
      </w:pPr>
    </w:lvl>
  </w:abstractNum>
  <w:abstractNum w15:restartNumberingAfterBreak="0" w:abstractNumId="2">
    <w:nsid w:val="090D6090"/>
    <w:multiLevelType w:val="multilevel"/>
    <w:tmpl w:val="CCEAA86A"/>
    <w:lvl w:ilvl="0">
      <w:start w:val="1"/>
      <w:numFmt w:val="decimal"/>
      <w:pStyle w:val="Romanlist"/>
      <w:lvlText w:val="(%1)"/>
      <w:lvlJc w:val="left"/>
      <w:pPr>
        <w:tabs>
          <w:tab w:pos="360" w:val="num"/>
        </w:tabs>
        <w:ind w:hanging="360" w:left="360"/>
      </w:pPr>
      <w:rPr>
        <w:rFonts w:ascii="Times New Roman" w:hAnsi="Times New Roman" w:hint="default"/>
        <w:b w:val="0"/>
        <w:i w:val="0"/>
        <w:sz w:val="22"/>
      </w:rPr>
    </w:lvl>
    <w:lvl w:ilvl="1" w:tentative="1">
      <w:start w:val="1"/>
      <w:numFmt w:val="lowerLetter"/>
      <w:lvlText w:val="%2."/>
      <w:lvlJc w:val="left"/>
      <w:pPr>
        <w:tabs>
          <w:tab w:pos="1440" w:val="num"/>
        </w:tabs>
        <w:ind w:hanging="360" w:left="1440"/>
      </w:pPr>
    </w:lvl>
    <w:lvl w:ilvl="2" w:tentative="1">
      <w:start w:val="1"/>
      <w:numFmt w:val="lowerRoman"/>
      <w:lvlText w:val="%3."/>
      <w:lvlJc w:val="right"/>
      <w:pPr>
        <w:tabs>
          <w:tab w:pos="2160" w:val="num"/>
        </w:tabs>
        <w:ind w:hanging="180" w:left="2160"/>
      </w:pPr>
    </w:lvl>
    <w:lvl w:ilvl="3" w:tentative="1">
      <w:start w:val="1"/>
      <w:numFmt w:val="decimal"/>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Roman"/>
      <w:lvlText w:val="%6."/>
      <w:lvlJc w:val="right"/>
      <w:pPr>
        <w:tabs>
          <w:tab w:pos="4320" w:val="num"/>
        </w:tabs>
        <w:ind w:hanging="180" w:left="4320"/>
      </w:pPr>
    </w:lvl>
    <w:lvl w:ilvl="6" w:tentative="1">
      <w:start w:val="1"/>
      <w:numFmt w:val="decimal"/>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Roman"/>
      <w:lvlText w:val="%9."/>
      <w:lvlJc w:val="right"/>
      <w:pPr>
        <w:tabs>
          <w:tab w:pos="6480" w:val="num"/>
        </w:tabs>
        <w:ind w:hanging="180" w:left="6480"/>
      </w:pPr>
    </w:lvl>
  </w:abstractNum>
  <w:abstractNum w15:restartNumberingAfterBreak="0" w:abstractNumId="3">
    <w:nsid w:val="14F53031"/>
    <w:multiLevelType w:val="singleLevel"/>
    <w:tmpl w:val="1BFE2A58"/>
    <w:lvl w:ilvl="0">
      <w:start w:val="1"/>
      <w:numFmt w:val="decimal"/>
      <w:lvlText w:val="(%1)"/>
      <w:lvlJc w:val="right"/>
      <w:pPr>
        <w:tabs>
          <w:tab w:pos="360" w:val="num"/>
        </w:tabs>
        <w:ind w:hanging="72" w:left="360"/>
      </w:pPr>
    </w:lvl>
  </w:abstractNum>
  <w:abstractNum w15:restartNumberingAfterBreak="0" w:abstractNumId="4">
    <w:nsid w:val="15004DF9"/>
    <w:multiLevelType w:val="hybridMultilevel"/>
    <w:tmpl w:val="0E8C54F0"/>
    <w:lvl w:ilvl="0" w:tplc="A2CE462C">
      <w:start w:val="1"/>
      <w:numFmt w:val="decimal"/>
      <w:pStyle w:val="StyleReferenceLeft0Hanging025"/>
      <w:lvlText w:val="%1."/>
      <w:lvlJc w:val="right"/>
      <w:pPr>
        <w:tabs>
          <w:tab w:pos="1152" w:val="num"/>
        </w:tabs>
        <w:ind w:hanging="864" w:left="1152"/>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1BAB2A10"/>
    <w:multiLevelType w:val="singleLevel"/>
    <w:tmpl w:val="D97E4644"/>
    <w:lvl w:ilvl="0">
      <w:start w:val="1"/>
      <w:numFmt w:val="lowerRoman"/>
      <w:lvlText w:val="(%1)"/>
      <w:lvlJc w:val="right"/>
      <w:pPr>
        <w:tabs>
          <w:tab w:pos="396" w:val="num"/>
        </w:tabs>
        <w:ind w:hanging="180" w:left="396"/>
      </w:pPr>
      <w:rPr>
        <w:rFonts w:hint="default"/>
      </w:rPr>
    </w:lvl>
  </w:abstractNum>
  <w:abstractNum w15:restartNumberingAfterBreak="0" w:abstractNumId="6">
    <w:nsid w:val="271C151F"/>
    <w:multiLevelType w:val="hybridMultilevel"/>
    <w:tmpl w:val="DA14F474"/>
    <w:lvl w:ilvl="0" w:tplc="82DE1772">
      <w:start w:val="1"/>
      <w:numFmt w:val="bullet"/>
      <w:pStyle w:val="itemlist"/>
      <w:lvlText w:val=""/>
      <w:lvlJc w:val="left"/>
      <w:pPr>
        <w:tabs>
          <w:tab w:pos="360" w:val="num"/>
        </w:tabs>
        <w:ind w:hanging="274" w:left="274"/>
      </w:pPr>
      <w:rPr>
        <w:rFonts w:ascii="Symbol" w:hAnsi="Symbol" w:hint="default"/>
      </w:rPr>
    </w:lvl>
    <w:lvl w:ilvl="1" w:tentative="1" w:tplc="DB62BBA4">
      <w:start w:val="1"/>
      <w:numFmt w:val="bullet"/>
      <w:lvlText w:val="o"/>
      <w:lvlJc w:val="left"/>
      <w:pPr>
        <w:tabs>
          <w:tab w:pos="1440" w:val="num"/>
        </w:tabs>
        <w:ind w:hanging="360" w:left="1440"/>
      </w:pPr>
      <w:rPr>
        <w:rFonts w:ascii="Courier New" w:hAnsi="Courier New" w:hint="default"/>
      </w:rPr>
    </w:lvl>
    <w:lvl w:ilvl="2" w:tentative="1" w:tplc="F87A2772">
      <w:start w:val="1"/>
      <w:numFmt w:val="bullet"/>
      <w:lvlText w:val=""/>
      <w:lvlJc w:val="left"/>
      <w:pPr>
        <w:tabs>
          <w:tab w:pos="2160" w:val="num"/>
        </w:tabs>
        <w:ind w:hanging="360" w:left="2160"/>
      </w:pPr>
      <w:rPr>
        <w:rFonts w:ascii="Wingdings" w:hAnsi="Wingdings" w:hint="default"/>
      </w:rPr>
    </w:lvl>
    <w:lvl w:ilvl="3" w:tentative="1" w:tplc="CCA42AAC">
      <w:start w:val="1"/>
      <w:numFmt w:val="bullet"/>
      <w:lvlText w:val=""/>
      <w:lvlJc w:val="left"/>
      <w:pPr>
        <w:tabs>
          <w:tab w:pos="2880" w:val="num"/>
        </w:tabs>
        <w:ind w:hanging="360" w:left="2880"/>
      </w:pPr>
      <w:rPr>
        <w:rFonts w:ascii="Symbol" w:hAnsi="Symbol" w:hint="default"/>
      </w:rPr>
    </w:lvl>
    <w:lvl w:ilvl="4" w:tentative="1" w:tplc="73668262">
      <w:start w:val="1"/>
      <w:numFmt w:val="bullet"/>
      <w:lvlText w:val="o"/>
      <w:lvlJc w:val="left"/>
      <w:pPr>
        <w:tabs>
          <w:tab w:pos="3600" w:val="num"/>
        </w:tabs>
        <w:ind w:hanging="360" w:left="3600"/>
      </w:pPr>
      <w:rPr>
        <w:rFonts w:ascii="Courier New" w:hAnsi="Courier New" w:hint="default"/>
      </w:rPr>
    </w:lvl>
    <w:lvl w:ilvl="5" w:tentative="1" w:tplc="81DEAABA">
      <w:start w:val="1"/>
      <w:numFmt w:val="bullet"/>
      <w:lvlText w:val=""/>
      <w:lvlJc w:val="left"/>
      <w:pPr>
        <w:tabs>
          <w:tab w:pos="4320" w:val="num"/>
        </w:tabs>
        <w:ind w:hanging="360" w:left="4320"/>
      </w:pPr>
      <w:rPr>
        <w:rFonts w:ascii="Wingdings" w:hAnsi="Wingdings" w:hint="default"/>
      </w:rPr>
    </w:lvl>
    <w:lvl w:ilvl="6" w:tentative="1" w:tplc="2D36F4C2">
      <w:start w:val="1"/>
      <w:numFmt w:val="bullet"/>
      <w:lvlText w:val=""/>
      <w:lvlJc w:val="left"/>
      <w:pPr>
        <w:tabs>
          <w:tab w:pos="5040" w:val="num"/>
        </w:tabs>
        <w:ind w:hanging="360" w:left="5040"/>
      </w:pPr>
      <w:rPr>
        <w:rFonts w:ascii="Symbol" w:hAnsi="Symbol" w:hint="default"/>
      </w:rPr>
    </w:lvl>
    <w:lvl w:ilvl="7" w:tentative="1" w:tplc="477487C8">
      <w:start w:val="1"/>
      <w:numFmt w:val="bullet"/>
      <w:lvlText w:val="o"/>
      <w:lvlJc w:val="left"/>
      <w:pPr>
        <w:tabs>
          <w:tab w:pos="5760" w:val="num"/>
        </w:tabs>
        <w:ind w:hanging="360" w:left="5760"/>
      </w:pPr>
      <w:rPr>
        <w:rFonts w:ascii="Courier New" w:hAnsi="Courier New" w:hint="default"/>
      </w:rPr>
    </w:lvl>
    <w:lvl w:ilvl="8" w:tentative="1" w:tplc="87844CD6">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4F831C8D"/>
    <w:multiLevelType w:val="singleLevel"/>
    <w:tmpl w:val="A8BCB5AE"/>
    <w:lvl w:ilvl="0">
      <w:start w:val="1"/>
      <w:numFmt w:val="bullet"/>
      <w:pStyle w:val="List"/>
      <w:lvlText w:val=""/>
      <w:lvlJc w:val="left"/>
      <w:pPr>
        <w:tabs>
          <w:tab w:pos="360" w:val="num"/>
        </w:tabs>
        <w:ind w:hanging="360" w:left="360"/>
      </w:pPr>
      <w:rPr>
        <w:rFonts w:ascii="Symbol" w:hAnsi="Symbol" w:hint="default"/>
      </w:rPr>
    </w:lvl>
  </w:abstractNum>
  <w:abstractNum w15:restartNumberingAfterBreak="0" w:abstractNumId="8">
    <w:nsid w:val="53D26788"/>
    <w:multiLevelType w:val="singleLevel"/>
    <w:tmpl w:val="B2A88328"/>
    <w:lvl w:ilvl="0">
      <w:start w:val="1"/>
      <w:numFmt w:val="lowerLetter"/>
      <w:pStyle w:val="AList"/>
      <w:lvlText w:val="(%1)"/>
      <w:lvlJc w:val="left"/>
      <w:pPr>
        <w:tabs>
          <w:tab w:pos="360" w:val="num"/>
        </w:tabs>
        <w:ind w:hanging="360" w:left="360"/>
      </w:pPr>
    </w:lvl>
  </w:abstractNum>
  <w:abstractNum w15:restartNumberingAfterBreak="0" w:abstractNumId="9">
    <w:nsid w:val="5B0B6E89"/>
    <w:multiLevelType w:val="multilevel"/>
    <w:tmpl w:val="ABEE669E"/>
    <w:lvl w:ilvl="0">
      <w:start w:val="1"/>
      <w:numFmt w:val="decimal"/>
      <w:lvlText w:val="%1"/>
      <w:lvlJc w:val="left"/>
      <w:pPr>
        <w:tabs>
          <w:tab w:pos="360" w:val="num"/>
        </w:tabs>
        <w:ind w:hanging="360" w:left="360"/>
      </w:pPr>
      <w:rPr>
        <w:rFonts w:hint="default"/>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720" w:val="num"/>
        </w:tabs>
        <w:ind w:hanging="720" w:left="72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080" w:val="num"/>
        </w:tabs>
        <w:ind w:hanging="1080" w:left="108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648470FA"/>
    <w:multiLevelType w:val="multilevel"/>
    <w:tmpl w:val="B2AE2B60"/>
    <w:lvl w:ilvl="0">
      <w:start w:val="1"/>
      <w:numFmt w:val="upperLetter"/>
      <w:pStyle w:val="Appendix1"/>
      <w:suff w:val="nothing"/>
      <w:lvlText w:val="Appendix %1.   "/>
      <w:lvlJc w:val="left"/>
      <w:pPr>
        <w:ind w:hanging="300" w:left="300"/>
      </w:pPr>
      <w:rPr>
        <w:rFonts w:hint="default"/>
        <w:color w:val="auto"/>
      </w:rPr>
    </w:lvl>
    <w:lvl w:ilvl="1">
      <w:start w:val="1"/>
      <w:numFmt w:val="decimal"/>
      <w:pStyle w:val="Appendix2"/>
      <w:suff w:val="nothing"/>
      <w:lvlText w:val="%1.%2.  "/>
      <w:lvlJc w:val="left"/>
      <w:pPr>
        <w:ind w:hanging="510" w:left="510"/>
      </w:pPr>
      <w:rPr>
        <w:rFonts w:ascii="Times New Roman" w:hAnsi="Times New Roman" w:hint="default"/>
        <w:b/>
        <w:i w:val="0"/>
        <w:sz w:val="20"/>
      </w:rPr>
    </w:lvl>
    <w:lvl w:ilvl="2">
      <w:start w:val="1"/>
      <w:numFmt w:val="decimal"/>
      <w:pStyle w:val="Appendix3"/>
      <w:suff w:val="nothing"/>
      <w:lvlText w:val="%1.%2.%3.  "/>
      <w:lvlJc w:val="left"/>
      <w:pPr>
        <w:ind w:hanging="288" w:left="288"/>
      </w:pPr>
      <w:rPr>
        <w:rFonts w:hint="default"/>
        <w:b w:val="0"/>
        <w:i w:val="0"/>
      </w:rPr>
    </w:lvl>
    <w:lvl w:ilvl="3">
      <w:start w:val="1"/>
      <w:numFmt w:val="decimal"/>
      <w:lvlText w:val="%1.%2.%3.%4."/>
      <w:lvlJc w:val="left"/>
      <w:pPr>
        <w:tabs>
          <w:tab w:pos="2160" w:val="num"/>
        </w:tabs>
        <w:ind w:hanging="648" w:left="1728"/>
      </w:pPr>
      <w:rPr>
        <w:rFonts w:hint="default"/>
      </w:rPr>
    </w:lvl>
    <w:lvl w:ilvl="4">
      <w:start w:val="1"/>
      <w:numFmt w:val="decimal"/>
      <w:lvlText w:val="%1.%2.%3.%4.%5."/>
      <w:lvlJc w:val="left"/>
      <w:pPr>
        <w:tabs>
          <w:tab w:pos="2880" w:val="num"/>
        </w:tabs>
        <w:ind w:hanging="792" w:left="2232"/>
      </w:pPr>
      <w:rPr>
        <w:rFonts w:hint="default"/>
      </w:rPr>
    </w:lvl>
    <w:lvl w:ilvl="5">
      <w:start w:val="1"/>
      <w:numFmt w:val="decimal"/>
      <w:lvlText w:val="%1.%2.%3.%4.%5.%6."/>
      <w:lvlJc w:val="left"/>
      <w:pPr>
        <w:tabs>
          <w:tab w:pos="3600" w:val="num"/>
        </w:tabs>
        <w:ind w:hanging="936" w:left="2736"/>
      </w:pPr>
      <w:rPr>
        <w:rFonts w:hint="default"/>
      </w:rPr>
    </w:lvl>
    <w:lvl w:ilvl="6">
      <w:start w:val="1"/>
      <w:numFmt w:val="decimal"/>
      <w:lvlText w:val="%1.%2.%3.%4.%5.%6.%7."/>
      <w:lvlJc w:val="left"/>
      <w:pPr>
        <w:tabs>
          <w:tab w:pos="4320" w:val="num"/>
        </w:tabs>
        <w:ind w:hanging="1080" w:left="3240"/>
      </w:pPr>
      <w:rPr>
        <w:rFonts w:hint="default"/>
      </w:rPr>
    </w:lvl>
    <w:lvl w:ilvl="7">
      <w:start w:val="1"/>
      <w:numFmt w:val="decimal"/>
      <w:lvlText w:val="%1.%2.%3.%4.%5.%6.%7.%8."/>
      <w:lvlJc w:val="left"/>
      <w:pPr>
        <w:tabs>
          <w:tab w:pos="4680" w:val="num"/>
        </w:tabs>
        <w:ind w:hanging="1224" w:left="3744"/>
      </w:pPr>
      <w:rPr>
        <w:rFonts w:hint="default"/>
      </w:rPr>
    </w:lvl>
    <w:lvl w:ilvl="8">
      <w:start w:val="1"/>
      <w:numFmt w:val="decimal"/>
      <w:lvlText w:val="%1.%2.%3.%4.%5.%6.%7.%8.%9."/>
      <w:lvlJc w:val="left"/>
      <w:pPr>
        <w:tabs>
          <w:tab w:pos="5400" w:val="num"/>
        </w:tabs>
        <w:ind w:hanging="1440" w:left="4320"/>
      </w:pPr>
      <w:rPr>
        <w:rFonts w:hint="default"/>
      </w:rPr>
    </w:lvl>
  </w:abstractNum>
  <w:abstractNum w15:restartNumberingAfterBreak="0" w:abstractNumId="11">
    <w:nsid w:val="66981FEA"/>
    <w:multiLevelType w:val="multilevel"/>
    <w:tmpl w:val="1520CD38"/>
    <w:lvl w:ilvl="0">
      <w:start w:val="1"/>
      <w:numFmt w:val="decimal"/>
      <w:pStyle w:val="Heading1"/>
      <w:suff w:val="nothing"/>
      <w:lvlText w:val="%1.   "/>
      <w:lvlJc w:val="left"/>
      <w:pPr>
        <w:ind w:hanging="360" w:left="360"/>
      </w:pPr>
      <w:rPr>
        <w:rFonts w:ascii="Times New Roman" w:hAnsi="Times New Roman" w:hint="default"/>
        <w:b/>
        <w:i w:val="0"/>
        <w:sz w:val="20"/>
      </w:rPr>
    </w:lvl>
    <w:lvl w:ilvl="1">
      <w:start w:val="1"/>
      <w:numFmt w:val="decimal"/>
      <w:pStyle w:val="Heading2"/>
      <w:suff w:val="nothing"/>
      <w:lvlText w:val="%1.%2.   "/>
      <w:lvlJc w:val="left"/>
      <w:pPr>
        <w:ind w:hanging="360" w:left="360"/>
      </w:pPr>
      <w:rPr>
        <w:rFonts w:hint="default"/>
        <w:b/>
        <w:i w:val="0"/>
      </w:rPr>
    </w:lvl>
    <w:lvl w:ilvl="2">
      <w:start w:val="1"/>
      <w:numFmt w:val="decimal"/>
      <w:pStyle w:val="Heading3"/>
      <w:suff w:val="nothing"/>
      <w:lvlText w:val="%1.%2.%3.   "/>
      <w:lvlJc w:val="left"/>
      <w:pPr>
        <w:ind w:hanging="720" w:left="720"/>
      </w:pPr>
      <w:rPr>
        <w:rFonts w:ascii="Times New Roman" w:hAnsi="Times New Roman" w:hint="default"/>
        <w:b w:val="0"/>
        <w:i w:val="0"/>
        <w:sz w:val="20"/>
      </w:rPr>
    </w:lvl>
    <w:lvl w:ilvl="3">
      <w:start w:val="1"/>
      <w:numFmt w:val="decimal"/>
      <w:lvlText w:val="%1.%2.%3.%4."/>
      <w:lvlJc w:val="left"/>
      <w:pPr>
        <w:tabs>
          <w:tab w:pos="1800" w:val="num"/>
        </w:tabs>
        <w:ind w:hanging="648" w:left="1728"/>
      </w:pPr>
      <w:rPr>
        <w:rFonts w:hint="default"/>
      </w:rPr>
    </w:lvl>
    <w:lvl w:ilvl="4">
      <w:start w:val="1"/>
      <w:numFmt w:val="decimal"/>
      <w:lvlText w:val="%1.%2.%3.%4.%5."/>
      <w:lvlJc w:val="left"/>
      <w:pPr>
        <w:tabs>
          <w:tab w:pos="2520"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10"/>
  </w:num>
  <w:num w:numId="3">
    <w:abstractNumId w:val="10"/>
  </w:num>
  <w:num w:numId="4">
    <w:abstractNumId w:val="6"/>
  </w:num>
  <w:num w:numId="5">
    <w:abstractNumId w:val="7"/>
  </w:num>
  <w:num w:numId="6">
    <w:abstractNumId w:val="5"/>
  </w:num>
  <w:num w:numId="7">
    <w:abstractNumId w:val="2"/>
  </w:num>
  <w:num w:numId="8">
    <w:abstractNumId w:val="4"/>
  </w:num>
  <w:num w:numId="9">
    <w:abstractNumId w:val="5"/>
  </w:num>
  <w:num w:numId="10">
    <w:abstractNumId w:val="3"/>
  </w:num>
  <w:num w:numId="11">
    <w:abstractNumId w:val="0"/>
  </w:num>
  <w:num w:numId="12">
    <w:abstractNumId w:val="11"/>
  </w:num>
  <w:num w:numId="13">
    <w:abstractNumId w:val="1"/>
  </w:num>
  <w:num w:numId="14">
    <w:abstractNumId w:val="5"/>
  </w:num>
  <w:num w:numId="15">
    <w:abstractNumId w:val="8"/>
  </w:num>
  <w:num w:numId="16">
    <w:abstractNumId w:val="9"/>
  </w:num>
  <w:num w:numId="17">
    <w:abstractNumId w:val="11"/>
  </w:num>
  <w:num w:numId="18">
    <w:abstractNumId w:val="11"/>
  </w:num>
  <w:num w:numId="19">
    <w:abstractNumId w:val="11"/>
  </w:num>
  <w:num w:numId="20">
    <w:abstractNumId w:val="11"/>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lignBordersAndEdges/>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oNotHyphenateCaps/>
  <w:evenAndOddHeaders/>
  <w:drawingGridHorizontalSpacing w:val="100"/>
  <w:drawingGridVerticalSpacing w:val="360"/>
  <w:displayHorizontalDrawingGridEvery w:val="0"/>
  <w:displayVerticalDrawingGridEvery w:val="0"/>
  <w:noPunctuationKerning/>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938"/>
    <w:rsid w:val="00001C50"/>
    <w:rsid w:val="00003D68"/>
    <w:rsid w:val="00013B0C"/>
    <w:rsid w:val="00016257"/>
    <w:rsid w:val="00020167"/>
    <w:rsid w:val="00020210"/>
    <w:rsid w:val="00033BD9"/>
    <w:rsid w:val="00051955"/>
    <w:rsid w:val="00057DCC"/>
    <w:rsid w:val="000625DD"/>
    <w:rsid w:val="000633FB"/>
    <w:rsid w:val="00065834"/>
    <w:rsid w:val="00087B5E"/>
    <w:rsid w:val="0009139E"/>
    <w:rsid w:val="00091C29"/>
    <w:rsid w:val="000A5577"/>
    <w:rsid w:val="000A6D52"/>
    <w:rsid w:val="000A6F34"/>
    <w:rsid w:val="000C0C88"/>
    <w:rsid w:val="000C1D41"/>
    <w:rsid w:val="000C1F5B"/>
    <w:rsid w:val="000C72FD"/>
    <w:rsid w:val="000E3AEC"/>
    <w:rsid w:val="000E3D93"/>
    <w:rsid w:val="000F4A5C"/>
    <w:rsid w:val="000F7796"/>
    <w:rsid w:val="00112A41"/>
    <w:rsid w:val="00114C49"/>
    <w:rsid w:val="00124D5F"/>
    <w:rsid w:val="001275D4"/>
    <w:rsid w:val="001301C8"/>
    <w:rsid w:val="00144888"/>
    <w:rsid w:val="00154DD9"/>
    <w:rsid w:val="00161896"/>
    <w:rsid w:val="001649EC"/>
    <w:rsid w:val="00167979"/>
    <w:rsid w:val="00171DC5"/>
    <w:rsid w:val="00172CD7"/>
    <w:rsid w:val="00175383"/>
    <w:rsid w:val="0017610D"/>
    <w:rsid w:val="001761A3"/>
    <w:rsid w:val="0018714D"/>
    <w:rsid w:val="001924A4"/>
    <w:rsid w:val="001A3EE3"/>
    <w:rsid w:val="001A4B20"/>
    <w:rsid w:val="001A51D8"/>
    <w:rsid w:val="001A66F8"/>
    <w:rsid w:val="001B388D"/>
    <w:rsid w:val="001B5BCD"/>
    <w:rsid w:val="001B5D4D"/>
    <w:rsid w:val="001C1FA5"/>
    <w:rsid w:val="001C5A17"/>
    <w:rsid w:val="001D1207"/>
    <w:rsid w:val="001E1BA3"/>
    <w:rsid w:val="001E3A19"/>
    <w:rsid w:val="001F0577"/>
    <w:rsid w:val="001F08ED"/>
    <w:rsid w:val="001F3ECA"/>
    <w:rsid w:val="001F3F4A"/>
    <w:rsid w:val="002015B0"/>
    <w:rsid w:val="002015DE"/>
    <w:rsid w:val="00212ED2"/>
    <w:rsid w:val="00220E12"/>
    <w:rsid w:val="00221A97"/>
    <w:rsid w:val="00226F60"/>
    <w:rsid w:val="00231509"/>
    <w:rsid w:val="00237D98"/>
    <w:rsid w:val="002447E8"/>
    <w:rsid w:val="00252201"/>
    <w:rsid w:val="00252B20"/>
    <w:rsid w:val="002555A5"/>
    <w:rsid w:val="00256BAE"/>
    <w:rsid w:val="00260DFB"/>
    <w:rsid w:val="00262916"/>
    <w:rsid w:val="0027389F"/>
    <w:rsid w:val="002745A7"/>
    <w:rsid w:val="00274C25"/>
    <w:rsid w:val="00276D0A"/>
    <w:rsid w:val="0028159A"/>
    <w:rsid w:val="00287834"/>
    <w:rsid w:val="002960A8"/>
    <w:rsid w:val="002A040C"/>
    <w:rsid w:val="002A3908"/>
    <w:rsid w:val="002B11BD"/>
    <w:rsid w:val="002B70F1"/>
    <w:rsid w:val="002C4BF3"/>
    <w:rsid w:val="002D0AA3"/>
    <w:rsid w:val="002D59F8"/>
    <w:rsid w:val="002E53CF"/>
    <w:rsid w:val="002E735B"/>
    <w:rsid w:val="002F404C"/>
    <w:rsid w:val="002F51F3"/>
    <w:rsid w:val="00300F8B"/>
    <w:rsid w:val="003047C2"/>
    <w:rsid w:val="00305AC8"/>
    <w:rsid w:val="003068ED"/>
    <w:rsid w:val="00313976"/>
    <w:rsid w:val="00313C27"/>
    <w:rsid w:val="00314A2F"/>
    <w:rsid w:val="00315917"/>
    <w:rsid w:val="00320866"/>
    <w:rsid w:val="00320AFB"/>
    <w:rsid w:val="0032382C"/>
    <w:rsid w:val="00337A57"/>
    <w:rsid w:val="0034164E"/>
    <w:rsid w:val="00351ADF"/>
    <w:rsid w:val="00355223"/>
    <w:rsid w:val="00361C2F"/>
    <w:rsid w:val="00363DC9"/>
    <w:rsid w:val="00364AFC"/>
    <w:rsid w:val="00367247"/>
    <w:rsid w:val="00370AE4"/>
    <w:rsid w:val="00374325"/>
    <w:rsid w:val="003810F2"/>
    <w:rsid w:val="00386F00"/>
    <w:rsid w:val="003A0D42"/>
    <w:rsid w:val="003B11AE"/>
    <w:rsid w:val="003B3179"/>
    <w:rsid w:val="003B4588"/>
    <w:rsid w:val="003C4CB3"/>
    <w:rsid w:val="003D182E"/>
    <w:rsid w:val="003D38CC"/>
    <w:rsid w:val="003D502E"/>
    <w:rsid w:val="003D5B7F"/>
    <w:rsid w:val="003D6E98"/>
    <w:rsid w:val="003F3A7C"/>
    <w:rsid w:val="003F4490"/>
    <w:rsid w:val="003F6315"/>
    <w:rsid w:val="004006CF"/>
    <w:rsid w:val="00403EE2"/>
    <w:rsid w:val="0043436B"/>
    <w:rsid w:val="00435B27"/>
    <w:rsid w:val="004370AE"/>
    <w:rsid w:val="004470C1"/>
    <w:rsid w:val="00470AEF"/>
    <w:rsid w:val="00470C03"/>
    <w:rsid w:val="00471C41"/>
    <w:rsid w:val="00480166"/>
    <w:rsid w:val="00482F3B"/>
    <w:rsid w:val="00490561"/>
    <w:rsid w:val="004A1FC6"/>
    <w:rsid w:val="004A2C98"/>
    <w:rsid w:val="004A3722"/>
    <w:rsid w:val="004A50B8"/>
    <w:rsid w:val="004B47FA"/>
    <w:rsid w:val="004D67A6"/>
    <w:rsid w:val="004F3953"/>
    <w:rsid w:val="004F6434"/>
    <w:rsid w:val="004F7EC3"/>
    <w:rsid w:val="00502284"/>
    <w:rsid w:val="00504D92"/>
    <w:rsid w:val="0050697F"/>
    <w:rsid w:val="00512554"/>
    <w:rsid w:val="00517129"/>
    <w:rsid w:val="00520B12"/>
    <w:rsid w:val="005228CF"/>
    <w:rsid w:val="0053122F"/>
    <w:rsid w:val="00533364"/>
    <w:rsid w:val="00534906"/>
    <w:rsid w:val="00550781"/>
    <w:rsid w:val="00561842"/>
    <w:rsid w:val="00567399"/>
    <w:rsid w:val="00590802"/>
    <w:rsid w:val="00590E9A"/>
    <w:rsid w:val="00597967"/>
    <w:rsid w:val="005A7093"/>
    <w:rsid w:val="005B2E65"/>
    <w:rsid w:val="005B51D4"/>
    <w:rsid w:val="005C09F5"/>
    <w:rsid w:val="005C5695"/>
    <w:rsid w:val="005D0E99"/>
    <w:rsid w:val="005F44AC"/>
    <w:rsid w:val="00601DB3"/>
    <w:rsid w:val="0060503D"/>
    <w:rsid w:val="00610D51"/>
    <w:rsid w:val="0061336C"/>
    <w:rsid w:val="00613EEB"/>
    <w:rsid w:val="006166E6"/>
    <w:rsid w:val="006170F6"/>
    <w:rsid w:val="0062288B"/>
    <w:rsid w:val="00624356"/>
    <w:rsid w:val="006316A7"/>
    <w:rsid w:val="00647204"/>
    <w:rsid w:val="00647F33"/>
    <w:rsid w:val="00656E7C"/>
    <w:rsid w:val="006603D7"/>
    <w:rsid w:val="006636E6"/>
    <w:rsid w:val="0066491B"/>
    <w:rsid w:val="006653C4"/>
    <w:rsid w:val="00667A34"/>
    <w:rsid w:val="00670484"/>
    <w:rsid w:val="006706BF"/>
    <w:rsid w:val="0067398D"/>
    <w:rsid w:val="00682ED4"/>
    <w:rsid w:val="0068660C"/>
    <w:rsid w:val="00691CDA"/>
    <w:rsid w:val="00695CF2"/>
    <w:rsid w:val="006A7F93"/>
    <w:rsid w:val="006B441A"/>
    <w:rsid w:val="006B774B"/>
    <w:rsid w:val="006C2C1F"/>
    <w:rsid w:val="006C4E5A"/>
    <w:rsid w:val="006D155D"/>
    <w:rsid w:val="006D17FF"/>
    <w:rsid w:val="006E210B"/>
    <w:rsid w:val="006E5B11"/>
    <w:rsid w:val="006F1C75"/>
    <w:rsid w:val="0071403C"/>
    <w:rsid w:val="007170B1"/>
    <w:rsid w:val="00717AAA"/>
    <w:rsid w:val="0072206A"/>
    <w:rsid w:val="007240E0"/>
    <w:rsid w:val="00727FB7"/>
    <w:rsid w:val="00732D1E"/>
    <w:rsid w:val="00735203"/>
    <w:rsid w:val="00751A83"/>
    <w:rsid w:val="007604CC"/>
    <w:rsid w:val="00765EE1"/>
    <w:rsid w:val="00767622"/>
    <w:rsid w:val="00787460"/>
    <w:rsid w:val="007951B9"/>
    <w:rsid w:val="007C1D13"/>
    <w:rsid w:val="007C3621"/>
    <w:rsid w:val="007C397A"/>
    <w:rsid w:val="007C4AEC"/>
    <w:rsid w:val="007D3A47"/>
    <w:rsid w:val="007D7B18"/>
    <w:rsid w:val="007E1273"/>
    <w:rsid w:val="007E1A20"/>
    <w:rsid w:val="007E2E8B"/>
    <w:rsid w:val="007E51AF"/>
    <w:rsid w:val="007F1F2F"/>
    <w:rsid w:val="008032B4"/>
    <w:rsid w:val="00805745"/>
    <w:rsid w:val="00805DFD"/>
    <w:rsid w:val="00806FD2"/>
    <w:rsid w:val="00807C91"/>
    <w:rsid w:val="00814573"/>
    <w:rsid w:val="00826C94"/>
    <w:rsid w:val="00830107"/>
    <w:rsid w:val="008311F1"/>
    <w:rsid w:val="008328E9"/>
    <w:rsid w:val="00835494"/>
    <w:rsid w:val="00843C2F"/>
    <w:rsid w:val="008467A6"/>
    <w:rsid w:val="008521D8"/>
    <w:rsid w:val="008531A8"/>
    <w:rsid w:val="00853EA0"/>
    <w:rsid w:val="0085790C"/>
    <w:rsid w:val="00866514"/>
    <w:rsid w:val="00870A57"/>
    <w:rsid w:val="00871385"/>
    <w:rsid w:val="00873A29"/>
    <w:rsid w:val="00885078"/>
    <w:rsid w:val="00891A2B"/>
    <w:rsid w:val="008A090E"/>
    <w:rsid w:val="008A1D86"/>
    <w:rsid w:val="008A22E7"/>
    <w:rsid w:val="008B1028"/>
    <w:rsid w:val="008B1FD7"/>
    <w:rsid w:val="008C450F"/>
    <w:rsid w:val="008E345E"/>
    <w:rsid w:val="008F34CA"/>
    <w:rsid w:val="00900555"/>
    <w:rsid w:val="009055DB"/>
    <w:rsid w:val="00910F25"/>
    <w:rsid w:val="009150F4"/>
    <w:rsid w:val="00916CBE"/>
    <w:rsid w:val="00931E70"/>
    <w:rsid w:val="00937ECB"/>
    <w:rsid w:val="0095272F"/>
    <w:rsid w:val="0095778D"/>
    <w:rsid w:val="00957F84"/>
    <w:rsid w:val="00960CB6"/>
    <w:rsid w:val="00965E9E"/>
    <w:rsid w:val="0096794F"/>
    <w:rsid w:val="00984434"/>
    <w:rsid w:val="00994974"/>
    <w:rsid w:val="00997ED7"/>
    <w:rsid w:val="009A1598"/>
    <w:rsid w:val="009A2863"/>
    <w:rsid w:val="009A2C96"/>
    <w:rsid w:val="009A3F13"/>
    <w:rsid w:val="009B69E8"/>
    <w:rsid w:val="009B76DF"/>
    <w:rsid w:val="009B7D3F"/>
    <w:rsid w:val="009C36CC"/>
    <w:rsid w:val="009C765B"/>
    <w:rsid w:val="009C7D83"/>
    <w:rsid w:val="009F2335"/>
    <w:rsid w:val="00A009EC"/>
    <w:rsid w:val="00A02FE7"/>
    <w:rsid w:val="00A031AD"/>
    <w:rsid w:val="00A056E6"/>
    <w:rsid w:val="00A07BD4"/>
    <w:rsid w:val="00A308FA"/>
    <w:rsid w:val="00A30CE1"/>
    <w:rsid w:val="00A31BE2"/>
    <w:rsid w:val="00A31F95"/>
    <w:rsid w:val="00A46956"/>
    <w:rsid w:val="00A46973"/>
    <w:rsid w:val="00A53A2B"/>
    <w:rsid w:val="00A7068F"/>
    <w:rsid w:val="00A71D6E"/>
    <w:rsid w:val="00A721DA"/>
    <w:rsid w:val="00A747AE"/>
    <w:rsid w:val="00A8010F"/>
    <w:rsid w:val="00A828B8"/>
    <w:rsid w:val="00A84B67"/>
    <w:rsid w:val="00A962B3"/>
    <w:rsid w:val="00A97CB4"/>
    <w:rsid w:val="00AA6A87"/>
    <w:rsid w:val="00AB417B"/>
    <w:rsid w:val="00AC231F"/>
    <w:rsid w:val="00AC79C2"/>
    <w:rsid w:val="00AD0FFF"/>
    <w:rsid w:val="00AE2C16"/>
    <w:rsid w:val="00AE3F0E"/>
    <w:rsid w:val="00AE63A7"/>
    <w:rsid w:val="00AF150F"/>
    <w:rsid w:val="00AF3221"/>
    <w:rsid w:val="00B01453"/>
    <w:rsid w:val="00B028F2"/>
    <w:rsid w:val="00B11534"/>
    <w:rsid w:val="00B151EF"/>
    <w:rsid w:val="00B20021"/>
    <w:rsid w:val="00B24808"/>
    <w:rsid w:val="00B27A4D"/>
    <w:rsid w:val="00B30AFF"/>
    <w:rsid w:val="00B3418E"/>
    <w:rsid w:val="00B52201"/>
    <w:rsid w:val="00B547A8"/>
    <w:rsid w:val="00B61266"/>
    <w:rsid w:val="00B66B37"/>
    <w:rsid w:val="00B7079F"/>
    <w:rsid w:val="00B779BB"/>
    <w:rsid w:val="00B841C5"/>
    <w:rsid w:val="00BB71A5"/>
    <w:rsid w:val="00BC59C3"/>
    <w:rsid w:val="00BD01E7"/>
    <w:rsid w:val="00BD1A84"/>
    <w:rsid w:val="00BD47D5"/>
    <w:rsid w:val="00BE67F4"/>
    <w:rsid w:val="00BF3C6E"/>
    <w:rsid w:val="00BF7A17"/>
    <w:rsid w:val="00C0354C"/>
    <w:rsid w:val="00C068EA"/>
    <w:rsid w:val="00C13629"/>
    <w:rsid w:val="00C14C07"/>
    <w:rsid w:val="00C1712A"/>
    <w:rsid w:val="00C17F44"/>
    <w:rsid w:val="00C2252C"/>
    <w:rsid w:val="00C357F1"/>
    <w:rsid w:val="00C41CE2"/>
    <w:rsid w:val="00C5343E"/>
    <w:rsid w:val="00C54EBD"/>
    <w:rsid w:val="00C5560D"/>
    <w:rsid w:val="00C608AE"/>
    <w:rsid w:val="00C61BDC"/>
    <w:rsid w:val="00C63096"/>
    <w:rsid w:val="00C643DC"/>
    <w:rsid w:val="00C64CC3"/>
    <w:rsid w:val="00C64D37"/>
    <w:rsid w:val="00C67F9B"/>
    <w:rsid w:val="00C83F49"/>
    <w:rsid w:val="00C8470F"/>
    <w:rsid w:val="00C85CEC"/>
    <w:rsid w:val="00C91180"/>
    <w:rsid w:val="00C9773F"/>
    <w:rsid w:val="00CC5587"/>
    <w:rsid w:val="00CD3224"/>
    <w:rsid w:val="00CD7424"/>
    <w:rsid w:val="00CE00FB"/>
    <w:rsid w:val="00CE6BAE"/>
    <w:rsid w:val="00CE7054"/>
    <w:rsid w:val="00CF0E9F"/>
    <w:rsid w:val="00CF0F2D"/>
    <w:rsid w:val="00CF31C6"/>
    <w:rsid w:val="00CF4F7E"/>
    <w:rsid w:val="00CF5D7A"/>
    <w:rsid w:val="00CF7F1D"/>
    <w:rsid w:val="00D05413"/>
    <w:rsid w:val="00D06006"/>
    <w:rsid w:val="00D06908"/>
    <w:rsid w:val="00D1018D"/>
    <w:rsid w:val="00D10D4F"/>
    <w:rsid w:val="00D11E32"/>
    <w:rsid w:val="00D1239C"/>
    <w:rsid w:val="00D20FD6"/>
    <w:rsid w:val="00D2260C"/>
    <w:rsid w:val="00D3229F"/>
    <w:rsid w:val="00D327D0"/>
    <w:rsid w:val="00D34C4A"/>
    <w:rsid w:val="00D358DB"/>
    <w:rsid w:val="00D522BF"/>
    <w:rsid w:val="00D547D7"/>
    <w:rsid w:val="00D57E57"/>
    <w:rsid w:val="00D62493"/>
    <w:rsid w:val="00D63D86"/>
    <w:rsid w:val="00D63D87"/>
    <w:rsid w:val="00D81D5F"/>
    <w:rsid w:val="00DA7A04"/>
    <w:rsid w:val="00DB4D56"/>
    <w:rsid w:val="00DB584F"/>
    <w:rsid w:val="00DB647F"/>
    <w:rsid w:val="00DC043E"/>
    <w:rsid w:val="00DC15EC"/>
    <w:rsid w:val="00DC182F"/>
    <w:rsid w:val="00DC3345"/>
    <w:rsid w:val="00DC5B70"/>
    <w:rsid w:val="00DC7A75"/>
    <w:rsid w:val="00DD1276"/>
    <w:rsid w:val="00DD2DE5"/>
    <w:rsid w:val="00DD56CC"/>
    <w:rsid w:val="00DE6990"/>
    <w:rsid w:val="00DF0401"/>
    <w:rsid w:val="00DF06BD"/>
    <w:rsid w:val="00DF7CB7"/>
    <w:rsid w:val="00E013B3"/>
    <w:rsid w:val="00E05062"/>
    <w:rsid w:val="00E050BC"/>
    <w:rsid w:val="00E071CA"/>
    <w:rsid w:val="00E206F8"/>
    <w:rsid w:val="00E2779F"/>
    <w:rsid w:val="00E27BBA"/>
    <w:rsid w:val="00E32F80"/>
    <w:rsid w:val="00E361D6"/>
    <w:rsid w:val="00E37451"/>
    <w:rsid w:val="00E452F1"/>
    <w:rsid w:val="00E45675"/>
    <w:rsid w:val="00E46442"/>
    <w:rsid w:val="00E51339"/>
    <w:rsid w:val="00E5382E"/>
    <w:rsid w:val="00E57E11"/>
    <w:rsid w:val="00E62646"/>
    <w:rsid w:val="00E67F16"/>
    <w:rsid w:val="00E711BD"/>
    <w:rsid w:val="00E76876"/>
    <w:rsid w:val="00E80087"/>
    <w:rsid w:val="00E85D24"/>
    <w:rsid w:val="00E96009"/>
    <w:rsid w:val="00EA0A57"/>
    <w:rsid w:val="00EA2132"/>
    <w:rsid w:val="00EA7EEB"/>
    <w:rsid w:val="00EB03E4"/>
    <w:rsid w:val="00EB1F89"/>
    <w:rsid w:val="00EB51AF"/>
    <w:rsid w:val="00EB69B1"/>
    <w:rsid w:val="00ED6EB6"/>
    <w:rsid w:val="00EE0B73"/>
    <w:rsid w:val="00EE1B97"/>
    <w:rsid w:val="00EF1612"/>
    <w:rsid w:val="00EF2B11"/>
    <w:rsid w:val="00EF5F37"/>
    <w:rsid w:val="00EF6E42"/>
    <w:rsid w:val="00F026B8"/>
    <w:rsid w:val="00F16410"/>
    <w:rsid w:val="00F269EC"/>
    <w:rsid w:val="00F26F1A"/>
    <w:rsid w:val="00F327A4"/>
    <w:rsid w:val="00F3603C"/>
    <w:rsid w:val="00F42107"/>
    <w:rsid w:val="00F60B31"/>
    <w:rsid w:val="00F6203D"/>
    <w:rsid w:val="00F62B03"/>
    <w:rsid w:val="00F64E99"/>
    <w:rsid w:val="00F67B4E"/>
    <w:rsid w:val="00F84938"/>
    <w:rsid w:val="00F90564"/>
    <w:rsid w:val="00F9243D"/>
    <w:rsid w:val="00F9281D"/>
    <w:rsid w:val="00FA1369"/>
    <w:rsid w:val="00FA1683"/>
    <w:rsid w:val="00FA629B"/>
    <w:rsid w:val="00FA6CDB"/>
    <w:rsid w:val="00FB0AA8"/>
    <w:rsid w:val="00FB1554"/>
    <w:rsid w:val="00FB33E7"/>
    <w:rsid w:val="00FB34AA"/>
    <w:rsid w:val="00FB4A44"/>
    <w:rsid w:val="00FB64F3"/>
    <w:rsid w:val="00FC3E7E"/>
    <w:rsid w:val="00FC51D2"/>
    <w:rsid w:val="00FD2B4B"/>
    <w:rsid w:val="00FD2C04"/>
    <w:rsid w:val="00FD377F"/>
    <w:rsid w:val="00FE7AA2"/>
    <w:rsid w:val="00FF4AB5"/>
    <w:rsid w:val="00FF4CC5"/>
  </w:rsids>
  <w:themeFontLang w:val="en-SG"/>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SG" w:val="en-SG"/>
      </w:rPr>
    </w:rPrDefault>
    <w:pPrDefault/>
  </w:docDefaults>
  <w:latentStyles w:count="375"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1A66F8"/>
    <w:pPr>
      <w:spacing w:line="260" w:lineRule="exact"/>
      <w:jc w:val="both"/>
    </w:pPr>
    <w:rPr>
      <w:szCs w:val="24"/>
      <w:lang w:eastAsia="en-US" w:val="en-US"/>
    </w:rPr>
  </w:style>
  <w:style w:styleId="Heading1" w:type="paragraph">
    <w:name w:val="heading 1"/>
    <w:aliases w:val="Section"/>
    <w:basedOn w:val="Normal"/>
    <w:next w:val="Normal"/>
    <w:qFormat/>
    <w:rsid w:val="007D7B18"/>
    <w:pPr>
      <w:numPr>
        <w:numId w:val="12"/>
      </w:numPr>
      <w:suppressAutoHyphens/>
      <w:spacing w:after="120" w:before="240"/>
      <w:ind w:right="288"/>
      <w:outlineLvl w:val="0"/>
    </w:pPr>
    <w:rPr>
      <w:b/>
      <w:kern w:val="28"/>
    </w:rPr>
  </w:style>
  <w:style w:styleId="Heading2" w:type="paragraph">
    <w:name w:val="heading 2"/>
    <w:aliases w:val="Subsection"/>
    <w:basedOn w:val="Normal"/>
    <w:next w:val="Normal"/>
    <w:qFormat/>
    <w:rsid w:val="007D7B18"/>
    <w:pPr>
      <w:keepNext/>
      <w:numPr>
        <w:ilvl w:val="1"/>
        <w:numId w:val="12"/>
      </w:numPr>
      <w:spacing w:after="120" w:before="240"/>
      <w:ind w:right="360"/>
      <w:outlineLvl w:val="1"/>
    </w:pPr>
    <w:rPr>
      <w:b/>
      <w:i/>
    </w:rPr>
  </w:style>
  <w:style w:styleId="Heading3" w:type="paragraph">
    <w:name w:val="heading 3"/>
    <w:aliases w:val="Subsubsection"/>
    <w:basedOn w:val="Normal"/>
    <w:next w:val="Normal"/>
    <w:qFormat/>
    <w:rsid w:val="007D7B18"/>
    <w:pPr>
      <w:keepNext/>
      <w:keepLines/>
      <w:numPr>
        <w:ilvl w:val="2"/>
        <w:numId w:val="12"/>
      </w:numPr>
      <w:suppressAutoHyphens/>
      <w:spacing w:after="120" w:before="240"/>
      <w:ind w:right="360"/>
      <w:outlineLvl w:val="2"/>
    </w:pPr>
    <w:rPr>
      <w:i/>
    </w:rPr>
  </w:style>
  <w:style w:styleId="Heading4" w:type="paragraph">
    <w:name w:val="heading 4"/>
    <w:aliases w:val="Paragraph"/>
    <w:basedOn w:val="Normal"/>
    <w:next w:val="Normal"/>
    <w:qFormat/>
    <w:rsid w:val="007D7B18"/>
    <w:pPr>
      <w:keepNext/>
      <w:spacing w:after="60" w:before="240"/>
      <w:outlineLvl w:val="3"/>
    </w:pPr>
  </w:style>
  <w:style w:styleId="Heading5" w:type="paragraph">
    <w:name w:val="heading 5"/>
    <w:aliases w:val="Subparagraph"/>
    <w:basedOn w:val="Normal"/>
    <w:next w:val="Normal"/>
    <w:qFormat/>
    <w:rsid w:val="00C5343E"/>
    <w:pPr>
      <w:keepNext/>
      <w:widowControl w:val="0"/>
      <w:spacing w:after="160" w:before="240"/>
      <w:outlineLvl w:val="4"/>
    </w:pPr>
    <w:rPr>
      <w:b/>
      <w:snapToGrid w:val="0"/>
      <w:lang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C5343E"/>
    <w:pPr>
      <w:spacing w:line="200" w:lineRule="exact"/>
    </w:pPr>
    <w:rPr>
      <w:i/>
      <w:sz w:val="16"/>
      <w:szCs w:val="16"/>
    </w:rPr>
  </w:style>
  <w:style w:customStyle="1" w:styleId="uqlnavigationlink" w:type="paragraph">
    <w:name w:val="uqlnavigationlink"/>
    <w:basedOn w:val="Normal"/>
    <w:autoRedefine/>
    <w:pPr>
      <w:spacing w:before="240"/>
    </w:pPr>
    <w:rPr>
      <w:rFonts w:ascii="Arial" w:hAnsi="Arial"/>
      <w:b/>
      <w:sz w:val="16"/>
    </w:rPr>
  </w:style>
  <w:style w:styleId="NormalWeb" w:type="paragraph">
    <w:name w:val="Normal (Web)"/>
    <w:basedOn w:val="Normal"/>
    <w:autoRedefine/>
    <w:rsid w:val="00C5343E"/>
    <w:pPr>
      <w:spacing w:after="100" w:afterAutospacing="1" w:before="100" w:beforeAutospacing="1"/>
    </w:pPr>
    <w:rPr>
      <w:rFonts w:ascii="Verdana" w:hAnsi="Verdana"/>
      <w:sz w:val="17"/>
    </w:rPr>
  </w:style>
  <w:style w:customStyle="1" w:styleId="itemlist" w:type="paragraph">
    <w:name w:val="itemlist"/>
    <w:basedOn w:val="Normal"/>
    <w:autoRedefine/>
    <w:rsid w:val="00C5343E"/>
    <w:pPr>
      <w:numPr>
        <w:numId w:val="4"/>
      </w:numPr>
      <w:tabs>
        <w:tab w:pos="360" w:val="clear"/>
        <w:tab w:pos="274" w:val="left"/>
      </w:tabs>
      <w:spacing w:line="240" w:lineRule="exact"/>
      <w:ind w:hanging="300" w:left="300"/>
    </w:pPr>
  </w:style>
  <w:style w:customStyle="1" w:styleId="Text" w:type="paragraph">
    <w:name w:val="Text"/>
    <w:basedOn w:val="Normal"/>
    <w:rsid w:val="00C5343E"/>
    <w:pPr>
      <w:tabs>
        <w:tab w:pos="7200" w:val="right"/>
      </w:tabs>
    </w:pPr>
  </w:style>
  <w:style w:customStyle="1" w:styleId="Abstract" w:type="paragraph">
    <w:name w:val="Abstract"/>
    <w:basedOn w:val="Text"/>
    <w:rsid w:val="00C5343E"/>
    <w:pPr>
      <w:spacing w:line="200" w:lineRule="exact"/>
      <w:ind w:left="360" w:right="360"/>
    </w:pPr>
    <w:rPr>
      <w:snapToGrid w:val="0"/>
      <w:sz w:val="16"/>
    </w:rPr>
  </w:style>
  <w:style w:customStyle="1" w:styleId="Romanlist" w:type="paragraph">
    <w:name w:val="Romanlist"/>
    <w:basedOn w:val="Normal"/>
    <w:rsid w:val="00C5343E"/>
    <w:pPr>
      <w:numPr>
        <w:numId w:val="7"/>
      </w:numPr>
    </w:pPr>
    <w:rPr>
      <w:sz w:val="22"/>
    </w:rPr>
  </w:style>
  <w:style w:styleId="EndnoteReference" w:type="character">
    <w:name w:val="endnote reference"/>
    <w:semiHidden/>
    <w:rsid w:val="00C5343E"/>
    <w:rPr>
      <w:rFonts w:ascii="Times New Roman" w:hAnsi="Times New Roman"/>
      <w:vertAlign w:val="superscript"/>
    </w:rPr>
  </w:style>
  <w:style w:customStyle="1" w:styleId="StyleReferenceLeft0Hanging025" w:type="paragraph">
    <w:name w:val="Style Reference + Left:  0&quot; Hanging:  0.25&quot;"/>
    <w:basedOn w:val="Reference"/>
    <w:autoRedefine/>
    <w:rsid w:val="00C5343E"/>
    <w:pPr>
      <w:numPr>
        <w:numId w:val="8"/>
      </w:numPr>
      <w:tabs>
        <w:tab w:pos="1152" w:val="clear"/>
        <w:tab w:pos="360" w:val="num"/>
      </w:tabs>
      <w:ind w:hanging="72" w:left="360"/>
    </w:pPr>
  </w:style>
  <w:style w:customStyle="1" w:styleId="Reference" w:type="paragraph">
    <w:name w:val="Reference"/>
    <w:basedOn w:val="Normal"/>
    <w:rsid w:val="001924A4"/>
    <w:pPr>
      <w:spacing w:line="240" w:lineRule="exact"/>
      <w:ind w:hanging="288" w:left="288"/>
    </w:pPr>
    <w:rPr>
      <w:w w:val="99"/>
      <w:szCs w:val="20"/>
    </w:rPr>
  </w:style>
  <w:style w:customStyle="1" w:styleId="Code" w:type="paragraph">
    <w:name w:val="Code"/>
    <w:basedOn w:val="Text"/>
    <w:autoRedefine/>
    <w:rsid w:val="00C5343E"/>
    <w:pPr>
      <w:tabs>
        <w:tab w:pos="7200" w:val="clear"/>
        <w:tab w:pos="360" w:val="left"/>
        <w:tab w:pos="720" w:val="left"/>
        <w:tab w:pos="1080" w:val="left"/>
        <w:tab w:pos="1440" w:val="left"/>
      </w:tabs>
    </w:pPr>
    <w:rPr>
      <w:rFonts w:ascii="Courier New" w:cs="Courier New" w:hAnsi="Courier New"/>
    </w:rPr>
  </w:style>
  <w:style w:customStyle="1" w:styleId="Affiliation" w:type="paragraph">
    <w:name w:val="Affiliation"/>
    <w:basedOn w:val="Normal"/>
    <w:rsid w:val="00C5343E"/>
    <w:pPr>
      <w:spacing w:after="240" w:line="240" w:lineRule="auto"/>
      <w:jc w:val="center"/>
    </w:pPr>
    <w:rPr>
      <w:i/>
      <w:snapToGrid w:val="0"/>
      <w:sz w:val="16"/>
    </w:rPr>
  </w:style>
  <w:style w:customStyle="1" w:styleId="Author" w:type="paragraph">
    <w:name w:val="Author"/>
    <w:basedOn w:val="Normal"/>
    <w:rsid w:val="00C5343E"/>
    <w:pPr>
      <w:spacing w:after="100" w:before="40" w:line="240" w:lineRule="auto"/>
      <w:jc w:val="center"/>
    </w:pPr>
    <w:rPr>
      <w:snapToGrid w:val="0"/>
      <w:sz w:val="16"/>
    </w:rPr>
  </w:style>
  <w:style w:customStyle="1" w:styleId="Equation" w:type="paragraph">
    <w:name w:val="Equation"/>
    <w:basedOn w:val="Normal"/>
    <w:next w:val="Normal"/>
    <w:rsid w:val="00A31BE2"/>
    <w:pPr>
      <w:tabs>
        <w:tab w:pos="3600" w:val="center"/>
        <w:tab w:pos="7200" w:val="right"/>
      </w:tabs>
      <w:autoSpaceDE w:val="0"/>
      <w:autoSpaceDN w:val="0"/>
      <w:spacing w:after="120" w:before="120" w:line="240" w:lineRule="auto"/>
    </w:pPr>
  </w:style>
  <w:style w:customStyle="1" w:styleId="Figure" w:type="paragraph">
    <w:name w:val="Figure"/>
    <w:basedOn w:val="FigureCaption"/>
    <w:rsid w:val="00C5343E"/>
    <w:pPr>
      <w:spacing w:after="180" w:before="180" w:line="240" w:lineRule="auto"/>
      <w:jc w:val="center"/>
    </w:pPr>
  </w:style>
  <w:style w:customStyle="1" w:styleId="FigureCaption" w:type="paragraph">
    <w:name w:val="Figure Caption"/>
    <w:basedOn w:val="Normal"/>
    <w:autoRedefine/>
    <w:rsid w:val="00C5343E"/>
    <w:pPr>
      <w:spacing w:after="120" w:before="120" w:line="200" w:lineRule="exact"/>
    </w:pPr>
    <w:rPr>
      <w:sz w:val="16"/>
    </w:rPr>
  </w:style>
  <w:style w:customStyle="1" w:styleId="AList" w:type="paragraph">
    <w:name w:val="AList"/>
    <w:basedOn w:val="Normal"/>
    <w:rsid w:val="00C5343E"/>
    <w:pPr>
      <w:numPr>
        <w:numId w:val="1"/>
      </w:numPr>
      <w:spacing w:line="240" w:lineRule="exact"/>
    </w:pPr>
  </w:style>
  <w:style w:customStyle="1" w:styleId="Appendix1" w:type="paragraph">
    <w:name w:val="Appendix 1"/>
    <w:basedOn w:val="Normal"/>
    <w:next w:val="Normal"/>
    <w:rsid w:val="00C5343E"/>
    <w:pPr>
      <w:keepNext/>
      <w:keepLines/>
      <w:numPr>
        <w:numId w:val="3"/>
      </w:numPr>
      <w:tabs>
        <w:tab w:pos="360" w:val="num"/>
      </w:tabs>
      <w:suppressAutoHyphens/>
      <w:autoSpaceDE w:val="0"/>
      <w:autoSpaceDN w:val="0"/>
      <w:spacing w:after="80" w:before="200"/>
      <w:ind w:hanging="360" w:left="360"/>
      <w:outlineLvl w:val="0"/>
    </w:pPr>
    <w:rPr>
      <w:b/>
    </w:rPr>
  </w:style>
  <w:style w:customStyle="1" w:styleId="Appendix2" w:type="paragraph">
    <w:name w:val="Appendix 2"/>
    <w:basedOn w:val="Appendix1"/>
    <w:next w:val="Normal"/>
    <w:rsid w:val="00F327A4"/>
    <w:pPr>
      <w:numPr>
        <w:ilvl w:val="1"/>
      </w:numPr>
      <w:tabs>
        <w:tab w:pos="360" w:val="num"/>
      </w:tabs>
      <w:ind w:hanging="360" w:left="360"/>
      <w:outlineLvl w:val="1"/>
    </w:pPr>
    <w:rPr>
      <w:i/>
    </w:rPr>
  </w:style>
  <w:style w:customStyle="1" w:styleId="Appendix3" w:type="paragraph">
    <w:name w:val="Appendix 3"/>
    <w:basedOn w:val="Appendix2"/>
    <w:next w:val="Normal"/>
    <w:rsid w:val="00F327A4"/>
    <w:pPr>
      <w:numPr>
        <w:ilvl w:val="2"/>
      </w:numPr>
      <w:tabs>
        <w:tab w:pos="360" w:val="num"/>
      </w:tabs>
      <w:ind w:hanging="360" w:left="360"/>
      <w:outlineLvl w:val="2"/>
    </w:pPr>
    <w:rPr>
      <w:b w:val="0"/>
    </w:rPr>
  </w:style>
  <w:style w:styleId="Caption" w:type="paragraph">
    <w:name w:val="caption"/>
    <w:basedOn w:val="Normal"/>
    <w:next w:val="Normal"/>
    <w:qFormat/>
    <w:rsid w:val="00C5343E"/>
    <w:pPr>
      <w:widowControl w:val="0"/>
      <w:spacing w:after="120" w:before="120"/>
      <w:jc w:val="center"/>
    </w:pPr>
    <w:rPr>
      <w:b/>
      <w:snapToGrid w:val="0"/>
      <w:lang w:val="x-none"/>
    </w:rPr>
  </w:style>
  <w:style w:styleId="Footer" w:type="paragraph">
    <w:name w:val="footer"/>
    <w:basedOn w:val="Normal"/>
    <w:rsid w:val="00C5343E"/>
    <w:pPr>
      <w:tabs>
        <w:tab w:pos="4320" w:val="center"/>
        <w:tab w:pos="8640" w:val="right"/>
      </w:tabs>
    </w:pPr>
  </w:style>
  <w:style w:styleId="FootnoteReference" w:type="character">
    <w:name w:val="footnote reference"/>
    <w:semiHidden/>
    <w:rsid w:val="00C5343E"/>
    <w:rPr>
      <w:vertAlign w:val="superscript"/>
    </w:rPr>
  </w:style>
  <w:style w:styleId="FootnoteText" w:type="paragraph">
    <w:name w:val="footnote text"/>
    <w:basedOn w:val="Normal"/>
    <w:semiHidden/>
    <w:rsid w:val="00C5343E"/>
    <w:pPr>
      <w:spacing w:line="200" w:lineRule="exact"/>
    </w:pPr>
    <w:rPr>
      <w:snapToGrid w:val="0"/>
      <w:sz w:val="16"/>
    </w:rPr>
  </w:style>
  <w:style w:customStyle="1" w:styleId="History" w:type="paragraph">
    <w:name w:val="History"/>
    <w:basedOn w:val="Text"/>
    <w:rsid w:val="00C5343E"/>
    <w:pPr>
      <w:spacing w:after="200" w:before="160" w:line="200" w:lineRule="exact"/>
      <w:jc w:val="center"/>
    </w:pPr>
    <w:rPr>
      <w:sz w:val="16"/>
    </w:rPr>
  </w:style>
  <w:style w:styleId="Hyperlink" w:type="character">
    <w:name w:val="Hyperlink"/>
    <w:rsid w:val="00C5343E"/>
    <w:rPr>
      <w:color w:val="0000FF"/>
      <w:u w:val="single"/>
    </w:rPr>
  </w:style>
  <w:style w:customStyle="1" w:styleId="JournalTitle" w:type="paragraph">
    <w:name w:val="Journal Title"/>
    <w:basedOn w:val="Normal"/>
    <w:rsid w:val="00C5343E"/>
    <w:pPr>
      <w:spacing w:after="400" w:before="1000" w:line="240" w:lineRule="exact"/>
      <w:jc w:val="center"/>
    </w:pPr>
    <w:rPr>
      <w:b/>
      <w:caps/>
    </w:rPr>
  </w:style>
  <w:style w:customStyle="1" w:styleId="keywords" w:type="paragraph">
    <w:name w:val="keywords"/>
    <w:basedOn w:val="Abstract"/>
    <w:rsid w:val="00C5343E"/>
    <w:pPr>
      <w:spacing w:before="120"/>
    </w:pPr>
    <w:rPr>
      <w:szCs w:val="20"/>
    </w:rPr>
  </w:style>
  <w:style w:styleId="List" w:type="paragraph">
    <w:name w:val="List"/>
    <w:aliases w:val="BList"/>
    <w:basedOn w:val="Normal"/>
    <w:rsid w:val="00C5343E"/>
    <w:pPr>
      <w:numPr>
        <w:numId w:val="5"/>
      </w:numPr>
      <w:tabs>
        <w:tab w:pos="360" w:val="clear"/>
      </w:tabs>
      <w:spacing w:line="240" w:lineRule="exact"/>
    </w:pPr>
  </w:style>
  <w:style w:customStyle="1" w:styleId="MTDisplayEquation" w:type="paragraph">
    <w:name w:val="MTDisplayEquation"/>
    <w:basedOn w:val="Normal"/>
    <w:next w:val="Normal"/>
    <w:rsid w:val="00C5343E"/>
    <w:pPr>
      <w:widowControl w:val="0"/>
    </w:pPr>
    <w:rPr>
      <w:snapToGrid w:val="0"/>
      <w:lang w:val="x-none"/>
    </w:rPr>
  </w:style>
  <w:style w:customStyle="1" w:styleId="MTEquationSection" w:type="character">
    <w:name w:val="MTEquationSection"/>
    <w:rsid w:val="00C5343E"/>
    <w:rPr>
      <w:vanish/>
      <w:color w:val="FF0000"/>
    </w:rPr>
  </w:style>
  <w:style w:customStyle="1" w:styleId="NList" w:type="paragraph">
    <w:name w:val="NList"/>
    <w:basedOn w:val="List"/>
    <w:rsid w:val="00F9243D"/>
    <w:pPr>
      <w:numPr>
        <w:numId w:val="0"/>
      </w:numPr>
    </w:pPr>
  </w:style>
  <w:style w:styleId="PageNumber" w:type="character">
    <w:name w:val="page number"/>
    <w:basedOn w:val="DefaultParagraphFont"/>
    <w:rsid w:val="00C5343E"/>
  </w:style>
  <w:style w:styleId="PlainText" w:type="paragraph">
    <w:name w:val="Plain Text"/>
    <w:basedOn w:val="Normal"/>
    <w:rsid w:val="00C5343E"/>
    <w:pPr>
      <w:tabs>
        <w:tab w:pos="360" w:val="left"/>
      </w:tabs>
      <w:spacing w:line="260" w:lineRule="atLeast"/>
    </w:pPr>
    <w:rPr>
      <w:rFonts w:ascii="Courier New" w:hAnsi="Courier New"/>
      <w:szCs w:val="20"/>
    </w:rPr>
  </w:style>
  <w:style w:customStyle="1" w:styleId="Table" w:type="paragraph">
    <w:name w:val="Table"/>
    <w:basedOn w:val="Text"/>
    <w:rsid w:val="00C5343E"/>
    <w:pPr>
      <w:spacing w:line="220" w:lineRule="exact"/>
      <w:ind w:left="-86" w:right="-155"/>
      <w:jc w:val="left"/>
    </w:pPr>
    <w:rPr>
      <w:sz w:val="16"/>
    </w:rPr>
  </w:style>
  <w:style w:customStyle="1" w:styleId="TableCaption" w:type="paragraph">
    <w:name w:val="Table Caption"/>
    <w:basedOn w:val="Normal"/>
    <w:rsid w:val="00C5343E"/>
    <w:pPr>
      <w:spacing w:after="120" w:before="320" w:line="200" w:lineRule="exact"/>
      <w:jc w:val="center"/>
    </w:pPr>
    <w:rPr>
      <w:sz w:val="16"/>
    </w:rPr>
  </w:style>
  <w:style w:customStyle="1" w:styleId="TextIndent" w:type="paragraph">
    <w:name w:val="Text Indent"/>
    <w:rsid w:val="00C5343E"/>
    <w:pPr>
      <w:spacing w:line="260" w:lineRule="exact"/>
      <w:ind w:firstLine="302"/>
      <w:jc w:val="both"/>
    </w:pPr>
    <w:rPr>
      <w:lang w:eastAsia="en-US" w:val="en-US"/>
    </w:rPr>
  </w:style>
  <w:style w:customStyle="1" w:styleId="Theorem" w:type="paragraph">
    <w:name w:val="Theorem"/>
    <w:basedOn w:val="Text"/>
    <w:rsid w:val="00C5343E"/>
    <w:pPr>
      <w:spacing w:after="200" w:before="200"/>
    </w:pPr>
  </w:style>
  <w:style w:customStyle="1" w:styleId="BodyText0" w:type="paragraph">
    <w:name w:val="Body Text 0"/>
    <w:basedOn w:val="BodyText"/>
    <w:next w:val="BodyText"/>
    <w:rsid w:val="001A66F8"/>
    <w:pPr>
      <w:autoSpaceDE w:val="0"/>
      <w:autoSpaceDN w:val="0"/>
      <w:spacing w:after="0"/>
    </w:pPr>
  </w:style>
  <w:style w:styleId="BodyText" w:type="paragraph">
    <w:name w:val="Body Text"/>
    <w:basedOn w:val="Normal"/>
    <w:rsid w:val="001A66F8"/>
    <w:pPr>
      <w:spacing w:after="120"/>
    </w:pPr>
  </w:style>
  <w:style w:styleId="BalloonText" w:type="paragraph">
    <w:name w:val="Balloon Text"/>
    <w:basedOn w:val="Normal"/>
    <w:link w:val="BalloonTextChar"/>
    <w:rsid w:val="002A3908"/>
    <w:pPr>
      <w:spacing w:line="240" w:lineRule="auto"/>
    </w:pPr>
    <w:rPr>
      <w:rFonts w:ascii="Tahoma" w:cs="Tahoma" w:hAnsi="Tahoma"/>
      <w:sz w:val="16"/>
      <w:szCs w:val="16"/>
    </w:rPr>
  </w:style>
  <w:style w:customStyle="1" w:styleId="BalloonTextChar" w:type="character">
    <w:name w:val="Balloon Text Char"/>
    <w:link w:val="BalloonText"/>
    <w:rsid w:val="002A3908"/>
    <w:rPr>
      <w:rFonts w:ascii="Tahoma" w:cs="Tahoma" w:hAnsi="Tahoma"/>
      <w:sz w:val="16"/>
      <w:szCs w:val="16"/>
      <w:lang w:eastAsia="en-US"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wmf" Type="http://schemas.openxmlformats.org/officeDocument/2006/relationships/image" /><Relationship Id="rId13" Target="media/image4.wmf" Type="http://schemas.openxmlformats.org/officeDocument/2006/relationships/image" /><Relationship Id="rId18" Target="footer1.xml" Type="http://schemas.openxmlformats.org/officeDocument/2006/relationships/footer" /><Relationship Id="rId17" Target="header3.xml" Type="http://schemas.openxmlformats.org/officeDocument/2006/relationships/header" /><Relationship Id="rId16" Target="header2.xml" Type="http://schemas.openxmlformats.org/officeDocument/2006/relationships/header" /><Relationship Id="rId11" Target="media/image3.wmf" Type="http://schemas.openxmlformats.org/officeDocument/2006/relationships/image" /><Relationship Id="rId15" Target="header1.xml" Type="http://schemas.openxmlformats.org/officeDocument/2006/relationships/header" /><Relationship Id="rId10" Target="media/image2.png" Type="http://schemas.openxmlformats.org/officeDocument/2006/relationships/image" /><Relationship Type="http://schemas.openxmlformats.org/officeDocument/2006/relationships/image" Id="rId47" Target="media/rId47.png" /><Relationship Type="http://schemas.openxmlformats.org/officeDocument/2006/relationships/image" Id="rId74" Target="media/rId74.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hyperlink" Id="rId115"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115"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1326</Words>
  <Characters>7559</Characters>
  <Application>Microsoft Office Word</Application>
  <DocSecurity>0</DocSecurity>
  <Lines>62</Lines>
  <Paragraphs>17</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jet</vt:lpstr>
      <vt:lpstr>General Appearance</vt:lpstr>
      <vt:lpstr>The Main Text</vt:lpstr>
      <vt:lpstr>Major Headings</vt:lpstr>
      <vt:lpstr>    Sub-headings</vt:lpstr>
      <vt:lpstr>        Sub-subheadings</vt:lpstr>
      <vt:lpstr>    Numbering and spacing</vt:lpstr>
      <vt:lpstr>    Lists of items</vt:lpstr>
      <vt:lpstr>Equations</vt:lpstr>
      <vt:lpstr>Theorem Environments</vt:lpstr>
      <vt:lpstr>Illustrations and Photographs</vt:lpstr>
      <vt:lpstr>Tables</vt:lpstr>
      <vt:lpstr>Footnotes</vt:lpstr>
      <vt:lpstr>Running Heads</vt:lpstr>
      <vt:lpstr>This is the Appendix</vt:lpstr>
      <vt:lpstr>    This is the subappendix</vt:lpstr>
      <vt:lpstr>        Sub-subappendix</vt:lpstr>
      <vt:lpstr>        And again</vt:lpstr>
      <vt:lpstr>Another Appendix</vt:lpstr>
      <vt:lpstr>Acknowledgments</vt:lpstr>
      <vt:lpstr>References</vt:lpstr>
      <vt:lpstr>References</vt:lpstr>
      <vt:lpstr>    Journal reference:</vt:lpstr>
      <vt:lpstr>    Book reference:</vt:lpstr>
      <vt:lpstr>    Proceedings reference:</vt:lpstr>
    </vt:vector>
  </TitlesOfParts>
  <Company>wspc</Company>
  <LinksUpToDate>false</LinksUpToDate>
  <CharactersWithSpaces>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2026-05-19T23:26:03Z</dcterms:created>
  <dcterms:modified xsi:type="dcterms:W3CDTF">2026-05-19T23:26:03Z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