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Inisiatif Sekolah Bestari (Smart School)</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46 ini, sorotan analitis ditumpukan kepada trajektori perubahan dasar melalui tiga titik tolak penting, iaitu Rancangan Cheeseman 1946, Laporan Rahman Talib 1960, dan Inisiatif Sekolah Bestari (Smart School).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Inisiatif Sekolah Bestari (Smart School)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46)</w:t>
            </w:r>
          </w:p>
          <w:p>
            <w:pPr>
              <w:spacing w:after="100"/>
            </w:pPr>
            <w:r>
              <w:rPr>
                <w:rFonts w:ascii="Times New Roman" w:cs="Times New Roman" w:eastAsia="Times New Roman" w:hAnsi="Times New Roman"/>
                <w:color w:val="555555"/>
                <w:sz w:val="18"/>
                <w:szCs w:val="18"/>
              </w:rPr>
              <w:t xml:space="preserve">Penulis: AZLINA BINTI MANSOR | Tarikh: Khamis, 19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AZLINA BINTI MANSOR | Tarikh: Ahad, 20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AZLINA BINTI MANSOR | Tarikh: Rabu, 21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AZLINA BINTI MANSOR | Tarikh: Sabtu, 22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AZLINA BINTI MANSOR | Tarikh: Selasa, 23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2026-09-18T04:51:57.993Z</dcterms:created>
  <dcterms:modified xsi:type="dcterms:W3CDTF">2026-09-18T04:51:57.993Z</dcterms:modified>
</cp:coreProperties>
</file>

<file path=docProps/custom.xml><?xml version="1.0" encoding="utf-8"?>
<Properties xmlns="http://schemas.openxmlformats.org/officeDocument/2006/custom-properties" xmlns:vt="http://schemas.openxmlformats.org/officeDocument/2006/docPropsVTypes"/>
</file>