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EA5E9"/>
          <w:sz w:val="17"/>
        </w:rPr>
        <w:t>KEMENDIKTI SAINTEK  •  UNIVERSITAS NEGERI MALANG (UM)  •  FIP BK</w:t>
      </w:r>
    </w:p>
    <w:p>
      <w:pPr>
        <w:spacing w:before="80" w:after="40"/>
      </w:pPr>
      <w:r>
        <w:rPr>
          <w:rFonts w:ascii="Segoe UI" w:hAnsi="Segoe UI"/>
          <w:b/>
          <w:color w:val="0F3D91"/>
          <w:sz w:val="52"/>
        </w:rPr>
        <w:t>MY RESILIENCE</w:t>
      </w:r>
    </w:p>
    <w:p>
      <w:pPr>
        <w:spacing w:before="0" w:after="240"/>
      </w:pPr>
      <w:r>
        <w:rPr>
          <w:rFonts w:ascii="Calibri" w:hAnsi="Calibri"/>
          <w:i/>
          <w:color w:val="64748B"/>
          <w:sz w:val="22"/>
        </w:rPr>
        <w:t>Model Cybercounseling Berfokus Solusi (SFBC) Berbantuan Self-Help</w:t>
        <w:br/>
        <w:t>untuk Meningkatkan Resiliensi pada Remaja dengan Kerentanan Psikologis</w:t>
      </w:r>
    </w:p>
    <w:tbl>
      <w:tblPr>
        <w:tblW w:type="auto" w:w="0"/>
        <w:jc w:val="center"/>
        <w:tblLayout w:type="fixed"/>
        <w:tblLook w:firstColumn="1" w:firstRow="1" w:lastColumn="0" w:lastRow="0" w:noHBand="0" w:noVBand="1" w:val="04A0"/>
        <w:tblBorders>
          <w:top w:val="single" w:sz="6" w:space="0" w:color="E2E8F0"/>
          <w:left w:val="none"/>
          <w:bottom w:val="single" w:sz="6" w:space="0" w:color="E2E8F0"/>
          <w:right w:val="none"/>
          <w:insideH w:val="single" w:sz="4" w:space="0" w:color="E2E8F0"/>
          <w:insideV w:val="none"/>
        </w:tblBorders>
      </w:tblPr>
      <w:tblGrid>
        <w:gridCol w:w="4680"/>
        <w:gridCol w:w="4680"/>
      </w:tblGrid>
      <w:tr>
        <w:tc>
          <w:tcPr>
            <w:tcW w:type="dxa" w:w="4680"/>
            <w:shd w:fill="F8FAFC"/>
            <w:tcMar>
              <w:top w:w="80" w:type="dxa"/>
              <w:bottom w:w="80" w:type="dxa"/>
              <w:left w:w="120" w:type="dxa"/>
              <w:right w:w="120" w:type="dxa"/>
            </w:tcMar>
          </w:tcPr>
          <w:p>
            <w:pPr>
              <w:spacing w:before="0" w:after="0"/>
            </w:pPr>
            <w:r>
              <w:rPr>
                <w:rFonts w:ascii="Calibri" w:hAnsi="Calibri"/>
                <w:b/>
                <w:color w:val="1E293B"/>
                <w:sz w:val="19"/>
              </w:rPr>
              <w:t>Modul Dokumen</w:t>
            </w:r>
          </w:p>
        </w:tc>
        <w:tc>
          <w:tcPr>
            <w:tcW w:type="dxa" w:w="4680"/>
            <w:shd w:fill="FFFFFF"/>
            <w:tcMar>
              <w:top w:w="80" w:type="dxa"/>
              <w:bottom w:w="80" w:type="dxa"/>
              <w:left w:w="120" w:type="dxa"/>
              <w:right w:w="120" w:type="dxa"/>
            </w:tcMar>
          </w:tcPr>
          <w:p>
            <w:pPr>
              <w:spacing w:before="0" w:after="0"/>
            </w:pPr>
            <w:r>
              <w:rPr>
                <w:rFonts w:ascii="Calibri" w:hAnsi="Calibri"/>
                <w:color w:val="334155"/>
                <w:sz w:val="19"/>
              </w:rPr>
              <w:t>Panduan Pemantauan Resiliensi, Tinjauan Refleksi SFBC, dan Layanan Cybercounseling</w:t>
            </w:r>
          </w:p>
        </w:tc>
      </w:tr>
      <w:tr>
        <w:tc>
          <w:tcPr>
            <w:tcW w:type="dxa" w:w="4680"/>
            <w:shd w:fill="F8FAFC"/>
            <w:tcMar>
              <w:top w:w="80" w:type="dxa"/>
              <w:bottom w:w="80" w:type="dxa"/>
              <w:left w:w="120" w:type="dxa"/>
              <w:right w:w="120" w:type="dxa"/>
            </w:tcMar>
          </w:tcPr>
          <w:p>
            <w:pPr>
              <w:spacing w:before="0" w:after="0"/>
            </w:pPr>
            <w:r>
              <w:rPr>
                <w:rFonts w:ascii="Calibri" w:hAnsi="Calibri"/>
                <w:b/>
                <w:color w:val="1E293B"/>
                <w:sz w:val="19"/>
              </w:rPr>
              <w:t>Peran Pengguna (Role)</w:t>
            </w:r>
          </w:p>
        </w:tc>
        <w:tc>
          <w:tcPr>
            <w:tcW w:type="dxa" w:w="4680"/>
            <w:shd w:fill="FFFFFF"/>
            <w:tcMar>
              <w:top w:w="80" w:type="dxa"/>
              <w:bottom w:w="80" w:type="dxa"/>
              <w:left w:w="120" w:type="dxa"/>
              <w:right w:w="120" w:type="dxa"/>
            </w:tcMar>
          </w:tcPr>
          <w:p>
            <w:pPr>
              <w:spacing w:before="0" w:after="0"/>
            </w:pPr>
            <w:r>
              <w:rPr>
                <w:rFonts w:ascii="Calibri" w:hAnsi="Calibri"/>
                <w:color w:val="334155"/>
                <w:sz w:val="19"/>
              </w:rPr>
              <w:t>Konselor Pendamping (Guru BK / Dosen)</w:t>
            </w:r>
          </w:p>
        </w:tc>
      </w:tr>
      <w:tr>
        <w:tc>
          <w:tcPr>
            <w:tcW w:type="dxa" w:w="4680"/>
            <w:shd w:fill="F8FAFC"/>
            <w:tcMar>
              <w:top w:w="80" w:type="dxa"/>
              <w:bottom w:w="80" w:type="dxa"/>
              <w:left w:w="120" w:type="dxa"/>
              <w:right w:w="120" w:type="dxa"/>
            </w:tcMar>
          </w:tcPr>
          <w:p>
            <w:pPr>
              <w:spacing w:before="0" w:after="0"/>
            </w:pPr>
            <w:r>
              <w:rPr>
                <w:rFonts w:ascii="Calibri" w:hAnsi="Calibri"/>
                <w:b/>
                <w:color w:val="1E293B"/>
                <w:sz w:val="19"/>
              </w:rPr>
              <w:t>Tautan Akses Resmi</w:t>
            </w:r>
          </w:p>
        </w:tc>
        <w:tc>
          <w:tcPr>
            <w:tcW w:type="dxa" w:w="4680"/>
            <w:shd w:fill="FFFFFF"/>
            <w:tcMar>
              <w:top w:w="80" w:type="dxa"/>
              <w:bottom w:w="80" w:type="dxa"/>
              <w:left w:w="120" w:type="dxa"/>
              <w:right w:w="120" w:type="dxa"/>
            </w:tcMar>
          </w:tcPr>
          <w:p>
            <w:pPr>
              <w:spacing w:before="0" w:after="0"/>
            </w:pPr>
            <w:r>
              <w:rPr>
                <w:rFonts w:ascii="Calibri" w:hAnsi="Calibri"/>
                <w:b/>
                <w:color w:val="0F3D91"/>
                <w:sz w:val="19"/>
              </w:rPr>
              <w:t>https://myresilience.appocket.id</w:t>
            </w:r>
          </w:p>
        </w:tc>
      </w:tr>
      <w:tr>
        <w:tc>
          <w:tcPr>
            <w:tcW w:type="dxa" w:w="4680"/>
            <w:shd w:fill="F8FAFC"/>
            <w:tcMar>
              <w:top w:w="80" w:type="dxa"/>
              <w:bottom w:w="80" w:type="dxa"/>
              <w:left w:w="120" w:type="dxa"/>
              <w:right w:w="120" w:type="dxa"/>
            </w:tcMar>
          </w:tcPr>
          <w:p>
            <w:pPr>
              <w:spacing w:before="0" w:after="0"/>
            </w:pPr>
            <w:r>
              <w:rPr>
                <w:rFonts w:ascii="Calibri" w:hAnsi="Calibri"/>
                <w:b/>
                <w:color w:val="1E293B"/>
                <w:sz w:val="19"/>
              </w:rPr>
              <w:t>Tanggal Pembaruan</w:t>
            </w:r>
          </w:p>
        </w:tc>
        <w:tc>
          <w:tcPr>
            <w:tcW w:type="dxa" w:w="4680"/>
            <w:shd w:fill="FFFFFF"/>
            <w:tcMar>
              <w:top w:w="80" w:type="dxa"/>
              <w:bottom w:w="80" w:type="dxa"/>
              <w:left w:w="120" w:type="dxa"/>
              <w:right w:w="120" w:type="dxa"/>
            </w:tcMar>
          </w:tcPr>
          <w:p>
            <w:pPr>
              <w:spacing w:before="0" w:after="0"/>
            </w:pPr>
            <w:r>
              <w:rPr>
                <w:rFonts w:ascii="Calibri" w:hAnsi="Calibri"/>
                <w:color w:val="334155"/>
                <w:sz w:val="19"/>
              </w:rPr>
              <w:t>19 Oktober 2026</w:t>
            </w:r>
          </w:p>
        </w:tc>
      </w:tr>
    </w:tbl>
    <w:p>
      <w:pPr>
        <w:spacing w:before="240" w:after="280"/>
      </w:pPr>
      <w:r>
        <w:rPr>
          <w:color w:val="E2E8F0"/>
        </w:rPr>
        <w:t>———————————————————————————————————————————————————————</w:t>
      </w:r>
    </w:p>
    <w:p>
      <w:pPr>
        <w:keepNext/>
        <w:spacing w:before="320" w:after="120"/>
      </w:pPr>
      <w:r>
        <w:rPr>
          <w:rFonts w:ascii="Segoe UI" w:hAnsi="Segoe UI"/>
          <w:b/>
          <w:color w:val="0F3D91"/>
          <w:sz w:val="30"/>
        </w:rPr>
        <w:t>1. Pendahuluan Ringan</w:t>
      </w:r>
    </w:p>
    <w:p>
      <w:pPr>
        <w:spacing w:before="0" w:after="100" w:line="276" w:lineRule="auto"/>
      </w:pPr>
      <w:r>
        <w:rPr>
          <w:rFonts w:ascii="Calibri" w:hAnsi="Calibri"/>
          <w:i w:val="0"/>
          <w:color w:val="334155"/>
          <w:sz w:val="21"/>
        </w:rPr>
        <w:t>Selamat datang di Panel Konselor MY RESILIENCE. Platform ini merupakan sistem pendukung bimbingan konseling digital berbasis Solution-Focused Brief Counseling (SFBC) yang dirancang untuk membantu konselor dalam memantau, menganalisis, dan memfasilitasi penguatan resiliensi psikologis pada remaja dan siswa asuh.</w:t>
      </w:r>
    </w:p>
    <w:p>
      <w:pPr>
        <w:spacing w:before="0" w:after="100" w:line="276" w:lineRule="auto"/>
      </w:pPr>
      <w:r>
        <w:rPr>
          <w:rFonts w:ascii="Calibri" w:hAnsi="Calibri"/>
          <w:i w:val="0"/>
          <w:color w:val="334155"/>
          <w:sz w:val="21"/>
        </w:rPr>
        <w:t>Sebagai konselor pendamping, Anda memegang peranan krusial sebagai fasilitator pertumbuhan. Melalui antarmuka ini, Anda dapat meninjau skor instrumen resiliensi konseli secara kuantitatif, membedah narasi lembar kerja refleksi mandiri secara kualitatif, mengelola materi psikoedukasi, serta menghubungkan layanan mandiri dengan konseling tindak lanjut melalui komunikasi terintegrasi WhatsApp.</w:t>
      </w:r>
    </w:p>
    <w:p>
      <w:pPr>
        <w:keepNext/>
        <w:spacing w:before="320" w:after="120"/>
      </w:pPr>
      <w:r>
        <w:rPr>
          <w:rFonts w:ascii="Segoe UI" w:hAnsi="Segoe UI"/>
          <w:b/>
          <w:color w:val="0F3D91"/>
          <w:sz w:val="30"/>
        </w:rPr>
        <w:t>2. Prasyarat (Prerequisites)</w:t>
      </w:r>
    </w:p>
    <w:p>
      <w:pPr>
        <w:spacing w:before="0" w:after="100" w:line="276" w:lineRule="auto"/>
      </w:pPr>
      <w:r>
        <w:rPr>
          <w:rFonts w:ascii="Calibri" w:hAnsi="Calibri"/>
          <w:i w:val="0"/>
          <w:color w:val="334155"/>
          <w:sz w:val="21"/>
        </w:rPr>
        <w:t>Untuk mengoperasikan Panel Konselor secara optimal, pastikan prasyarat berikut terpenuhi:</w:t>
      </w:r>
    </w:p>
    <w:p>
      <w:pPr>
        <w:pStyle w:val="ListBullet"/>
        <w:spacing w:before="0" w:after="60" w:line="276" w:lineRule="auto"/>
      </w:pPr>
      <w:r>
        <w:rPr>
          <w:rFonts w:ascii="Calibri" w:hAnsi="Calibri"/>
          <w:b/>
          <w:color w:val="1E293B"/>
          <w:sz w:val="21"/>
        </w:rPr>
        <w:t xml:space="preserve">Hak Akses Akun: </w:t>
      </w:r>
      <w:r>
        <w:rPr>
          <w:rFonts w:ascii="Calibri" w:hAnsi="Calibri"/>
          <w:color w:val="334155"/>
          <w:sz w:val="21"/>
        </w:rPr>
        <w:t>Akun dengan hak akses (role) Konselor yang telah dibuat dan diaktivasi oleh Administrator Sistem.</w:t>
      </w:r>
    </w:p>
    <w:p>
      <w:pPr>
        <w:pStyle w:val="ListBullet"/>
        <w:spacing w:before="0" w:after="60" w:line="276" w:lineRule="auto"/>
      </w:pPr>
      <w:r>
        <w:rPr>
          <w:rFonts w:ascii="Calibri" w:hAnsi="Calibri"/>
          <w:b/>
          <w:color w:val="1E293B"/>
          <w:sz w:val="21"/>
        </w:rPr>
        <w:t xml:space="preserve">Perangkat Kerja: </w:t>
      </w:r>
      <w:r>
        <w:rPr>
          <w:rFonts w:ascii="Calibri" w:hAnsi="Calibri"/>
          <w:color w:val="334155"/>
          <w:sz w:val="21"/>
        </w:rPr>
        <w:t>Disarankan menggunakan Laptop atau Komputer Desktop dengan resolusi layar minimal 1366 × 768 piksel untuk kenyamanan membaca tabel analitik dan jawaban naratif panjang.</w:t>
      </w:r>
    </w:p>
    <w:p>
      <w:pPr>
        <w:pStyle w:val="ListBullet"/>
        <w:spacing w:before="0" w:after="60" w:line="276" w:lineRule="auto"/>
      </w:pPr>
      <w:r>
        <w:rPr>
          <w:rFonts w:ascii="Calibri" w:hAnsi="Calibri"/>
          <w:b/>
          <w:color w:val="1E293B"/>
          <w:sz w:val="21"/>
        </w:rPr>
        <w:t xml:space="preserve">Nomor WhatsApp Aktif: </w:t>
      </w:r>
      <w:r>
        <w:rPr>
          <w:rFonts w:ascii="Calibri" w:hAnsi="Calibri"/>
          <w:color w:val="334155"/>
          <w:sz w:val="21"/>
        </w:rPr>
        <w:t>Pastikan nomor telepon WhatsApp Anda yang aktif telah terpasang pada profil konselor Anda.</w:t>
      </w:r>
    </w:p>
    <w:p>
      <w:pPr>
        <w:pStyle w:val="ListBullet"/>
        <w:spacing w:before="0" w:after="60" w:line="276" w:lineRule="auto"/>
      </w:pPr>
      <w:r>
        <w:rPr>
          <w:rFonts w:ascii="Calibri" w:hAnsi="Calibri"/>
          <w:b/>
          <w:color w:val="1E293B"/>
          <w:sz w:val="21"/>
        </w:rPr>
        <w:t xml:space="preserve">Peramban Web: </w:t>
      </w:r>
      <w:r>
        <w:rPr>
          <w:rFonts w:ascii="Calibri" w:hAnsi="Calibri"/>
          <w:color w:val="334155"/>
          <w:sz w:val="21"/>
        </w:rPr>
        <w:t>Google Chrome, Mozilla Firefox, Microsoft Edge, atau Safari dengan fitur JavaScript aktif.</w:t>
      </w:r>
    </w:p>
    <w:p>
      <w:pPr>
        <w:pStyle w:val="ListBullet"/>
        <w:spacing w:before="0" w:after="60" w:line="276" w:lineRule="auto"/>
      </w:pPr>
      <w:r>
        <w:rPr>
          <w:rFonts w:ascii="Calibri" w:hAnsi="Calibri"/>
          <w:b/>
          <w:color w:val="1E293B"/>
          <w:sz w:val="21"/>
        </w:rPr>
        <w:t xml:space="preserve">Tautan Akses Resmi: </w:t>
      </w:r>
      <w:r>
        <w:rPr>
          <w:rFonts w:ascii="Calibri" w:hAnsi="Calibri"/>
          <w:color w:val="334155"/>
          <w:sz w:val="21"/>
        </w:rPr>
        <w:t>Masuk melalui peramban pada alamat resmi: https://myresilience.appocket.id</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2" w:space="0" w:color="F59E0B"/>
              <w:bottom w:val="none"/>
              <w:right w:val="none"/>
            </w:tcBorders>
            <w:tcMar>
              <w:top w:w="140" w:type="dxa"/>
              <w:bottom w:w="140" w:type="dxa"/>
              <w:left w:w="200" w:type="dxa"/>
              <w:right w:w="200" w:type="dxa"/>
            </w:tcMar>
          </w:tcPr>
          <w:p>
            <w:pPr>
              <w:spacing w:before="0" w:after="40" w:line="276" w:lineRule="auto"/>
            </w:pPr>
            <w:r>
              <w:rPr>
                <w:rFonts w:ascii="Calibri" w:hAnsi="Calibri"/>
                <w:b/>
                <w:color w:val="B45309"/>
                <w:sz w:val="20"/>
              </w:rPr>
              <w:t xml:space="preserve">⚠️ ETIKA KERAHASIAN DATA: </w:t>
            </w:r>
            <w:r>
              <w:rPr>
                <w:rFonts w:ascii="Calibri" w:hAnsi="Calibri"/>
                <w:color w:val="334155"/>
                <w:sz w:val="20"/>
              </w:rPr>
              <w:t>Kerahasiaan data pengisian kuesioner dan jawaban refleksi konseli dilindungi kode etik bimbingan konseling. Pastikan Anda selalu keluar (logout) dari akun setelah selesai menggunakan perangkat publik.</w:t>
            </w:r>
          </w:p>
        </w:tc>
      </w:tr>
    </w:tbl>
    <w:p>
      <w:pPr>
        <w:spacing w:before="0" w:after="80"/>
      </w:pPr>
    </w:p>
    <w:p>
      <w:pPr>
        <w:keepNext/>
        <w:spacing w:before="320" w:after="120"/>
      </w:pPr>
      <w:r>
        <w:rPr>
          <w:rFonts w:ascii="Segoe UI" w:hAnsi="Segoe UI"/>
          <w:b/>
          <w:color w:val="0F3D91"/>
          <w:sz w:val="30"/>
        </w:rPr>
        <w:t>3. Langkah Penggunaan (Step-by-Step)</w:t>
      </w:r>
    </w:p>
    <w:p>
      <w:pPr>
        <w:keepNext/>
        <w:spacing w:before="240" w:after="80"/>
      </w:pPr>
      <w:r>
        <w:rPr>
          <w:rFonts w:ascii="Segoe UI" w:hAnsi="Segoe UI"/>
          <w:b/>
          <w:color w:val="1E293B"/>
          <w:sz w:val="25"/>
        </w:rPr>
        <w:t>Langkah 1: Masuk ke Panel &amp; Memahami Dashboard Konselor</w:t>
      </w:r>
    </w:p>
    <w:p>
      <w:pPr>
        <w:spacing w:before="0" w:after="100" w:line="276" w:lineRule="auto"/>
      </w:pPr>
      <w:r>
        <w:rPr>
          <w:rFonts w:ascii="Calibri" w:hAnsi="Calibri"/>
          <w:i w:val="0"/>
          <w:color w:val="334155"/>
          <w:sz w:val="21"/>
        </w:rPr>
        <w:t>Buka tautan https://myresilience.appocket.id/login. Masukkan kredensial email konselor dan kata sandi Anda. Setelah berhasil masuk, Anda akan diarahkan ke Dashboard Konselor.</w:t>
      </w:r>
    </w:p>
    <w:p>
      <w:pPr>
        <w:keepNext/>
        <w:spacing w:before="120" w:after="40"/>
        <w:jc w:val="center"/>
      </w:pPr>
      <w:r>
        <w:drawing>
          <wp:inline xmlns:a="http://schemas.openxmlformats.org/drawingml/2006/main" xmlns:pic="http://schemas.openxmlformats.org/drawingml/2006/picture">
            <wp:extent cx="5486400" cy="2507488"/>
            <wp:docPr id="1" name="Picture 1"/>
            <wp:cNvGraphicFramePr>
              <a:graphicFrameLocks noChangeAspect="1"/>
            </wp:cNvGraphicFramePr>
            <a:graphic>
              <a:graphicData uri="http://schemas.openxmlformats.org/drawingml/2006/picture">
                <pic:pic>
                  <pic:nvPicPr>
                    <pic:cNvPr id="0" name="01_dashboard_konselor.png"/>
                    <pic:cNvPicPr/>
                  </pic:nvPicPr>
                  <pic:blipFill>
                    <a:blip r:embed="rId9"/>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1. Dashboard Utama Panel Konselor</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2880"/>
            <w:shd w:fill="0F3D91"/>
            <w:tcMar>
              <w:top w:w="100" w:type="dxa"/>
              <w:bottom w:w="100" w:type="dxa"/>
              <w:left w:w="120" w:type="dxa"/>
              <w:right w:w="120" w:type="dxa"/>
            </w:tcMar>
          </w:tcPr>
          <w:p>
            <w:pPr>
              <w:spacing w:before="0" w:after="0"/>
            </w:pPr>
            <w:r>
              <w:rPr>
                <w:rFonts w:ascii="Segoe UI" w:hAnsi="Segoe UI"/>
                <w:b/>
                <w:color w:val="FFFFFF"/>
                <w:sz w:val="19"/>
              </w:rPr>
              <w:t>Elemen Dashboard</w:t>
            </w:r>
          </w:p>
        </w:tc>
        <w:tc>
          <w:tcPr>
            <w:tcW w:type="dxa" w:w="6480"/>
            <w:shd w:fill="0F3D91"/>
            <w:tcMar>
              <w:top w:w="100" w:type="dxa"/>
              <w:bottom w:w="100" w:type="dxa"/>
              <w:left w:w="120" w:type="dxa"/>
              <w:right w:w="120" w:type="dxa"/>
            </w:tcMar>
          </w:tcPr>
          <w:p>
            <w:pPr>
              <w:spacing w:before="0" w:after="0"/>
            </w:pPr>
            <w:r>
              <w:rPr>
                <w:rFonts w:ascii="Segoe UI" w:hAnsi="Segoe UI"/>
                <w:b/>
                <w:color w:val="FFFFFF"/>
                <w:sz w:val="19"/>
              </w:rPr>
              <w:t>Fungsi &amp; Informasi yang Disajikan</w:t>
            </w:r>
          </w:p>
        </w:tc>
      </w:tr>
      <w:tr>
        <w:tc>
          <w:tcPr>
            <w:tcW w:type="dxa" w:w="2880"/>
            <w:shd w:fill="FFFFFF"/>
            <w:tcMar>
              <w:top w:w="80" w:type="dxa"/>
              <w:bottom w:w="80" w:type="dxa"/>
              <w:left w:w="120" w:type="dxa"/>
              <w:right w:w="120" w:type="dxa"/>
            </w:tcMar>
          </w:tcPr>
          <w:p>
            <w:pPr>
              <w:spacing w:before="0" w:after="0"/>
            </w:pPr>
            <w:r>
              <w:rPr>
                <w:rFonts w:ascii="Calibri" w:hAnsi="Calibri"/>
                <w:color w:val="334155"/>
                <w:sz w:val="19"/>
              </w:rPr>
              <w:t>Ringkasan Statistik</w:t>
            </w:r>
          </w:p>
        </w:tc>
        <w:tc>
          <w:tcPr>
            <w:tcW w:type="dxa" w:w="6480"/>
            <w:shd w:fill="FFFFFF"/>
            <w:tcMar>
              <w:top w:w="80" w:type="dxa"/>
              <w:bottom w:w="80" w:type="dxa"/>
              <w:left w:w="120" w:type="dxa"/>
              <w:right w:w="120" w:type="dxa"/>
            </w:tcMar>
          </w:tcPr>
          <w:p>
            <w:pPr>
              <w:spacing w:before="0" w:after="0"/>
            </w:pPr>
            <w:r>
              <w:rPr>
                <w:rFonts w:ascii="Calibri" w:hAnsi="Calibri"/>
                <w:color w:val="334155"/>
                <w:sz w:val="19"/>
              </w:rPr>
              <w:t>Menampilkan jumlah total konseli yang memilih Anda, jumlah yang telah tuntas Pre-Test, dan yang aktif pengerjaan SFBC.</w:t>
            </w:r>
          </w:p>
        </w:tc>
      </w:tr>
      <w:tr>
        <w:tc>
          <w:tcPr>
            <w:tcW w:type="dxa" w:w="2880"/>
            <w:shd w:fill="F8FAFC"/>
            <w:tcMar>
              <w:top w:w="80" w:type="dxa"/>
              <w:bottom w:w="80" w:type="dxa"/>
              <w:left w:w="120" w:type="dxa"/>
              <w:right w:w="120" w:type="dxa"/>
            </w:tcMar>
          </w:tcPr>
          <w:p>
            <w:pPr>
              <w:spacing w:before="0" w:after="0"/>
            </w:pPr>
            <w:r>
              <w:rPr>
                <w:rFonts w:ascii="Calibri" w:hAnsi="Calibri"/>
                <w:color w:val="334155"/>
                <w:sz w:val="19"/>
              </w:rPr>
              <w:t>Tabel Konseli Dampingan</w:t>
            </w:r>
          </w:p>
        </w:tc>
        <w:tc>
          <w:tcPr>
            <w:tcW w:type="dxa" w:w="6480"/>
            <w:shd w:fill="F8FAFC"/>
            <w:tcMar>
              <w:top w:w="80" w:type="dxa"/>
              <w:bottom w:w="80" w:type="dxa"/>
              <w:left w:w="120" w:type="dxa"/>
              <w:right w:w="120" w:type="dxa"/>
            </w:tcMar>
          </w:tcPr>
          <w:p>
            <w:pPr>
              <w:spacing w:before="0" w:after="0"/>
            </w:pPr>
            <w:r>
              <w:rPr>
                <w:rFonts w:ascii="Calibri" w:hAnsi="Calibri"/>
                <w:color w:val="334155"/>
                <w:sz w:val="19"/>
              </w:rPr>
              <w:t>Daftar seluruh konseli bimbingan Anda beserta status pengisian instrumen dan aktivitas terakhir.</w:t>
            </w:r>
          </w:p>
        </w:tc>
      </w:tr>
      <w:tr>
        <w:tc>
          <w:tcPr>
            <w:tcW w:type="dxa" w:w="2880"/>
            <w:shd w:fill="FFFFFF"/>
            <w:tcMar>
              <w:top w:w="80" w:type="dxa"/>
              <w:bottom w:w="80" w:type="dxa"/>
              <w:left w:w="120" w:type="dxa"/>
              <w:right w:w="120" w:type="dxa"/>
            </w:tcMar>
          </w:tcPr>
          <w:p>
            <w:pPr>
              <w:spacing w:before="0" w:after="0"/>
            </w:pPr>
            <w:r>
              <w:rPr>
                <w:rFonts w:ascii="Calibri" w:hAnsi="Calibri"/>
                <w:color w:val="334155"/>
                <w:sz w:val="19"/>
              </w:rPr>
              <w:t>Tombol Aksi Cepat</w:t>
            </w:r>
          </w:p>
        </w:tc>
        <w:tc>
          <w:tcPr>
            <w:tcW w:type="dxa" w:w="6480"/>
            <w:shd w:fill="FFFFFF"/>
            <w:tcMar>
              <w:top w:w="80" w:type="dxa"/>
              <w:bottom w:w="80" w:type="dxa"/>
              <w:left w:w="120" w:type="dxa"/>
              <w:right w:w="120" w:type="dxa"/>
            </w:tcMar>
          </w:tcPr>
          <w:p>
            <w:pPr>
              <w:spacing w:before="0" w:after="0"/>
            </w:pPr>
            <w:r>
              <w:rPr>
                <w:rFonts w:ascii="Calibri" w:hAnsi="Calibri"/>
                <w:color w:val="334155"/>
                <w:sz w:val="19"/>
              </w:rPr>
              <w:t>Tautan langsung menuju halaman Tinjau Wellbeing, Tinjau Jawaban Self-Help, dan Hubungi via WA.</w:t>
            </w:r>
          </w:p>
        </w:tc>
      </w:tr>
    </w:tbl>
    <w:p>
      <w:pPr>
        <w:spacing w:before="0" w:after="80"/>
      </w:pPr>
    </w:p>
    <w:p>
      <w:pPr>
        <w:keepNext/>
        <w:spacing w:before="240" w:after="80"/>
      </w:pPr>
      <w:r>
        <w:rPr>
          <w:rFonts w:ascii="Segoe UI" w:hAnsi="Segoe UI"/>
          <w:b/>
          <w:color w:val="1E293B"/>
          <w:sz w:val="25"/>
        </w:rPr>
        <w:t>Langkah 2: Meninjau Hasil Instrumen Resiliensi (Wellbeing)</w:t>
      </w:r>
    </w:p>
    <w:p>
      <w:pPr>
        <w:spacing w:before="0" w:after="100" w:line="276" w:lineRule="auto"/>
      </w:pPr>
      <w:r>
        <w:rPr>
          <w:rFonts w:ascii="Calibri" w:hAnsi="Calibri"/>
          <w:i w:val="0"/>
          <w:color w:val="334155"/>
          <w:sz w:val="21"/>
        </w:rPr>
        <w:t>Pada baris data konseli di tabel dashboard, klik tombol 'Lihat Hasil Instrumen'. Anda akan dialihkan ke halaman detail hasil pengukuran instrumen resiliensi konseli tersebut.</w:t>
      </w:r>
    </w:p>
    <w:p>
      <w:pPr>
        <w:keepNext/>
        <w:spacing w:before="120" w:after="40"/>
        <w:jc w:val="center"/>
      </w:pPr>
      <w:r>
        <w:drawing>
          <wp:inline xmlns:a="http://schemas.openxmlformats.org/drawingml/2006/main" xmlns:pic="http://schemas.openxmlformats.org/drawingml/2006/picture">
            <wp:extent cx="5486400" cy="2507488"/>
            <wp:docPr id="2" name="Picture 2"/>
            <wp:cNvGraphicFramePr>
              <a:graphicFrameLocks noChangeAspect="1"/>
            </wp:cNvGraphicFramePr>
            <a:graphic>
              <a:graphicData uri="http://schemas.openxmlformats.org/drawingml/2006/picture">
                <pic:pic>
                  <pic:nvPicPr>
                    <pic:cNvPr id="0" name="02_pantau_wellbeing_konseli.png"/>
                    <pic:cNvPicPr/>
                  </pic:nvPicPr>
                  <pic:blipFill>
                    <a:blip r:embed="rId10"/>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2. Pemantauan Rincian Skor &amp; Analisis Butir Resiliensi Konseli</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2880"/>
            <w:shd w:fill="0F3D91"/>
            <w:tcMar>
              <w:top w:w="100" w:type="dxa"/>
              <w:bottom w:w="100" w:type="dxa"/>
              <w:left w:w="120" w:type="dxa"/>
              <w:right w:w="120" w:type="dxa"/>
            </w:tcMar>
          </w:tcPr>
          <w:p>
            <w:pPr>
              <w:spacing w:before="0" w:after="0"/>
            </w:pPr>
            <w:r>
              <w:rPr>
                <w:rFonts w:ascii="Segoe UI" w:hAnsi="Segoe UI"/>
                <w:b/>
                <w:color w:val="FFFFFF"/>
                <w:sz w:val="19"/>
              </w:rPr>
              <w:t>Indikator / Data</w:t>
            </w:r>
          </w:p>
        </w:tc>
        <w:tc>
          <w:tcPr>
            <w:tcW w:type="dxa" w:w="6480"/>
            <w:shd w:fill="0F3D91"/>
            <w:tcMar>
              <w:top w:w="100" w:type="dxa"/>
              <w:bottom w:w="100" w:type="dxa"/>
              <w:left w:w="120" w:type="dxa"/>
              <w:right w:w="120" w:type="dxa"/>
            </w:tcMar>
          </w:tcPr>
          <w:p>
            <w:pPr>
              <w:spacing w:before="0" w:after="0"/>
            </w:pPr>
            <w:r>
              <w:rPr>
                <w:rFonts w:ascii="Segoe UI" w:hAnsi="Segoe UI"/>
                <w:b/>
                <w:color w:val="FFFFFF"/>
                <w:sz w:val="19"/>
              </w:rPr>
              <w:t>Keterangan Klinis</w:t>
            </w:r>
          </w:p>
        </w:tc>
      </w:tr>
      <w:tr>
        <w:tc>
          <w:tcPr>
            <w:tcW w:type="dxa" w:w="2880"/>
            <w:shd w:fill="FFFFFF"/>
            <w:tcMar>
              <w:top w:w="80" w:type="dxa"/>
              <w:bottom w:w="80" w:type="dxa"/>
              <w:left w:w="120" w:type="dxa"/>
              <w:right w:w="120" w:type="dxa"/>
            </w:tcMar>
          </w:tcPr>
          <w:p>
            <w:pPr>
              <w:spacing w:before="0" w:after="0"/>
            </w:pPr>
            <w:r>
              <w:rPr>
                <w:rFonts w:ascii="Calibri" w:hAnsi="Calibri"/>
                <w:color w:val="334155"/>
                <w:sz w:val="19"/>
              </w:rPr>
              <w:t>Skor Pre-Test</w:t>
            </w:r>
          </w:p>
        </w:tc>
        <w:tc>
          <w:tcPr>
            <w:tcW w:type="dxa" w:w="6480"/>
            <w:shd w:fill="FFFFFF"/>
            <w:tcMar>
              <w:top w:w="80" w:type="dxa"/>
              <w:bottom w:w="80" w:type="dxa"/>
              <w:left w:w="120" w:type="dxa"/>
              <w:right w:w="120" w:type="dxa"/>
            </w:tcMar>
          </w:tcPr>
          <w:p>
            <w:pPr>
              <w:spacing w:before="0" w:after="0"/>
            </w:pPr>
            <w:r>
              <w:rPr>
                <w:rFonts w:ascii="Calibri" w:hAnsi="Calibri"/>
                <w:color w:val="334155"/>
                <w:sz w:val="19"/>
              </w:rPr>
              <w:t>Skor total resiliensi awal sebelum intervensi self-help (rentang 30–150).</w:t>
            </w:r>
          </w:p>
        </w:tc>
      </w:tr>
      <w:tr>
        <w:tc>
          <w:tcPr>
            <w:tcW w:type="dxa" w:w="2880"/>
            <w:shd w:fill="F8FAFC"/>
            <w:tcMar>
              <w:top w:w="80" w:type="dxa"/>
              <w:bottom w:w="80" w:type="dxa"/>
              <w:left w:w="120" w:type="dxa"/>
              <w:right w:w="120" w:type="dxa"/>
            </w:tcMar>
          </w:tcPr>
          <w:p>
            <w:pPr>
              <w:spacing w:before="0" w:after="0"/>
            </w:pPr>
            <w:r>
              <w:rPr>
                <w:rFonts w:ascii="Calibri" w:hAnsi="Calibri"/>
                <w:color w:val="334155"/>
                <w:sz w:val="19"/>
              </w:rPr>
              <w:t>Kategori Tingkat Resiliensi</w:t>
            </w:r>
          </w:p>
        </w:tc>
        <w:tc>
          <w:tcPr>
            <w:tcW w:type="dxa" w:w="6480"/>
            <w:shd w:fill="F8FAFC"/>
            <w:tcMar>
              <w:top w:w="80" w:type="dxa"/>
              <w:bottom w:w="80" w:type="dxa"/>
              <w:left w:w="120" w:type="dxa"/>
              <w:right w:w="120" w:type="dxa"/>
            </w:tcMar>
          </w:tcPr>
          <w:p>
            <w:pPr>
              <w:spacing w:before="0" w:after="0"/>
            </w:pPr>
            <w:r>
              <w:rPr>
                <w:rFonts w:ascii="Calibri" w:hAnsi="Calibri"/>
                <w:color w:val="334155"/>
                <w:sz w:val="19"/>
              </w:rPr>
              <w:t>Interpretasi otomatis sistem (Rendah / Sedang / Tinggi) beserta narasi psikologis.</w:t>
            </w:r>
          </w:p>
        </w:tc>
      </w:tr>
      <w:tr>
        <w:tc>
          <w:tcPr>
            <w:tcW w:type="dxa" w:w="2880"/>
            <w:shd w:fill="FFFFFF"/>
            <w:tcMar>
              <w:top w:w="80" w:type="dxa"/>
              <w:bottom w:w="80" w:type="dxa"/>
              <w:left w:w="120" w:type="dxa"/>
              <w:right w:w="120" w:type="dxa"/>
            </w:tcMar>
          </w:tcPr>
          <w:p>
            <w:pPr>
              <w:spacing w:before="0" w:after="0"/>
            </w:pPr>
            <w:r>
              <w:rPr>
                <w:rFonts w:ascii="Calibri" w:hAnsi="Calibri"/>
                <w:color w:val="334155"/>
                <w:sz w:val="19"/>
              </w:rPr>
              <w:t>Rincian Per Butir Soal</w:t>
            </w:r>
          </w:p>
        </w:tc>
        <w:tc>
          <w:tcPr>
            <w:tcW w:type="dxa" w:w="6480"/>
            <w:shd w:fill="FFFFFF"/>
            <w:tcMar>
              <w:top w:w="80" w:type="dxa"/>
              <w:bottom w:w="80" w:type="dxa"/>
              <w:left w:w="120" w:type="dxa"/>
              <w:right w:w="120" w:type="dxa"/>
            </w:tcMar>
          </w:tcPr>
          <w:p>
            <w:pPr>
              <w:spacing w:before="0" w:after="0"/>
            </w:pPr>
            <w:r>
              <w:rPr>
                <w:rFonts w:ascii="Calibri" w:hAnsi="Calibri"/>
                <w:color w:val="334155"/>
                <w:sz w:val="19"/>
              </w:rPr>
              <w:t>Tabel jawaban lengkap konseli pada setiap nomor instrumen untuk mengidentifikasi aspek rentan.</w:t>
            </w:r>
          </w:p>
        </w:tc>
      </w:tr>
      <w:tr>
        <w:tc>
          <w:tcPr>
            <w:tcW w:type="dxa" w:w="2880"/>
            <w:shd w:fill="F8FAFC"/>
            <w:tcMar>
              <w:top w:w="80" w:type="dxa"/>
              <w:bottom w:w="80" w:type="dxa"/>
              <w:left w:w="120" w:type="dxa"/>
              <w:right w:w="120" w:type="dxa"/>
            </w:tcMar>
          </w:tcPr>
          <w:p>
            <w:pPr>
              <w:spacing w:before="0" w:after="0"/>
            </w:pPr>
            <w:r>
              <w:rPr>
                <w:rFonts w:ascii="Calibri" w:hAnsi="Calibri"/>
                <w:color w:val="334155"/>
                <w:sz w:val="19"/>
              </w:rPr>
              <w:t>Perbandingan Post-Test</w:t>
            </w:r>
          </w:p>
        </w:tc>
        <w:tc>
          <w:tcPr>
            <w:tcW w:type="dxa" w:w="6480"/>
            <w:shd w:fill="F8FAFC"/>
            <w:tcMar>
              <w:top w:w="80" w:type="dxa"/>
              <w:bottom w:w="80" w:type="dxa"/>
              <w:left w:w="120" w:type="dxa"/>
              <w:right w:w="120" w:type="dxa"/>
            </w:tcMar>
          </w:tcPr>
          <w:p>
            <w:pPr>
              <w:spacing w:before="0" w:after="0"/>
            </w:pPr>
            <w:r>
              <w:rPr>
                <w:rFonts w:ascii="Calibri" w:hAnsi="Calibri"/>
                <w:color w:val="334155"/>
                <w:sz w:val="19"/>
              </w:rPr>
              <w:t>Perbandingan selisih skor (gain score) sebelum dan sesudah intervensi modul self-help.</w:t>
            </w:r>
          </w:p>
        </w:tc>
      </w:tr>
    </w:tbl>
    <w:p>
      <w:pPr>
        <w:spacing w:before="0" w:after="80"/>
      </w:pPr>
    </w:p>
    <w:p>
      <w:pPr>
        <w:keepNext/>
        <w:spacing w:before="240" w:after="80"/>
      </w:pPr>
      <w:r>
        <w:rPr>
          <w:rFonts w:ascii="Segoe UI" w:hAnsi="Segoe UI"/>
          <w:b/>
          <w:color w:val="1E293B"/>
          <w:sz w:val="25"/>
        </w:rPr>
        <w:t>Langkah 3: Menggunakan Fitur Reset Instrumen (Bila Diperlukan)</w:t>
      </w:r>
    </w:p>
    <w:p>
      <w:pPr>
        <w:spacing w:before="0" w:after="100" w:line="276" w:lineRule="auto"/>
      </w:pPr>
      <w:r>
        <w:rPr>
          <w:rFonts w:ascii="Calibri" w:hAnsi="Calibri"/>
          <w:i w:val="0"/>
          <w:color w:val="334155"/>
          <w:sz w:val="21"/>
        </w:rPr>
        <w:t>Pada situasi khusus—misalnya konseli mengalami gangguan teknis saat pengisian, tidak sengaja menekan tombol selesai sebelum waktu semestinya, atau konselor menilai perlu dilakukan retake resmi—sistem menyediakan tombol 'Reset Tes'.</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left w:val="single" w:sz="32" w:space="0" w:color="F59E0B"/>
              <w:bottom w:val="none"/>
              <w:right w:val="none"/>
            </w:tcBorders>
            <w:tcMar>
              <w:top w:w="140" w:type="dxa"/>
              <w:bottom w:w="140" w:type="dxa"/>
              <w:left w:w="200" w:type="dxa"/>
              <w:right w:w="200" w:type="dxa"/>
            </w:tcMar>
          </w:tcPr>
          <w:p>
            <w:pPr>
              <w:spacing w:before="0" w:after="40" w:line="276" w:lineRule="auto"/>
            </w:pPr>
            <w:r>
              <w:rPr>
                <w:rFonts w:ascii="Calibri" w:hAnsi="Calibri"/>
                <w:b/>
                <w:color w:val="B45309"/>
                <w:sz w:val="20"/>
              </w:rPr>
              <w:t xml:space="preserve">⚠️ PERHATIAN FITUR RESET: </w:t>
            </w:r>
            <w:r>
              <w:rPr>
                <w:rFonts w:ascii="Calibri" w:hAnsi="Calibri"/>
                <w:color w:val="334155"/>
                <w:sz w:val="20"/>
              </w:rPr>
              <w:t>Fitur Reset Instrumen akan menghapus seluruh rekaman jawaban tes yang dipilih (Pre-Test atau Post-Test) secara permanen dan mengizinkan konseli untuk mengisi ulang dari awal. Gunakan tombol ini secara bijaksana.</w:t>
            </w:r>
          </w:p>
        </w:tc>
      </w:tr>
    </w:tbl>
    <w:p>
      <w:pPr>
        <w:spacing w:before="0" w:after="80"/>
      </w:pPr>
    </w:p>
    <w:p>
      <w:pPr>
        <w:keepNext/>
        <w:spacing w:before="240" w:after="80"/>
      </w:pPr>
      <w:r>
        <w:rPr>
          <w:rFonts w:ascii="Segoe UI" w:hAnsi="Segoe UI"/>
          <w:b/>
          <w:color w:val="1E293B"/>
          <w:sz w:val="25"/>
        </w:rPr>
        <w:t>Langkah 4: Meninjau Jawaban Lembar Kerja Refleksi SFBC Konseli</w:t>
      </w:r>
    </w:p>
    <w:p>
      <w:pPr>
        <w:spacing w:before="0" w:after="100" w:line="276" w:lineRule="auto"/>
      </w:pPr>
      <w:r>
        <w:rPr>
          <w:rFonts w:ascii="Calibri" w:hAnsi="Calibri"/>
          <w:i w:val="0"/>
          <w:color w:val="334155"/>
          <w:sz w:val="21"/>
        </w:rPr>
        <w:t>Klik tombol 'Tinjau Jawaban Self-Help' pada daftar konseli. Halaman ini menyajikan seluruh jawaban naratif konseli yang disusun berdasarkan 5 tahapan Solution-Focused Brief Counseling (SFBC).</w:t>
      </w:r>
    </w:p>
    <w:p>
      <w:pPr>
        <w:keepNext/>
        <w:spacing w:before="120" w:after="40"/>
        <w:jc w:val="center"/>
      </w:pPr>
      <w:r>
        <w:drawing>
          <wp:inline xmlns:a="http://schemas.openxmlformats.org/drawingml/2006/main" xmlns:pic="http://schemas.openxmlformats.org/drawingml/2006/picture">
            <wp:extent cx="5486400" cy="2507488"/>
            <wp:docPr id="3" name="Picture 3"/>
            <wp:cNvGraphicFramePr>
              <a:graphicFrameLocks noChangeAspect="1"/>
            </wp:cNvGraphicFramePr>
            <a:graphic>
              <a:graphicData uri="http://schemas.openxmlformats.org/drawingml/2006/picture">
                <pic:pic>
                  <pic:nvPicPr>
                    <pic:cNvPr id="0" name="03_pantau_sfbc_konseli.png"/>
                    <pic:cNvPicPr/>
                  </pic:nvPicPr>
                  <pic:blipFill>
                    <a:blip r:embed="rId11"/>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3. Peninjauan Jawaban Narasi 5 Tahapan SFBC Konseli</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3168"/>
            <w:shd w:fill="0F3D91"/>
            <w:tcMar>
              <w:top w:w="100" w:type="dxa"/>
              <w:bottom w:w="100" w:type="dxa"/>
              <w:left w:w="120" w:type="dxa"/>
              <w:right w:w="120" w:type="dxa"/>
            </w:tcMar>
          </w:tcPr>
          <w:p>
            <w:pPr>
              <w:spacing w:before="0" w:after="0"/>
            </w:pPr>
            <w:r>
              <w:rPr>
                <w:rFonts w:ascii="Segoe UI" w:hAnsi="Segoe UI"/>
                <w:b/>
                <w:color w:val="FFFFFF"/>
                <w:sz w:val="19"/>
              </w:rPr>
              <w:t>Tahapan SFBC</w:t>
            </w:r>
          </w:p>
        </w:tc>
        <w:tc>
          <w:tcPr>
            <w:tcW w:type="dxa" w:w="6192"/>
            <w:shd w:fill="0F3D91"/>
            <w:tcMar>
              <w:top w:w="100" w:type="dxa"/>
              <w:bottom w:w="100" w:type="dxa"/>
              <w:left w:w="120" w:type="dxa"/>
              <w:right w:w="120" w:type="dxa"/>
            </w:tcMar>
          </w:tcPr>
          <w:p>
            <w:pPr>
              <w:spacing w:before="0" w:after="0"/>
            </w:pPr>
            <w:r>
              <w:rPr>
                <w:rFonts w:ascii="Segoe UI" w:hAnsi="Segoe UI"/>
                <w:b/>
                <w:color w:val="FFFFFF"/>
                <w:sz w:val="19"/>
              </w:rPr>
              <w:t>Panduan Telaah Konselor</w:t>
            </w:r>
          </w:p>
        </w:tc>
      </w:tr>
      <w:tr>
        <w:tc>
          <w:tcPr>
            <w:tcW w:type="dxa" w:w="3168"/>
            <w:shd w:fill="FFFFFF"/>
            <w:tcMar>
              <w:top w:w="80" w:type="dxa"/>
              <w:bottom w:w="80" w:type="dxa"/>
              <w:left w:w="120" w:type="dxa"/>
              <w:right w:w="120" w:type="dxa"/>
            </w:tcMar>
          </w:tcPr>
          <w:p>
            <w:pPr>
              <w:spacing w:before="0" w:after="0"/>
            </w:pPr>
            <w:r>
              <w:rPr>
                <w:rFonts w:ascii="Calibri" w:hAnsi="Calibri"/>
                <w:color w:val="334155"/>
                <w:sz w:val="19"/>
              </w:rPr>
              <w:t>1. Goal Setting (Tujuan)</w:t>
            </w:r>
          </w:p>
        </w:tc>
        <w:tc>
          <w:tcPr>
            <w:tcW w:type="dxa" w:w="6192"/>
            <w:shd w:fill="FFFFFF"/>
            <w:tcMar>
              <w:top w:w="80" w:type="dxa"/>
              <w:bottom w:w="80" w:type="dxa"/>
              <w:left w:w="120" w:type="dxa"/>
              <w:right w:w="120" w:type="dxa"/>
            </w:tcMar>
          </w:tcPr>
          <w:p>
            <w:pPr>
              <w:spacing w:before="0" w:after="0"/>
            </w:pPr>
            <w:r>
              <w:rPr>
                <w:rFonts w:ascii="Calibri" w:hAnsi="Calibri"/>
                <w:color w:val="334155"/>
                <w:sz w:val="19"/>
              </w:rPr>
              <w:t>Periksa apakah tujuan perubahan yang dirumuskan konseli sudah positif, spesifik, dan realistis.</w:t>
            </w:r>
          </w:p>
        </w:tc>
      </w:tr>
      <w:tr>
        <w:tc>
          <w:tcPr>
            <w:tcW w:type="dxa" w:w="3168"/>
            <w:shd w:fill="F8FAFC"/>
            <w:tcMar>
              <w:top w:w="80" w:type="dxa"/>
              <w:bottom w:w="80" w:type="dxa"/>
              <w:left w:w="120" w:type="dxa"/>
              <w:right w:w="120" w:type="dxa"/>
            </w:tcMar>
          </w:tcPr>
          <w:p>
            <w:pPr>
              <w:spacing w:before="0" w:after="0"/>
            </w:pPr>
            <w:r>
              <w:rPr>
                <w:rFonts w:ascii="Calibri" w:hAnsi="Calibri"/>
                <w:color w:val="334155"/>
                <w:sz w:val="19"/>
              </w:rPr>
              <w:t>2. Exception Finding (Pengecualian)</w:t>
            </w:r>
          </w:p>
        </w:tc>
        <w:tc>
          <w:tcPr>
            <w:tcW w:type="dxa" w:w="6192"/>
            <w:shd w:fill="F8FAFC"/>
            <w:tcMar>
              <w:top w:w="80" w:type="dxa"/>
              <w:bottom w:w="80" w:type="dxa"/>
              <w:left w:w="120" w:type="dxa"/>
              <w:right w:w="120" w:type="dxa"/>
            </w:tcMar>
          </w:tcPr>
          <w:p>
            <w:pPr>
              <w:spacing w:before="0" w:after="0"/>
            </w:pPr>
            <w:r>
              <w:rPr>
                <w:rFonts w:ascii="Calibri" w:hAnsi="Calibri"/>
                <w:color w:val="334155"/>
                <w:sz w:val="19"/>
              </w:rPr>
              <w:t>Cermati sumber daya internal atau keberhasilan masa lalu yang ditemukan konseli saat situasi sulit.</w:t>
            </w:r>
          </w:p>
        </w:tc>
      </w:tr>
      <w:tr>
        <w:tc>
          <w:tcPr>
            <w:tcW w:type="dxa" w:w="3168"/>
            <w:shd w:fill="FFFFFF"/>
            <w:tcMar>
              <w:top w:w="80" w:type="dxa"/>
              <w:bottom w:w="80" w:type="dxa"/>
              <w:left w:w="120" w:type="dxa"/>
              <w:right w:w="120" w:type="dxa"/>
            </w:tcMar>
          </w:tcPr>
          <w:p>
            <w:pPr>
              <w:spacing w:before="0" w:after="0"/>
            </w:pPr>
            <w:r>
              <w:rPr>
                <w:rFonts w:ascii="Calibri" w:hAnsi="Calibri"/>
                <w:color w:val="334155"/>
                <w:sz w:val="19"/>
              </w:rPr>
              <w:t>3. Solution Building (Bangun Solusi)</w:t>
            </w:r>
          </w:p>
        </w:tc>
        <w:tc>
          <w:tcPr>
            <w:tcW w:type="dxa" w:w="6192"/>
            <w:shd w:fill="FFFFFF"/>
            <w:tcMar>
              <w:top w:w="80" w:type="dxa"/>
              <w:bottom w:w="80" w:type="dxa"/>
              <w:left w:w="120" w:type="dxa"/>
              <w:right w:w="120" w:type="dxa"/>
            </w:tcMar>
          </w:tcPr>
          <w:p>
            <w:pPr>
              <w:spacing w:before="0" w:after="0"/>
            </w:pPr>
            <w:r>
              <w:rPr>
                <w:rFonts w:ascii="Calibri" w:hAnsi="Calibri"/>
                <w:color w:val="334155"/>
                <w:sz w:val="19"/>
              </w:rPr>
              <w:t>Evaluasi strategi atau opsi tindakan yang ingin dicoba kembali oleh konseli.</w:t>
            </w:r>
          </w:p>
        </w:tc>
      </w:tr>
      <w:tr>
        <w:tc>
          <w:tcPr>
            <w:tcW w:type="dxa" w:w="3168"/>
            <w:shd w:fill="F8FAFC"/>
            <w:tcMar>
              <w:top w:w="80" w:type="dxa"/>
              <w:bottom w:w="80" w:type="dxa"/>
              <w:left w:w="120" w:type="dxa"/>
              <w:right w:w="120" w:type="dxa"/>
            </w:tcMar>
          </w:tcPr>
          <w:p>
            <w:pPr>
              <w:spacing w:before="0" w:after="0"/>
            </w:pPr>
            <w:r>
              <w:rPr>
                <w:rFonts w:ascii="Calibri" w:hAnsi="Calibri"/>
                <w:color w:val="334155"/>
                <w:sz w:val="19"/>
              </w:rPr>
              <w:t>4. Scaling Questions (Skala 1–10)</w:t>
            </w:r>
          </w:p>
        </w:tc>
        <w:tc>
          <w:tcPr>
            <w:tcW w:type="dxa" w:w="6192"/>
            <w:shd w:fill="F8FAFC"/>
            <w:tcMar>
              <w:top w:w="80" w:type="dxa"/>
              <w:bottom w:w="80" w:type="dxa"/>
              <w:left w:w="120" w:type="dxa"/>
              <w:right w:w="120" w:type="dxa"/>
            </w:tcMar>
          </w:tcPr>
          <w:p>
            <w:pPr>
              <w:spacing w:before="0" w:after="0"/>
            </w:pPr>
            <w:r>
              <w:rPr>
                <w:rFonts w:ascii="Calibri" w:hAnsi="Calibri"/>
                <w:color w:val="334155"/>
                <w:sz w:val="19"/>
              </w:rPr>
              <w:t>Identifikasi angka skala keyakinan konseli dan alasan mengapa konseli tidak memilih angka lebih rendah.</w:t>
            </w:r>
          </w:p>
        </w:tc>
      </w:tr>
      <w:tr>
        <w:tc>
          <w:tcPr>
            <w:tcW w:type="dxa" w:w="3168"/>
            <w:shd w:fill="FFFFFF"/>
            <w:tcMar>
              <w:top w:w="80" w:type="dxa"/>
              <w:bottom w:w="80" w:type="dxa"/>
              <w:left w:w="120" w:type="dxa"/>
              <w:right w:w="120" w:type="dxa"/>
            </w:tcMar>
          </w:tcPr>
          <w:p>
            <w:pPr>
              <w:spacing w:before="0" w:after="0"/>
            </w:pPr>
            <w:r>
              <w:rPr>
                <w:rFonts w:ascii="Calibri" w:hAnsi="Calibri"/>
                <w:color w:val="334155"/>
                <w:sz w:val="19"/>
              </w:rPr>
              <w:t>5. Action Plan (Misi Nyata)</w:t>
            </w:r>
          </w:p>
        </w:tc>
        <w:tc>
          <w:tcPr>
            <w:tcW w:type="dxa" w:w="6192"/>
            <w:shd w:fill="FFFFFF"/>
            <w:tcMar>
              <w:top w:w="80" w:type="dxa"/>
              <w:bottom w:w="80" w:type="dxa"/>
              <w:left w:w="120" w:type="dxa"/>
              <w:right w:w="120" w:type="dxa"/>
            </w:tcMar>
          </w:tcPr>
          <w:p>
            <w:pPr>
              <w:spacing w:before="0" w:after="0"/>
            </w:pPr>
            <w:r>
              <w:rPr>
                <w:rFonts w:ascii="Calibri" w:hAnsi="Calibri"/>
                <w:color w:val="334155"/>
                <w:sz w:val="19"/>
              </w:rPr>
              <w:t>Tinjau komitmen tugas nyata 24 jam ke depan yang telah dirancang konseli untuk dievaluasi pada sesi tindak lanjut.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DF4"/>
            <w:tcBorders>
              <w:top w:val="none"/>
              <w:left w:val="single" w:sz="32" w:space="0" w:color="10B981"/>
              <w:bottom w:val="none"/>
              <w:right w:val="none"/>
            </w:tcBorders>
            <w:tcMar>
              <w:top w:w="140" w:type="dxa"/>
              <w:bottom w:w="140" w:type="dxa"/>
              <w:left w:w="200" w:type="dxa"/>
              <w:right w:w="200" w:type="dxa"/>
            </w:tcMar>
          </w:tcPr>
          <w:p>
            <w:pPr>
              <w:spacing w:before="0" w:after="40" w:line="276" w:lineRule="auto"/>
            </w:pPr>
            <w:r>
              <w:rPr>
                <w:rFonts w:ascii="Calibri" w:hAnsi="Calibri"/>
                <w:b/>
                <w:color w:val="109566"/>
                <w:sz w:val="20"/>
              </w:rPr>
              <w:t xml:space="preserve">💡 TIPS KONSELING EFEKTIF: </w:t>
            </w:r>
            <w:r>
              <w:rPr>
                <w:rFonts w:ascii="Calibri" w:hAnsi="Calibri"/>
                <w:color w:val="334155"/>
                <w:sz w:val="20"/>
              </w:rPr>
              <w:t>Catat poin-poin unik dari jawaban naratif konseli pada lembar refleksi ini sebagai modal pembahasan yang empatik saat Anda berkomunikasi melalui WhatsApp atau sesi konseling tatap muka.</w:t>
            </w:r>
          </w:p>
        </w:tc>
      </w:tr>
    </w:tbl>
    <w:p>
      <w:pPr>
        <w:spacing w:before="0" w:after="80"/>
      </w:pPr>
    </w:p>
    <w:p>
      <w:pPr>
        <w:keepNext/>
        <w:spacing w:before="240" w:after="80"/>
      </w:pPr>
      <w:r>
        <w:rPr>
          <w:rFonts w:ascii="Segoe UI" w:hAnsi="Segoe UI"/>
          <w:b/>
          <w:color w:val="1E293B"/>
          <w:sz w:val="25"/>
        </w:rPr>
        <w:t>Langkah 5: Mengelola Materi Psikoedukasi Pembelajaran (Lessons)</w:t>
      </w:r>
    </w:p>
    <w:p>
      <w:pPr>
        <w:spacing w:before="0" w:after="100" w:line="276" w:lineRule="auto"/>
      </w:pPr>
      <w:r>
        <w:rPr>
          <w:rFonts w:ascii="Calibri" w:hAnsi="Calibri"/>
          <w:i w:val="0"/>
          <w:color w:val="334155"/>
          <w:sz w:val="21"/>
        </w:rPr>
        <w:t>Konselor memiliki hak akses untuk mempublikasikan materi edukasi tambahan bagi konseli. Buka menu 'Materi Pembelajaran' pada bilah sisi navigasi.</w:t>
      </w:r>
    </w:p>
    <w:p>
      <w:pPr>
        <w:keepNext/>
        <w:spacing w:before="120" w:after="40"/>
        <w:jc w:val="center"/>
      </w:pPr>
      <w:r>
        <w:drawing>
          <wp:inline xmlns:a="http://schemas.openxmlformats.org/drawingml/2006/main" xmlns:pic="http://schemas.openxmlformats.org/drawingml/2006/picture">
            <wp:extent cx="5486400" cy="2507488"/>
            <wp:docPr id="4" name="Picture 4"/>
            <wp:cNvGraphicFramePr>
              <a:graphicFrameLocks noChangeAspect="1"/>
            </wp:cNvGraphicFramePr>
            <a:graphic>
              <a:graphicData uri="http://schemas.openxmlformats.org/drawingml/2006/picture">
                <pic:pic>
                  <pic:nvPicPr>
                    <pic:cNvPr id="0" name="04_kelola_lessons.png"/>
                    <pic:cNvPicPr/>
                  </pic:nvPicPr>
                  <pic:blipFill>
                    <a:blip r:embed="rId12"/>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4. Panel Manajemen Materi Edukasi Konselor</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680"/>
        <w:gridCol w:w="4680"/>
      </w:tblGrid>
      <w:tr>
        <w:tc>
          <w:tcPr>
            <w:tcW w:type="dxa" w:w="2592"/>
            <w:shd w:fill="0F3D91"/>
            <w:tcMar>
              <w:top w:w="100" w:type="dxa"/>
              <w:bottom w:w="100" w:type="dxa"/>
              <w:left w:w="120" w:type="dxa"/>
              <w:right w:w="120" w:type="dxa"/>
            </w:tcMar>
          </w:tcPr>
          <w:p>
            <w:pPr>
              <w:spacing w:before="0" w:after="0"/>
            </w:pPr>
            <w:r>
              <w:rPr>
                <w:rFonts w:ascii="Segoe UI" w:hAnsi="Segoe UI"/>
                <w:b/>
                <w:color w:val="FFFFFF"/>
                <w:sz w:val="19"/>
              </w:rPr>
              <w:t>Kolom Input</w:t>
            </w:r>
          </w:p>
        </w:tc>
        <w:tc>
          <w:tcPr>
            <w:tcW w:type="dxa" w:w="6768"/>
            <w:shd w:fill="0F3D91"/>
            <w:tcMar>
              <w:top w:w="100" w:type="dxa"/>
              <w:bottom w:w="100" w:type="dxa"/>
              <w:left w:w="120" w:type="dxa"/>
              <w:right w:w="120" w:type="dxa"/>
            </w:tcMar>
          </w:tcPr>
          <w:p>
            <w:pPr>
              <w:spacing w:before="0" w:after="0"/>
            </w:pPr>
            <w:r>
              <w:rPr>
                <w:rFonts w:ascii="Segoe UI" w:hAnsi="Segoe UI"/>
                <w:b/>
                <w:color w:val="FFFFFF"/>
                <w:sz w:val="19"/>
              </w:rPr>
              <w:t>Penjelasan</w:t>
            </w:r>
          </w:p>
        </w:tc>
      </w:tr>
      <w:tr>
        <w:tc>
          <w:tcPr>
            <w:tcW w:type="dxa" w:w="2592"/>
            <w:shd w:fill="FFFFFF"/>
            <w:tcMar>
              <w:top w:w="80" w:type="dxa"/>
              <w:bottom w:w="80" w:type="dxa"/>
              <w:left w:w="120" w:type="dxa"/>
              <w:right w:w="120" w:type="dxa"/>
            </w:tcMar>
          </w:tcPr>
          <w:p>
            <w:pPr>
              <w:spacing w:before="0" w:after="0"/>
            </w:pPr>
            <w:r>
              <w:rPr>
                <w:rFonts w:ascii="Calibri" w:hAnsi="Calibri"/>
                <w:color w:val="334155"/>
                <w:sz w:val="19"/>
              </w:rPr>
              <w:t>Judul Materi</w:t>
            </w:r>
          </w:p>
        </w:tc>
        <w:tc>
          <w:tcPr>
            <w:tcW w:type="dxa" w:w="6768"/>
            <w:shd w:fill="FFFFFF"/>
            <w:tcMar>
              <w:top w:w="80" w:type="dxa"/>
              <w:bottom w:w="80" w:type="dxa"/>
              <w:left w:w="120" w:type="dxa"/>
              <w:right w:w="120" w:type="dxa"/>
            </w:tcMar>
          </w:tcPr>
          <w:p>
            <w:pPr>
              <w:spacing w:before="0" w:after="0"/>
            </w:pPr>
            <w:r>
              <w:rPr>
                <w:rFonts w:ascii="Calibri" w:hAnsi="Calibri"/>
                <w:color w:val="334155"/>
                <w:sz w:val="19"/>
              </w:rPr>
              <w:t>Nama materi yang menarik dan edukatif bagi remaja.</w:t>
            </w:r>
          </w:p>
        </w:tc>
      </w:tr>
      <w:tr>
        <w:tc>
          <w:tcPr>
            <w:tcW w:type="dxa" w:w="2592"/>
            <w:shd w:fill="F8FAFC"/>
            <w:tcMar>
              <w:top w:w="80" w:type="dxa"/>
              <w:bottom w:w="80" w:type="dxa"/>
              <w:left w:w="120" w:type="dxa"/>
              <w:right w:w="120" w:type="dxa"/>
            </w:tcMar>
          </w:tcPr>
          <w:p>
            <w:pPr>
              <w:spacing w:before="0" w:after="0"/>
            </w:pPr>
            <w:r>
              <w:rPr>
                <w:rFonts w:ascii="Calibri" w:hAnsi="Calibri"/>
                <w:color w:val="334155"/>
                <w:sz w:val="19"/>
              </w:rPr>
              <w:t>Kategori</w:t>
            </w:r>
          </w:p>
        </w:tc>
        <w:tc>
          <w:tcPr>
            <w:tcW w:type="dxa" w:w="6768"/>
            <w:shd w:fill="F8FAFC"/>
            <w:tcMar>
              <w:top w:w="80" w:type="dxa"/>
              <w:bottom w:w="80" w:type="dxa"/>
              <w:left w:w="120" w:type="dxa"/>
              <w:right w:w="120" w:type="dxa"/>
            </w:tcMar>
          </w:tcPr>
          <w:p>
            <w:pPr>
              <w:spacing w:before="0" w:after="0"/>
            </w:pPr>
            <w:r>
              <w:rPr>
                <w:rFonts w:ascii="Calibri" w:hAnsi="Calibri"/>
                <w:color w:val="334155"/>
                <w:sz w:val="19"/>
              </w:rPr>
              <w:t>Topik psikologis (misal: Manajemen Emosi, Strategi Belajar, Relasi Teman Sebaya).</w:t>
            </w:r>
          </w:p>
        </w:tc>
      </w:tr>
      <w:tr>
        <w:tc>
          <w:tcPr>
            <w:tcW w:type="dxa" w:w="2592"/>
            <w:shd w:fill="FFFFFF"/>
            <w:tcMar>
              <w:top w:w="80" w:type="dxa"/>
              <w:bottom w:w="80" w:type="dxa"/>
              <w:left w:w="120" w:type="dxa"/>
              <w:right w:w="120" w:type="dxa"/>
            </w:tcMar>
          </w:tcPr>
          <w:p>
            <w:pPr>
              <w:spacing w:before="0" w:after="0"/>
            </w:pPr>
            <w:r>
              <w:rPr>
                <w:rFonts w:ascii="Calibri" w:hAnsi="Calibri"/>
                <w:color w:val="334155"/>
                <w:sz w:val="19"/>
              </w:rPr>
              <w:t>Konten / Isi Materi</w:t>
            </w:r>
          </w:p>
        </w:tc>
        <w:tc>
          <w:tcPr>
            <w:tcW w:type="dxa" w:w="6768"/>
            <w:shd w:fill="FFFFFF"/>
            <w:tcMar>
              <w:top w:w="80" w:type="dxa"/>
              <w:bottom w:w="80" w:type="dxa"/>
              <w:left w:w="120" w:type="dxa"/>
              <w:right w:w="120" w:type="dxa"/>
            </w:tcMar>
          </w:tcPr>
          <w:p>
            <w:pPr>
              <w:spacing w:before="0" w:after="0"/>
            </w:pPr>
            <w:r>
              <w:rPr>
                <w:rFonts w:ascii="Calibri" w:hAnsi="Calibri"/>
                <w:color w:val="334155"/>
                <w:sz w:val="19"/>
              </w:rPr>
              <w:t>Uraian teks edukatif, tips praktis, panduan langkah demi langkah, atau tautan bacaan.</w:t>
            </w:r>
          </w:p>
        </w:tc>
      </w:tr>
      <w:tr>
        <w:tc>
          <w:tcPr>
            <w:tcW w:type="dxa" w:w="2592"/>
            <w:shd w:fill="F8FAFC"/>
            <w:tcMar>
              <w:top w:w="80" w:type="dxa"/>
              <w:bottom w:w="80" w:type="dxa"/>
              <w:left w:w="120" w:type="dxa"/>
              <w:right w:w="120" w:type="dxa"/>
            </w:tcMar>
          </w:tcPr>
          <w:p>
            <w:pPr>
              <w:spacing w:before="0" w:after="0"/>
            </w:pPr>
            <w:r>
              <w:rPr>
                <w:rFonts w:ascii="Calibri" w:hAnsi="Calibri"/>
                <w:color w:val="334155"/>
                <w:sz w:val="19"/>
              </w:rPr>
              <w:t>Status Publikasi</w:t>
            </w:r>
          </w:p>
        </w:tc>
        <w:tc>
          <w:tcPr>
            <w:tcW w:type="dxa" w:w="6768"/>
            <w:shd w:fill="F8FAFC"/>
            <w:tcMar>
              <w:top w:w="80" w:type="dxa"/>
              <w:bottom w:w="80" w:type="dxa"/>
              <w:left w:w="120" w:type="dxa"/>
              <w:right w:w="120" w:type="dxa"/>
            </w:tcMar>
          </w:tcPr>
          <w:p>
            <w:pPr>
              <w:spacing w:before="0" w:after="0"/>
            </w:pPr>
            <w:r>
              <w:rPr>
                <w:rFonts w:ascii="Calibri" w:hAnsi="Calibri"/>
                <w:color w:val="334155"/>
                <w:sz w:val="19"/>
              </w:rPr>
              <w:t>Pilihan status: Draf (hanya terlihat oleh konselor) atau Terbit (dapat dibaca seluruh konseli).</w:t>
            </w:r>
          </w:p>
        </w:tc>
      </w:tr>
    </w:tbl>
    <w:p>
      <w:pPr>
        <w:spacing w:before="0" w:after="80"/>
      </w:pPr>
    </w:p>
    <w:p>
      <w:pPr>
        <w:keepNext/>
        <w:spacing w:before="240" w:after="80"/>
      </w:pPr>
      <w:r>
        <w:rPr>
          <w:rFonts w:ascii="Segoe UI" w:hAnsi="Segoe UI"/>
          <w:b/>
          <w:color w:val="1E293B"/>
          <w:sz w:val="25"/>
        </w:rPr>
        <w:t>Langkah 6: Mengatur Profil Publik &amp; Kontak Layanan WhatsApp</w:t>
      </w:r>
    </w:p>
    <w:p>
      <w:pPr>
        <w:spacing w:before="0" w:after="100" w:line="276" w:lineRule="auto"/>
      </w:pPr>
      <w:r>
        <w:rPr>
          <w:rFonts w:ascii="Calibri" w:hAnsi="Calibri"/>
          <w:i w:val="0"/>
          <w:color w:val="334155"/>
          <w:sz w:val="21"/>
        </w:rPr>
        <w:t>Profil Anda akan tampil langsung di hadapan calon konseli pada katalog konselor. Klik menu 'Profil Saya' untuk melakukan pembaruan informasi biografi Anda.</w:t>
      </w:r>
    </w:p>
    <w:p>
      <w:pPr>
        <w:keepNext/>
        <w:spacing w:before="120" w:after="40"/>
        <w:jc w:val="center"/>
      </w:pPr>
      <w:r>
        <w:drawing>
          <wp:inline xmlns:a="http://schemas.openxmlformats.org/drawingml/2006/main" xmlns:pic="http://schemas.openxmlformats.org/drawingml/2006/picture">
            <wp:extent cx="5486400" cy="2507488"/>
            <wp:docPr id="5" name="Picture 5"/>
            <wp:cNvGraphicFramePr>
              <a:graphicFrameLocks noChangeAspect="1"/>
            </wp:cNvGraphicFramePr>
            <a:graphic>
              <a:graphicData uri="http://schemas.openxmlformats.org/drawingml/2006/picture">
                <pic:pic>
                  <pic:nvPicPr>
                    <pic:cNvPr id="0" name="05_profil_konselor.png"/>
                    <pic:cNvPicPr/>
                  </pic:nvPicPr>
                  <pic:blipFill>
                    <a:blip r:embed="rId13"/>
                    <a:stretch>
                      <a:fillRect/>
                    </a:stretch>
                  </pic:blipFill>
                  <pic:spPr>
                    <a:xfrm>
                      <a:off x="0" y="0"/>
                      <a:ext cx="5486400" cy="2507488"/>
                    </a:xfrm>
                    <a:prstGeom prst="rect"/>
                  </pic:spPr>
                </pic:pic>
              </a:graphicData>
            </a:graphic>
          </wp:inline>
        </w:drawing>
      </w:r>
    </w:p>
    <w:p>
      <w:pPr>
        <w:spacing w:before="40" w:after="160"/>
        <w:jc w:val="center"/>
      </w:pPr>
      <w:r>
        <w:rPr>
          <w:rFonts w:ascii="Calibri" w:hAnsi="Calibri"/>
          <w:i/>
          <w:color w:val="64748B"/>
          <w:sz w:val="18"/>
        </w:rPr>
        <w:t>Gambar 5. Halaman Pengaturan Profil dan Kontak Konselor</w:t>
      </w:r>
    </w:p>
    <w:tbl>
      <w:tblPr>
        <w:tblW w:type="auto" w:w="0"/>
        <w:jc w:val="center"/>
        <w:tblLayout w:type="fixed"/>
        <w:tblLook w:firstColumn="1" w:firstRow="1" w:lastColumn="0" w:lastRow="0" w:noHBand="0" w:noVBand="1" w:val="04A0"/>
      </w:tblPr>
      <w:tblGrid>
        <w:gridCol w:w="9360"/>
      </w:tblGrid>
      <w:tr>
        <w:tc>
          <w:tcPr>
            <w:tcW w:type="dxa" w:w="9360"/>
            <w:shd w:fill="F0F9FF"/>
            <w:tcBorders>
              <w:top w:val="none"/>
              <w:left w:val="single" w:sz="32" w:space="0" w:color="0EA5E9"/>
              <w:bottom w:val="none"/>
              <w:right w:val="none"/>
            </w:tcBorders>
            <w:tcMar>
              <w:top w:w="140" w:type="dxa"/>
              <w:bottom w:w="140" w:type="dxa"/>
              <w:left w:w="200" w:type="dxa"/>
              <w:right w:w="200" w:type="dxa"/>
            </w:tcMar>
          </w:tcPr>
          <w:p>
            <w:pPr>
              <w:spacing w:before="0" w:after="40" w:line="276" w:lineRule="auto"/>
            </w:pPr>
            <w:r>
              <w:rPr>
                <w:rFonts w:ascii="Calibri" w:hAnsi="Calibri"/>
                <w:b/>
                <w:color w:val="0F3D91"/>
                <w:sz w:val="20"/>
              </w:rPr>
              <w:t xml:space="preserve">ℹ️ FORMAT NOMOR WHATSAPP: </w:t>
            </w:r>
            <w:r>
              <w:rPr>
                <w:rFonts w:ascii="Calibri" w:hAnsi="Calibri"/>
                <w:color w:val="334155"/>
                <w:sz w:val="20"/>
              </w:rPr>
              <w:t>Pastikan penulisan nomor WhatsApp menggunakan format baku (contoh: 081231750634 atau 6281231750634). Format yang benar akan memungkinkan konseli membuka obrolan langsung hanya dengan 1 kali klik dari aplikasi.</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