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4D19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Scenarios:</w:t>
      </w:r>
    </w:p>
    <w:p w14:paraId="40AF65DD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23E3A874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Fishing in Ullapool (Jack's Scenario)</w:t>
      </w:r>
    </w:p>
    <w:p w14:paraId="6FC22375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Emma's teaching World War I Battlefields Group (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Emmas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Scenario)</w:t>
      </w:r>
    </w:p>
    <w:p w14:paraId="05D73DFD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Setting up an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Environment for the Art Department (Elena's Scenario)</w:t>
      </w:r>
    </w:p>
    <w:p w14:paraId="2D71B76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7E95AF80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4F7AAD7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305DCB0F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Jack, the primary school teacher, wants a photo-sharing site integrated with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for his class project on the fishing industry in Ullapool. He needs moderation features to ensure content appropriateness.</w:t>
      </w:r>
    </w:p>
    <w:p w14:paraId="1943B89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560D7742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Emma, an e-learning skeptic, desires a system to streamline administrative tasks for her class trip to World War I battlefields, including setting up a group to share research, pictures, and thoughts.</w:t>
      </w:r>
    </w:p>
    <w:p w14:paraId="5DA5093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1F5FBF4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Elena, tasked with setting up an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environment for the art department, needs to accommodate different age groups with appropriate tools and external website access, allowing teachers to refine and extend the environment.</w:t>
      </w:r>
    </w:p>
    <w:p w14:paraId="3739CC0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3F54FC17" w14:textId="77777777" w:rsid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Feature List:</w:t>
      </w:r>
    </w:p>
    <w:p w14:paraId="748B3BCD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7C623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Integration with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authentication service for seamless login and access control.</w:t>
      </w:r>
    </w:p>
    <w:p w14:paraId="54590701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Moderation tools for content shared on the photo-sharing site to ensure appropriateness for pre-teen children.</w:t>
      </w:r>
    </w:p>
    <w:p w14:paraId="766E867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Automated setup of groups based on criteria such as class year and subject, with options for customization.</w:t>
      </w:r>
    </w:p>
    <w:p w14:paraId="092A03B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Creation of email aliases for groups to facilitate communication and collaboration.</w:t>
      </w:r>
    </w:p>
    <w:p w14:paraId="2BDD2DA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Ability to restrict email sharing to selected members to manage communication flow effectively.</w:t>
      </w:r>
    </w:p>
    <w:p w14:paraId="5F2DB6B6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Creation of group web pages, wikis, and blogs for collaborative content creation and sharing.</w:t>
      </w:r>
    </w:p>
    <w:p w14:paraId="77C749C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Integration with external platforms like Flickr for additional content sharing and collaboration.</w:t>
      </w:r>
    </w:p>
    <w:p w14:paraId="3366DD3E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Customizable web page content to include text, documents, and alerts for group members.</w:t>
      </w:r>
    </w:p>
    <w:p w14:paraId="0C426DF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Configuration of sub-environments within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for different age groups, with drag-and-drop functionality for tool and website selection.</w:t>
      </w:r>
    </w:p>
    <w:p w14:paraId="6B81596C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lastRenderedPageBreak/>
        <w:t>- Assignment of administrators for each sub-environment to manage tool and website selection.</w:t>
      </w:r>
    </w:p>
    <w:p w14:paraId="5C506304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Review mode for sub-environments to allow for refinement and extension before final release.</w:t>
      </w:r>
    </w:p>
    <w:p w14:paraId="12F3881E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Collaboration features for teachers to refine and extend sub-environments based on specific classroom needs.</w:t>
      </w:r>
    </w:p>
    <w:p w14:paraId="5B2783AD" w14:textId="23B99D73" w:rsidR="00C06C82" w:rsidRDefault="00BD55E7" w:rsidP="00BD55E7">
      <w:r w:rsidRPr="00BD55E7">
        <w:rPr>
          <w:rFonts w:ascii="Times New Roman" w:hAnsi="Times New Roman" w:cs="Times New Roman"/>
          <w:sz w:val="28"/>
          <w:szCs w:val="28"/>
        </w:rPr>
        <w:t>- Release of finalized environments to all students in the school for access</w:t>
      </w:r>
      <w:r>
        <w:t xml:space="preserve"> and use.</w:t>
      </w:r>
    </w:p>
    <w:sectPr w:rsidR="00C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7"/>
    <w:rsid w:val="00463446"/>
    <w:rsid w:val="00712EF5"/>
    <w:rsid w:val="0098231B"/>
    <w:rsid w:val="00BD55E7"/>
    <w:rsid w:val="00C06C82"/>
    <w:rsid w:val="00CB7386"/>
    <w:rsid w:val="00D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C7830"/>
  <w15:chartTrackingRefBased/>
  <w15:docId w15:val="{7B26BFEB-9EDE-4B48-828A-86E0C03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 Wasef Ammar</dc:creator>
  <cp:keywords/>
  <dc:description/>
  <cp:lastModifiedBy>Hanin Wasef Ammar</cp:lastModifiedBy>
  <cp:revision>2</cp:revision>
  <dcterms:created xsi:type="dcterms:W3CDTF">2024-02-26T21:45:00Z</dcterms:created>
  <dcterms:modified xsi:type="dcterms:W3CDTF">2024-02-26T21:45:00Z</dcterms:modified>
</cp:coreProperties>
</file>