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HANINI Aymen</w:t>
      </w:r>
    </w:p>
    <w:p>
      <w:r>
        <w:t xml:space="preserve">Matricule : 4003</w:t>
      </w:r>
    </w:p>
    <w:p>
      <w:r>
        <w:t xml:space="preserve">C.I.N : 70077889</w:t>
      </w:r>
    </w:p>
    <w:p>
      <w:r>
        <w:t xml:space="preserve">Période de paie : 07/2026</w:t>
      </w:r>
    </w:p>
    <w:p>
      <w:r>
        <w:t xml:space="preserve">Net à payer : 2 320,000</w:t>
      </w:r>
    </w:p>
    <w:sectPr>
      <w:pgSz w:w="11906" w:h="16838"/>
      <w:pgMar w:top="1417" w:right="1417" w:bottom="1417" w:left="1417" w:header="708" w:footer="708" w:gutter="0"/>
    </w:sectPr>
  </w:body>
</w:document>
</file>