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left="19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Pr>
        <w:drawing>
          <wp:inline distB="0" distT="0" distL="0" distR="0">
            <wp:extent cx="2857500" cy="1531620"/>
            <wp:effectExtent b="0" l="0" r="0" t="0"/>
            <wp:docPr id="21"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2857500" cy="153162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ind w:left="19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FACULTY:</w:t>
      </w:r>
      <w:r w:rsidDel="00000000" w:rsidR="00000000" w:rsidRPr="00000000">
        <w:rPr>
          <w:rtl w:val="0"/>
        </w:rPr>
      </w:r>
    </w:p>
    <w:p w:rsidR="00000000" w:rsidDel="00000000" w:rsidP="00000000" w:rsidRDefault="00000000" w:rsidRPr="00000000" w14:paraId="00000004">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SCIENCE AND TECHNOLOGY</w:t>
      </w:r>
      <w:r w:rsidDel="00000000" w:rsidR="00000000" w:rsidRPr="00000000">
        <w:rPr>
          <w:rtl w:val="0"/>
        </w:rPr>
      </w:r>
    </w:p>
    <w:p w:rsidR="00000000" w:rsidDel="00000000" w:rsidP="00000000" w:rsidRDefault="00000000" w:rsidRPr="00000000" w14:paraId="00000005">
      <w:pPr>
        <w:spacing w:line="360" w:lineRule="auto"/>
        <w:ind w:left="426"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w:t>
      </w:r>
      <w:r w:rsidDel="00000000" w:rsidR="00000000" w:rsidRPr="00000000">
        <w:rPr>
          <w:rtl w:val="0"/>
        </w:rPr>
      </w:r>
    </w:p>
    <w:p w:rsidR="00000000" w:rsidDel="00000000" w:rsidP="00000000" w:rsidRDefault="00000000" w:rsidRPr="00000000" w14:paraId="00000007">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MASTER OF SCIENCE (DATA SCIENCE AND ANALYTICS)</w:t>
      </w:r>
      <w:r w:rsidDel="00000000" w:rsidR="00000000" w:rsidRPr="00000000">
        <w:rPr>
          <w:rtl w:val="0"/>
        </w:rPr>
      </w:r>
    </w:p>
    <w:p w:rsidR="00000000" w:rsidDel="00000000" w:rsidP="00000000" w:rsidRDefault="00000000" w:rsidRPr="00000000" w14:paraId="00000008">
      <w:pPr>
        <w:spacing w:line="360" w:lineRule="auto"/>
        <w:ind w:left="426"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ASSIGNMENT:</w:t>
      </w:r>
      <w:r w:rsidDel="00000000" w:rsidR="00000000" w:rsidRPr="00000000">
        <w:rPr>
          <w:rtl w:val="0"/>
        </w:rPr>
      </w:r>
    </w:p>
    <w:p w:rsidR="00000000" w:rsidDel="00000000" w:rsidP="00000000" w:rsidRDefault="00000000" w:rsidRPr="00000000" w14:paraId="0000000A">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UNSTRUCTURED DATA ANALYTICS</w:t>
      </w:r>
      <w:r w:rsidDel="00000000" w:rsidR="00000000" w:rsidRPr="00000000">
        <w:rPr>
          <w:rtl w:val="0"/>
        </w:rPr>
      </w:r>
    </w:p>
    <w:p w:rsidR="00000000" w:rsidDel="00000000" w:rsidP="00000000" w:rsidRDefault="00000000" w:rsidRPr="00000000" w14:paraId="0000000B">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(STQD6114)</w:t>
      </w:r>
      <w:r w:rsidDel="00000000" w:rsidR="00000000" w:rsidRPr="00000000">
        <w:rPr>
          <w:rtl w:val="0"/>
        </w:rPr>
      </w:r>
    </w:p>
    <w:p w:rsidR="00000000" w:rsidDel="00000000" w:rsidP="00000000" w:rsidRDefault="00000000" w:rsidRPr="00000000" w14:paraId="0000000C">
      <w:pPr>
        <w:spacing w:line="360" w:lineRule="auto"/>
        <w:ind w:left="426"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PREPARED FOR:</w:t>
      </w:r>
      <w:r w:rsidDel="00000000" w:rsidR="00000000" w:rsidRPr="00000000">
        <w:rPr>
          <w:rtl w:val="0"/>
        </w:rPr>
      </w:r>
    </w:p>
    <w:p w:rsidR="00000000" w:rsidDel="00000000" w:rsidP="00000000" w:rsidRDefault="00000000" w:rsidRPr="00000000" w14:paraId="0000000E">
      <w:pPr>
        <w:spacing w:line="360" w:lineRule="auto"/>
        <w:ind w:left="426"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DR. BERNARD LEE KOK BANG</w:t>
      </w:r>
    </w:p>
    <w:p w:rsidR="00000000" w:rsidDel="00000000" w:rsidP="00000000" w:rsidRDefault="00000000" w:rsidRPr="00000000" w14:paraId="0000000F">
      <w:pPr>
        <w:spacing w:line="360" w:lineRule="auto"/>
        <w:ind w:left="426"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11">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HANIY TURANA BINTI HAMTHAN</w:t>
      </w:r>
      <w:r w:rsidDel="00000000" w:rsidR="00000000" w:rsidRPr="00000000">
        <w:rPr>
          <w:rtl w:val="0"/>
        </w:rPr>
      </w:r>
    </w:p>
    <w:p w:rsidR="00000000" w:rsidDel="00000000" w:rsidP="00000000" w:rsidRDefault="00000000" w:rsidRPr="00000000" w14:paraId="00000012">
      <w:pPr>
        <w:spacing w:line="360" w:lineRule="auto"/>
        <w:ind w:left="42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(P166239)</w:t>
      </w:r>
      <w:r w:rsidDel="00000000" w:rsidR="00000000" w:rsidRPr="00000000">
        <w:rPr>
          <w:rtl w:val="0"/>
        </w:rPr>
      </w:r>
    </w:p>
    <w:p w:rsidR="00000000" w:rsidDel="00000000" w:rsidP="00000000" w:rsidRDefault="00000000" w:rsidRPr="00000000" w14:paraId="00000013">
      <w:pPr>
        <w:spacing w:line="360" w:lineRule="auto"/>
        <w:ind w:left="426"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line="360" w:lineRule="auto"/>
        <w:ind w:left="426"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ind w:left="426"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SEMESTER 2: ACADEMIC YEAR 2025/2026</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left"/>
        <w:rPr>
          <w:rFonts w:ascii="Times New Roman" w:cs="Times New Roman" w:eastAsia="Times New Roman" w:hAnsi="Times New Roman"/>
          <w:b w:val="0"/>
          <w:bCs w:val="0"/>
          <w:i w:val="0"/>
          <w:iCs w:val="0"/>
          <w:smallCaps w:val="0"/>
          <w:strike w:val="0"/>
          <w:color w:val="2f5496"/>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f5496"/>
          <w:sz w:val="24"/>
          <w:szCs w:val="24"/>
          <w:u w:val="none"/>
          <w:shd w:fill="auto" w:val="clear"/>
          <w:vertAlign w:val="baseline"/>
          <w:rtl w:val="0"/>
        </w:rPr>
        <w:t xml:space="preserve">Table of Contents</w:t>
      </w:r>
    </w:p>
    <w:sdt>
      <w:sdtPr>
        <w:id w:val="-1768685213"/>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16"/>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vx2ujry65ny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tab/>
              <w:t xml:space="preserve">Overview and System Architecture</w:t>
              <w:tab/>
              <w:t xml:space="preserve">2</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hr38nb9eu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tab/>
              <w:t xml:space="preserve">Execution Note</w:t>
              <w:tab/>
              <w:t xml:space="preserve">2</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s4p69w5mi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tab/>
              <w:t xml:space="preserve">Environment and Notebook Configuration</w:t>
              <w:tab/>
              <w:t xml:space="preserve">2</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ty7c12z16xg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tab/>
              <w:t xml:space="preserve">Data Loading and Environment Verification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wrxpticog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tab/>
              <w:t xml:space="preserve">Advanced Data Cleansing and Imputation</w:t>
              <w:tab/>
              <w:t xml:space="preserve">6</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6"/>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q5vt9ybo99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w:t>
              <w:tab/>
              <w:t xml:space="preserve">Validating missing value</w:t>
              <w:tab/>
              <w:t xml:space="preserve">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6"/>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zceajjs2zh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w:t>
              <w:tab/>
              <w:t xml:space="preserve">Product Name Unification</w:t>
              <w:tab/>
              <w:t xml:space="preserve">8</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6"/>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39h0fmuaspm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1.4.3</w:t>
              <w:tab/>
              <w:t xml:space="preserve">Handling Duplicate Data</w:t>
              <w:tab/>
              <w:t xml:space="preserve">10</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6"/>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0ob6trdjbo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1.4.4</w:t>
              <w:tab/>
              <w:t xml:space="preserve">Feature Engineering and Data Transformation</w:t>
              <w:tab/>
              <w:t xml:space="preserve">12</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z1omgtcvdj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tab/>
              <w:t xml:space="preserve">Explanatory Data Analysis (EDA)</w:t>
              <w:tab/>
              <w:t xml:space="preserve">13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68qfjte8oy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tab/>
              <w:t xml:space="preserve">Temporal and Seasonal Sale Performance</w:t>
              <w:tab/>
              <w:t xml:space="preserve">13</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54m7dxjoc8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tab/>
              <w:t xml:space="preserve">Monthly Gross Sales Performance</w:t>
              <w:tab/>
              <w:t xml:space="preserve">13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gw21lvk1n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tab/>
              <w:t xml:space="preserve">Hourly Sales Performance</w:t>
              <w:tab/>
              <w:t xml:space="preserve">14</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lhvyvlezeb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tab/>
              <w:t xml:space="preserve">Sales Breakdown Across Operational Time Shifts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xlatx65yni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tab/>
              <w:t xml:space="preserve">Sales Performance by Week of Day</w:t>
              <w:tab/>
              <w:t xml:space="preserve">16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4ga6zeo3lk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w:t>
              <w:tab/>
              <w:t xml:space="preserve">Sales Performance by Country</w:t>
              <w:tab/>
              <w:t xml:space="preserve">17</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zra5g29i83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w:t>
              <w:tab/>
              <w:t xml:space="preserve">Sales Trend Analysis between Countries</w:t>
              <w:tab/>
              <w:t xml:space="preserve">18</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n8fzf6vezy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w:t>
              <w:tab/>
              <w:t xml:space="preserve">Cross-Border Product Popularity</w:t>
              <w:tab/>
              <w:t xml:space="preserve">20</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gotqepqms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w:t>
              <w:tab/>
              <w:t xml:space="preserve">High Value Customer Identification</w:t>
              <w:tab/>
              <w:t xml:space="preserve">22</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v960ixqw7s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2.10</w:t>
              <w:tab/>
              <w:t xml:space="preserve">Basket Size Analysis by Country</w:t>
              <w:tab/>
              <w:t xml:space="preserve">23</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7gi7fjb9q1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w:t>
              <w:tab/>
              <w:t xml:space="preserve">Customer Purchasing Behaviour Validation Analysis</w:t>
              <w:tab/>
              <w:t xml:space="preserve">24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6"/>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3645hqhiz3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w:t>
              <w:tab/>
              <w:t xml:space="preserve">Top Purchase Item in Netherlands</w:t>
              <w:tab/>
              <w:t xml:space="preserve">25</w:t>
            </w:r>
          </w:hyperlink>
          <w:r w:rsidDel="00000000" w:rsidR="00000000" w:rsidRPr="00000000">
            <w:rPr>
              <w:rtl w:val="0"/>
            </w:rPr>
          </w:r>
        </w:p>
        <w:p w:rsidR="00000000" w:rsidDel="00000000" w:rsidP="00000000" w:rsidRDefault="00000000" w:rsidRPr="00000000" w14:paraId="0000002D">
          <w:pPr>
            <w:spacing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spacing w:line="360" w:lineRule="auto"/>
        <w:rPr>
          <w:rFonts w:ascii="Times New Roman" w:cs="Times New Roman" w:eastAsia="Times New Roman" w:hAnsi="Times New Roman"/>
          <w:sz w:val="24"/>
          <w:szCs w:val="24"/>
        </w:rPr>
        <w:sectPr>
          <w:footerReference r:id="rId8" w:type="default"/>
          <w:pgSz w:h="16838" w:w="11906" w:orient="portrait"/>
          <w:pgMar w:bottom="1440" w:top="1276"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numPr>
          <w:ilvl w:val="0"/>
          <w:numId w:val="2"/>
        </w:numPr>
        <w:spacing w:line="360" w:lineRule="auto"/>
        <w:ind w:left="720" w:hanging="360"/>
        <w:jc w:val="both"/>
        <w:rPr>
          <w:rFonts w:ascii="Times New Roman" w:cs="Times New Roman" w:eastAsia="Times New Roman" w:hAnsi="Times New Roman"/>
          <w:sz w:val="24"/>
          <w:szCs w:val="24"/>
        </w:rPr>
      </w:pPr>
      <w:bookmarkStart w:colFirst="0" w:colLast="0" w:name="_heading=h.vx2ujry65ny9" w:id="0"/>
      <w:bookmarkEnd w:id="0"/>
      <w:r w:rsidDel="00000000" w:rsidR="00000000" w:rsidRPr="00000000">
        <w:rPr>
          <w:rFonts w:ascii="Times New Roman" w:cs="Times New Roman" w:eastAsia="Times New Roman" w:hAnsi="Times New Roman"/>
          <w:sz w:val="24"/>
          <w:szCs w:val="24"/>
          <w:rtl w:val="0"/>
        </w:rPr>
        <w:t xml:space="preserve">Overview and System Architecture</w:t>
      </w:r>
    </w:p>
    <w:p w:rsidR="00000000" w:rsidDel="00000000" w:rsidP="00000000" w:rsidRDefault="00000000" w:rsidRPr="00000000" w14:paraId="000000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provides guidelines on how to set up the Hadoop environment and execute the Exploratory Data Analysis (EDA) for the online retail dataset extracted from </w:t>
      </w:r>
      <w:hyperlink r:id="rId9">
        <w:r w:rsidDel="00000000" w:rsidR="00000000" w:rsidRPr="00000000">
          <w:rPr>
            <w:rFonts w:ascii="Times New Roman" w:cs="Times New Roman" w:eastAsia="Times New Roman" w:hAnsi="Times New Roman"/>
            <w:color w:val="000000"/>
            <w:sz w:val="24"/>
            <w:szCs w:val="24"/>
            <w:u w:val="single"/>
            <w:rtl w:val="0"/>
          </w:rPr>
          <w:t xml:space="preserve">(UCIML Repo)</w:t>
        </w:r>
      </w:hyperlink>
      <w:r w:rsidDel="00000000" w:rsidR="00000000" w:rsidRPr="00000000">
        <w:rPr>
          <w:rFonts w:ascii="Times New Roman" w:cs="Times New Roman" w:eastAsia="Times New Roman" w:hAnsi="Times New Roman"/>
          <w:sz w:val="24"/>
          <w:szCs w:val="24"/>
          <w:rtl w:val="0"/>
        </w:rPr>
        <w:t xml:space="preserve">. The analysis is conducted within a big data ecosystem using Apache Ambari for cluster management, Hadoop Distributed File (HDFS) for data storage, and Apache Zeppelin for running the data processing task and EDA via the Pyspark and Spark SQL.</w:t>
      </w:r>
    </w:p>
    <w:p w:rsidR="00000000" w:rsidDel="00000000" w:rsidP="00000000" w:rsidRDefault="00000000" w:rsidRPr="00000000" w14:paraId="000000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 to launch Hadoop</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Launch Oracle VM VirtualBox and ensure the Hadoop cluster node is fully booted and running.</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Launch Ambari using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http://127.0.0.1:1080/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 any web browser to access Apache Ambari UI.</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Ambari, navigate to the File View and create a new folder, name it as onlineretail2 to configure the HDFS Storage.</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the created folder and upload the cleaned parquet data into this HDFS directory.</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 Apache Zeppelin UI using </w:t>
      </w:r>
      <w:hyperlink r:id="rId1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http://localhost:9995/</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any web browser.</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new notebook at the Zeppelin UI and name it as onlineretail2_1 to begin development.</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the analysis has been completed, we may download the file and it will be exported </w:t>
      </w:r>
      <w:r w:rsidDel="00000000" w:rsidR="00000000" w:rsidRPr="00000000">
        <w:rPr>
          <w:rFonts w:ascii="Times New Roman" w:cs="Times New Roman" w:eastAsia="Times New Roman" w:hAnsi="Times New Roman"/>
          <w:sz w:val="24"/>
          <w:szCs w:val="24"/>
          <w:rtl w:val="0"/>
        </w:rPr>
        <w:t xml:space="preserve">as a 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2"/>
        <w:numPr>
          <w:ilvl w:val="1"/>
          <w:numId w:val="2"/>
        </w:numPr>
        <w:spacing w:line="360" w:lineRule="auto"/>
        <w:ind w:left="1080" w:hanging="720"/>
        <w:jc w:val="both"/>
        <w:rPr>
          <w:rFonts w:ascii="Times New Roman" w:cs="Times New Roman" w:eastAsia="Times New Roman" w:hAnsi="Times New Roman"/>
          <w:color w:val="2f5496"/>
          <w:sz w:val="24"/>
          <w:szCs w:val="24"/>
        </w:rPr>
      </w:pPr>
      <w:bookmarkStart w:colFirst="0" w:colLast="0" w:name="_heading=h.qhr38nb9eupr" w:id="1"/>
      <w:bookmarkEnd w:id="1"/>
      <w:r w:rsidDel="00000000" w:rsidR="00000000" w:rsidRPr="00000000">
        <w:rPr>
          <w:rFonts w:ascii="Times New Roman" w:cs="Times New Roman" w:eastAsia="Times New Roman" w:hAnsi="Times New Roman"/>
          <w:color w:val="2f5496"/>
          <w:sz w:val="24"/>
          <w:szCs w:val="24"/>
          <w:rtl w:val="0"/>
        </w:rPr>
        <w:t xml:space="preserve">Execution Note</w:t>
      </w:r>
    </w:p>
    <w:p w:rsidR="00000000" w:rsidDel="00000000" w:rsidP="00000000" w:rsidRDefault="00000000" w:rsidRPr="00000000" w14:paraId="000000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feeding data into the Hadoop, we need to ensure the data scheme and structure are syntactically correct. Therefore, we would validate and clean the data that we have obtained in the parquet format using the Jupyter Notebook before loading it to the Hadoop Distributed File System (HDFS).</w:t>
      </w:r>
    </w:p>
    <w:p w:rsidR="00000000" w:rsidDel="00000000" w:rsidP="00000000" w:rsidRDefault="00000000" w:rsidRPr="00000000" w14:paraId="000000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cleaning methods applied in this study include standardizing the column name for example removing the whitespace, filtering out the bad regex on the product name for example damage, gwp etc. Besides that, the missing value on the product name is also imputed using the product name that existed at the same SKU code. The comprehensive details of the cleaning process can be viewed on the attached cleancolumn_name (3).ipynb file.</w:t>
      </w:r>
    </w:p>
    <w:p w:rsidR="00000000" w:rsidDel="00000000" w:rsidP="00000000" w:rsidRDefault="00000000" w:rsidRPr="00000000" w14:paraId="0000003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z0s4p69w5mi7" w:id="2"/>
      <w:bookmarkEnd w:id="2"/>
      <w:r w:rsidDel="00000000" w:rsidR="00000000" w:rsidRPr="00000000">
        <w:rPr>
          <w:rFonts w:ascii="Times New Roman" w:cs="Times New Roman" w:eastAsia="Times New Roman" w:hAnsi="Times New Roman"/>
          <w:sz w:val="24"/>
          <w:szCs w:val="24"/>
          <w:rtl w:val="0"/>
        </w:rPr>
        <w:t xml:space="preserve">Environment and Notebook Configuration</w:t>
      </w:r>
    </w:p>
    <w:p w:rsidR="00000000" w:rsidDel="00000000" w:rsidP="00000000" w:rsidRDefault="00000000" w:rsidRPr="00000000" w14:paraId="000000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completing the data cleaning, the subsequent analysis on the exploratory data analysis (EDA) was transitioned into an Apache Zeppelin. The zeppelin notebook used for this stage is exported and saved in a JSON format. The raw code can be viewed using a standard text editor for example Notepad++. However, the Zeppelin notebook environment and its execution paths are strictly coupled with the Hadoop ecosystem. Therefore, to access the code, we need to ensure that our computer has a compatible environment where the Hadoop Cluster, Apache Spark and Apache Zeppelin are fully installed and configured.</w:t>
      </w:r>
    </w:p>
    <w:p w:rsidR="00000000" w:rsidDel="00000000" w:rsidP="00000000" w:rsidRDefault="00000000" w:rsidRPr="00000000" w14:paraId="000000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short, the exported notebook can only be fully operated and executed within a Hadoop environment. With the environment fully set up, the system is now ready for the EDA utilizing the SQL queries inside the Apache Zeppelin.</w:t>
      </w:r>
    </w:p>
    <w:p w:rsidR="00000000" w:rsidDel="00000000" w:rsidP="00000000" w:rsidRDefault="00000000" w:rsidRPr="00000000" w14:paraId="000000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figure 1 below, the onlineretail2 directory has been successfully integrated and verified within Apache Ambari.</w:t>
      </w:r>
    </w:p>
    <w:p w:rsidR="00000000" w:rsidDel="00000000" w:rsidP="00000000" w:rsidRDefault="00000000" w:rsidRPr="00000000" w14:paraId="00000042">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679575"/>
            <wp:effectExtent b="0" l="0" r="0" t="0"/>
            <wp:docPr id="23" name="image20.png"/>
            <a:graphic>
              <a:graphicData uri="http://schemas.openxmlformats.org/drawingml/2006/picture">
                <pic:pic>
                  <pic:nvPicPr>
                    <pic:cNvPr id="0" name="image20.png"/>
                    <pic:cNvPicPr preferRelativeResize="0"/>
                  </pic:nvPicPr>
                  <pic:blipFill>
                    <a:blip r:embed="rId11"/>
                    <a:srcRect b="0" l="0" r="0" t="0"/>
                    <a:stretch>
                      <a:fillRect/>
                    </a:stretch>
                  </pic:blipFill>
                  <pic:spPr>
                    <a:xfrm>
                      <a:off x="0" y="0"/>
                      <a:ext cx="5731510" cy="167957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1: Setting up onlineretail2 directory</w:t>
      </w:r>
    </w:p>
    <w:p w:rsidR="00000000" w:rsidDel="00000000" w:rsidP="00000000" w:rsidRDefault="00000000" w:rsidRPr="00000000" w14:paraId="00000044">
      <w:pPr>
        <w:spacing w:line="360" w:lineRule="auto"/>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ty7c12z16xge" w:id="3"/>
      <w:bookmarkEnd w:id="3"/>
      <w:r w:rsidDel="00000000" w:rsidR="00000000" w:rsidRPr="00000000">
        <w:rPr>
          <w:rFonts w:ascii="Times New Roman" w:cs="Times New Roman" w:eastAsia="Times New Roman" w:hAnsi="Times New Roman"/>
          <w:sz w:val="24"/>
          <w:szCs w:val="24"/>
          <w:rtl w:val="0"/>
        </w:rPr>
        <w:t xml:space="preserve">Data Loading and Environment Verification</w:t>
      </w:r>
    </w:p>
    <w:p w:rsidR="00000000" w:rsidDel="00000000" w:rsidP="00000000" w:rsidRDefault="00000000" w:rsidRPr="00000000" w14:paraId="000000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proceeding with the EDA, the cleaned dataset was loaded into the Apache Zeppelin environment using the following pyspark command below.</w:t>
      </w:r>
    </w:p>
    <w:p w:rsidR="00000000" w:rsidDel="00000000" w:rsidP="00000000" w:rsidRDefault="00000000" w:rsidRPr="00000000" w14:paraId="00000047">
      <w:pPr>
        <w:spacing w:after="0" w:line="36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df_zeppelin = spark.read.parquet("/onlineretail2/onlineretail_ii_v1.parquet")</w:t>
      </w:r>
    </w:p>
    <w:p w:rsidR="00000000" w:rsidDel="00000000" w:rsidP="00000000" w:rsidRDefault="00000000" w:rsidRPr="00000000" w14:paraId="00000048">
      <w:pPr>
        <w:spacing w:after="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the dataset was loaded successfully with its structural integrity intact, we perform a quick preview of the dataset as below.</w:t>
      </w:r>
    </w:p>
    <w:p w:rsidR="00000000" w:rsidDel="00000000" w:rsidP="00000000" w:rsidRDefault="00000000" w:rsidRPr="00000000" w14:paraId="0000004A">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59187" cy="2552921"/>
            <wp:effectExtent b="0" l="0" r="0" t="0"/>
            <wp:docPr id="22" name="image25.png"/>
            <a:graphic>
              <a:graphicData uri="http://schemas.openxmlformats.org/drawingml/2006/picture">
                <pic:pic>
                  <pic:nvPicPr>
                    <pic:cNvPr id="0" name="image25.png"/>
                    <pic:cNvPicPr preferRelativeResize="0"/>
                  </pic:nvPicPr>
                  <pic:blipFill>
                    <a:blip r:embed="rId12"/>
                    <a:srcRect b="0" l="0" r="0" t="0"/>
                    <a:stretch>
                      <a:fillRect/>
                    </a:stretch>
                  </pic:blipFill>
                  <pic:spPr>
                    <a:xfrm>
                      <a:off x="0" y="0"/>
                      <a:ext cx="5159187" cy="2552921"/>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2: Data Preview</w:t>
      </w:r>
    </w:p>
    <w:p w:rsidR="00000000" w:rsidDel="00000000" w:rsidP="00000000" w:rsidRDefault="00000000" w:rsidRPr="00000000" w14:paraId="000000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Subsequently, the data frame was registered as a Spark SQL Temporary Virtual View to enable a native SQL query executions.</w:t>
      </w:r>
    </w:p>
    <w:p w:rsidR="00000000" w:rsidDel="00000000" w:rsidP="00000000" w:rsidRDefault="00000000" w:rsidRPr="00000000" w14:paraId="0000004D">
      <w:pPr>
        <w:spacing w:after="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4E">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647700"/>
            <wp:effectExtent b="0" l="0" r="0" t="0"/>
            <wp:docPr id="25" name="image22.png"/>
            <a:graphic>
              <a:graphicData uri="http://schemas.openxmlformats.org/drawingml/2006/picture">
                <pic:pic>
                  <pic:nvPicPr>
                    <pic:cNvPr id="0" name="image22.png"/>
                    <pic:cNvPicPr preferRelativeResize="0"/>
                  </pic:nvPicPr>
                  <pic:blipFill>
                    <a:blip r:embed="rId13"/>
                    <a:srcRect b="55977" l="0" r="0" t="0"/>
                    <a:stretch>
                      <a:fillRect/>
                    </a:stretch>
                  </pic:blipFill>
                  <pic:spPr>
                    <a:xfrm>
                      <a:off x="0" y="0"/>
                      <a:ext cx="573151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3: Spark SQL Creation</w:t>
      </w:r>
    </w:p>
    <w:p w:rsidR="00000000" w:rsidDel="00000000" w:rsidP="00000000" w:rsidRDefault="00000000" w:rsidRPr="00000000" w14:paraId="00000050">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to verify a seamless integration between the HDFS and the Apache Zeppelin, a test aggregation query was executed. We apply data scaling using the log transformation (log 10) on the total sale to mitigate data skewness. The code and the corresponding result are captured in Figure 3 below.</w:t>
      </w:r>
    </w:p>
    <w:p w:rsidR="00000000" w:rsidDel="00000000" w:rsidP="00000000" w:rsidRDefault="00000000" w:rsidRPr="00000000" w14:paraId="00000052">
      <w:pPr>
        <w:spacing w:after="0" w:line="36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0" distT="0" distL="0" distR="0">
            <wp:extent cx="5235394" cy="1143099"/>
            <wp:effectExtent b="0" l="0" r="0" t="0"/>
            <wp:docPr id="24" name="image26.png"/>
            <a:graphic>
              <a:graphicData uri="http://schemas.openxmlformats.org/drawingml/2006/picture">
                <pic:pic>
                  <pic:nvPicPr>
                    <pic:cNvPr id="0" name="image26.png"/>
                    <pic:cNvPicPr preferRelativeResize="0"/>
                  </pic:nvPicPr>
                  <pic:blipFill>
                    <a:blip r:embed="rId14"/>
                    <a:srcRect b="0" l="0" r="0" t="0"/>
                    <a:stretch>
                      <a:fillRect/>
                    </a:stretch>
                  </pic:blipFill>
                  <pic:spPr>
                    <a:xfrm>
                      <a:off x="0" y="0"/>
                      <a:ext cx="5235394" cy="1143099"/>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696085"/>
            <wp:effectExtent b="0" l="0" r="0" t="0"/>
            <wp:docPr id="2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510" cy="1696085"/>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4: Result from Quick Verification for HDFS and Apache Zeppelin</w:t>
      </w:r>
      <w:r w:rsidDel="00000000" w:rsidR="00000000" w:rsidRPr="00000000">
        <w:rPr>
          <w:rtl w:val="0"/>
        </w:rPr>
      </w:r>
    </w:p>
    <w:p w:rsidR="00000000" w:rsidDel="00000000" w:rsidP="00000000" w:rsidRDefault="00000000" w:rsidRPr="00000000" w14:paraId="00000055">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jwrxpticog5d" w:id="4"/>
      <w:bookmarkEnd w:id="4"/>
      <w:r w:rsidDel="00000000" w:rsidR="00000000" w:rsidRPr="00000000">
        <w:rPr>
          <w:rFonts w:ascii="Times New Roman" w:cs="Times New Roman" w:eastAsia="Times New Roman" w:hAnsi="Times New Roman"/>
          <w:sz w:val="24"/>
          <w:szCs w:val="24"/>
          <w:rtl w:val="0"/>
        </w:rPr>
        <w:t xml:space="preserve">Advanced Data Cleansing and Imputation</w:t>
      </w:r>
    </w:p>
    <w:p w:rsidR="00000000" w:rsidDel="00000000" w:rsidP="00000000" w:rsidRDefault="00000000" w:rsidRPr="00000000" w14:paraId="000000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executing the EDA, further granular data cleaning and structural validation is perform directly within the Apache Zeppelin environment to address the unresolved data quality issues.</w:t>
      </w:r>
    </w:p>
    <w:p w:rsidR="00000000" w:rsidDel="00000000" w:rsidP="00000000" w:rsidRDefault="00000000" w:rsidRPr="00000000" w14:paraId="000000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pStyle w:val="Heading3"/>
        <w:numPr>
          <w:ilvl w:val="2"/>
          <w:numId w:val="2"/>
        </w:numPr>
        <w:spacing w:line="360" w:lineRule="auto"/>
        <w:ind w:left="1080" w:hanging="720"/>
        <w:jc w:val="both"/>
        <w:rPr>
          <w:rFonts w:ascii="Times New Roman" w:cs="Times New Roman" w:eastAsia="Times New Roman" w:hAnsi="Times New Roman"/>
        </w:rPr>
      </w:pPr>
      <w:bookmarkStart w:colFirst="0" w:colLast="0" w:name="_heading=h.sq5vt9ybo99n" w:id="5"/>
      <w:bookmarkEnd w:id="5"/>
      <w:r w:rsidDel="00000000" w:rsidR="00000000" w:rsidRPr="00000000">
        <w:rPr>
          <w:rFonts w:ascii="Times New Roman" w:cs="Times New Roman" w:eastAsia="Times New Roman" w:hAnsi="Times New Roman"/>
          <w:rtl w:val="0"/>
        </w:rPr>
        <w:t xml:space="preserve">Validating missing value</w:t>
      </w:r>
    </w:p>
    <w:p w:rsidR="00000000" w:rsidDel="00000000" w:rsidP="00000000" w:rsidRDefault="00000000" w:rsidRPr="00000000" w14:paraId="000000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comprehensive audit was executed to quantify the extent of the missing value across the dataset as per Figure 5 below.</w:t>
      </w:r>
    </w:p>
    <w:p w:rsidR="00000000" w:rsidDel="00000000" w:rsidP="00000000" w:rsidRDefault="00000000" w:rsidRPr="00000000" w14:paraId="000000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2426970"/>
            <wp:effectExtent b="0" l="0" r="0" t="0"/>
            <wp:docPr id="26"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5731510" cy="242697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5: Validate missing value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drawing>
          <wp:inline distB="0" distT="0" distL="0" distR="0">
            <wp:extent cx="5731510" cy="2166620"/>
            <wp:effectExtent b="0" l="0" r="0" t="0"/>
            <wp:docPr id="29" name="image32.png"/>
            <a:graphic>
              <a:graphicData uri="http://schemas.openxmlformats.org/drawingml/2006/picture">
                <pic:pic>
                  <pic:nvPicPr>
                    <pic:cNvPr id="0" name="image32.png"/>
                    <pic:cNvPicPr preferRelativeResize="0"/>
                  </pic:nvPicPr>
                  <pic:blipFill>
                    <a:blip r:embed="rId17"/>
                    <a:srcRect b="0" l="0" r="0" t="0"/>
                    <a:stretch>
                      <a:fillRect/>
                    </a:stretch>
                  </pic:blipFill>
                  <pic:spPr>
                    <a:xfrm>
                      <a:off x="0" y="0"/>
                      <a:ext cx="5731510" cy="216662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2671445"/>
            <wp:effectExtent b="0" l="0" r="0" t="0"/>
            <wp:docPr id="28" name="image31.png"/>
            <a:graphic>
              <a:graphicData uri="http://schemas.openxmlformats.org/drawingml/2006/picture">
                <pic:pic>
                  <pic:nvPicPr>
                    <pic:cNvPr id="0" name="image31.png"/>
                    <pic:cNvPicPr preferRelativeResize="0"/>
                  </pic:nvPicPr>
                  <pic:blipFill>
                    <a:blip r:embed="rId18"/>
                    <a:srcRect b="0" l="0" r="0" t="0"/>
                    <a:stretch>
                      <a:fillRect/>
                    </a:stretch>
                  </pic:blipFill>
                  <pic:spPr>
                    <a:xfrm>
                      <a:off x="0" y="0"/>
                      <a:ext cx="5731510" cy="267144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F">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52105" cy="2314558"/>
            <wp:effectExtent b="0" l="0" r="0" t="0"/>
            <wp:docPr id="32" name="image39.png"/>
            <a:graphic>
              <a:graphicData uri="http://schemas.openxmlformats.org/drawingml/2006/picture">
                <pic:pic>
                  <pic:nvPicPr>
                    <pic:cNvPr id="0" name="image39.png"/>
                    <pic:cNvPicPr preferRelativeResize="0"/>
                  </pic:nvPicPr>
                  <pic:blipFill>
                    <a:blip r:embed="rId19"/>
                    <a:srcRect b="0" l="0" r="0" t="0"/>
                    <a:stretch>
                      <a:fillRect/>
                    </a:stretch>
                  </pic:blipFill>
                  <pic:spPr>
                    <a:xfrm>
                      <a:off x="0" y="0"/>
                      <a:ext cx="5752105" cy="2314558"/>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6: Missing Value Imputation using Apache Zeppelin</w:t>
      </w:r>
    </w:p>
    <w:p w:rsidR="00000000" w:rsidDel="00000000" w:rsidP="00000000" w:rsidRDefault="00000000" w:rsidRPr="00000000" w14:paraId="000000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Nevertheless, the study would like to demonstrate the capabilities of Apache Zeppelin environment to perform the data engineering as per attached above. For example, missing product name information can be solved using a historical SKU lookup table, LEFT JOIN structure and COALESCE functions. From the command above there is no missing value on the product name as it has been cleaned earlier before feeding it in the HDFS.</w:t>
      </w:r>
    </w:p>
    <w:p w:rsidR="00000000" w:rsidDel="00000000" w:rsidP="00000000" w:rsidRDefault="00000000" w:rsidRPr="00000000" w14:paraId="000000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the limitation of Apache Zeppelin is it is not ideal to process the heavily distorted data for example whitespace in column header or complex regular expression data corruptions. This is significantly easier to be computed within the Jupyter Notebook environment before feeding the data into the HDFS.</w:t>
      </w:r>
    </w:p>
    <w:p w:rsidR="00000000" w:rsidDel="00000000" w:rsidP="00000000" w:rsidRDefault="00000000" w:rsidRPr="00000000" w14:paraId="000000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pStyle w:val="Heading3"/>
        <w:numPr>
          <w:ilvl w:val="2"/>
          <w:numId w:val="2"/>
        </w:numPr>
        <w:spacing w:line="360" w:lineRule="auto"/>
        <w:ind w:left="1080" w:hanging="720"/>
        <w:jc w:val="both"/>
        <w:rPr>
          <w:rFonts w:ascii="Times New Roman" w:cs="Times New Roman" w:eastAsia="Times New Roman" w:hAnsi="Times New Roman"/>
        </w:rPr>
      </w:pPr>
      <w:bookmarkStart w:colFirst="0" w:colLast="0" w:name="_heading=h.yzceajjs2zhx" w:id="6"/>
      <w:bookmarkEnd w:id="6"/>
      <w:r w:rsidDel="00000000" w:rsidR="00000000" w:rsidRPr="00000000">
        <w:rPr>
          <w:rFonts w:ascii="Times New Roman" w:cs="Times New Roman" w:eastAsia="Times New Roman" w:hAnsi="Times New Roman"/>
          <w:rtl w:val="0"/>
        </w:rPr>
        <w:t xml:space="preserve">Product Name Unification</w:t>
      </w:r>
    </w:p>
    <w:p w:rsidR="00000000" w:rsidDel="00000000" w:rsidP="00000000" w:rsidRDefault="00000000" w:rsidRPr="00000000" w14:paraId="000000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 retail dataset, a common data integrity issue arises when a single unique identifier SKU is tied to a multiple product name. Hence, a validation query was executed using COUNT(DISTINCT Description) &gt;1 associated with each SKU as shown in Figure 7 below. Several SKU entries were found having more than one product name for a single SKU. </w:t>
      </w:r>
    </w:p>
    <w:p w:rsidR="00000000" w:rsidDel="00000000" w:rsidP="00000000" w:rsidRDefault="00000000" w:rsidRPr="00000000" w14:paraId="000000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5193665"/>
            <wp:effectExtent b="0" l="0" r="0" t="0"/>
            <wp:docPr id="30"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731510" cy="519366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7: Check on Duplicate Data Entry</w:t>
      </w:r>
    </w:p>
    <w:p w:rsidR="00000000" w:rsidDel="00000000" w:rsidP="00000000" w:rsidRDefault="00000000" w:rsidRPr="00000000" w14:paraId="000000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Hence, the study must standardize the product name convention to achieve correct analysis and finding. The data unification process is performed. The product name can be mapped to each unique SKU by extracting the maximum string value of the product name as shown in Figure 8 below.</w:t>
      </w:r>
    </w:p>
    <w:p w:rsidR="00000000" w:rsidDel="00000000" w:rsidP="00000000" w:rsidRDefault="00000000" w:rsidRPr="00000000" w14:paraId="000000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97290" cy="1562235"/>
            <wp:effectExtent b="0" l="0" r="0" t="0"/>
            <wp:docPr id="31"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197290" cy="156223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13463" cy="1966130"/>
            <wp:effectExtent b="0" l="0" r="0" t="0"/>
            <wp:docPr id="33"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5113463" cy="196613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drawing>
          <wp:inline distB="0" distT="0" distL="0" distR="0">
            <wp:extent cx="5372566" cy="2972058"/>
            <wp:effectExtent b="0" l="0" r="0" t="0"/>
            <wp:docPr id="34" name="image35.png"/>
            <a:graphic>
              <a:graphicData uri="http://schemas.openxmlformats.org/drawingml/2006/picture">
                <pic:pic>
                  <pic:nvPicPr>
                    <pic:cNvPr id="0" name="image35.png"/>
                    <pic:cNvPicPr preferRelativeResize="0"/>
                  </pic:nvPicPr>
                  <pic:blipFill>
                    <a:blip r:embed="rId23"/>
                    <a:srcRect b="0" l="0" r="0" t="0"/>
                    <a:stretch>
                      <a:fillRect/>
                    </a:stretch>
                  </pic:blipFill>
                  <pic:spPr>
                    <a:xfrm>
                      <a:off x="0" y="0"/>
                      <a:ext cx="5372566" cy="2972058"/>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8: Product Mapping</w:t>
      </w:r>
    </w:p>
    <w:p w:rsidR="00000000" w:rsidDel="00000000" w:rsidP="00000000" w:rsidRDefault="00000000" w:rsidRPr="00000000" w14:paraId="000000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executed result in Figure 8 above, there are no longer duplicate product names. This is because the query returned an empty result. This outcome confirms that the dataset maintaining each unique SKU only contains one product name. This action is necessary to reduce risk of product name ambiguity or data fragmentation during the subsequent EDA and subsequent analysis.</w:t>
      </w:r>
    </w:p>
    <w:p w:rsidR="00000000" w:rsidDel="00000000" w:rsidP="00000000" w:rsidRDefault="00000000" w:rsidRPr="00000000" w14:paraId="000000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3"/>
        <w:numPr>
          <w:ilvl w:val="2"/>
          <w:numId w:val="2"/>
        </w:numPr>
        <w:spacing w:line="360" w:lineRule="auto"/>
        <w:ind w:left="1080" w:hanging="720"/>
        <w:jc w:val="both"/>
        <w:rPr>
          <w:rFonts w:ascii="Times New Roman" w:cs="Times New Roman" w:eastAsia="Times New Roman" w:hAnsi="Times New Roman"/>
        </w:rPr>
      </w:pPr>
      <w:bookmarkStart w:colFirst="0" w:colLast="0" w:name="_heading=h.39h0fmuaspmu" w:id="7"/>
      <w:bookmarkEnd w:id="7"/>
      <w:r w:rsidDel="00000000" w:rsidR="00000000" w:rsidRPr="00000000">
        <w:rPr>
          <w:rFonts w:ascii="Times New Roman" w:cs="Times New Roman" w:eastAsia="Times New Roman" w:hAnsi="Times New Roman"/>
          <w:rtl w:val="0"/>
        </w:rPr>
        <w:t xml:space="preserve">Handling Duplicate Data</w:t>
      </w:r>
    </w:p>
    <w:p w:rsidR="00000000" w:rsidDel="00000000" w:rsidP="00000000" w:rsidRDefault="00000000" w:rsidRPr="00000000" w14:paraId="0000007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Apart from the inconsistent product name, the raw online retail data contains an identical column name where every single row matches as showed on Figure 9 below. The duplicate data entry could artificially inflate the sales figure and skew the final statistical metrics. Hence, final data cleansing step was conducted using the command in Figure 10 below. </w:t>
      </w:r>
      <w:r w:rsidDel="00000000" w:rsidR="00000000" w:rsidRPr="00000000">
        <w:rPr>
          <w:rFonts w:ascii="Times New Roman" w:cs="Times New Roman" w:eastAsia="Times New Roman" w:hAnsi="Times New Roman"/>
          <w:sz w:val="24"/>
          <w:szCs w:val="24"/>
        </w:rPr>
        <w:drawing>
          <wp:inline distB="0" distT="0" distL="0" distR="0">
            <wp:extent cx="4369974" cy="4867974"/>
            <wp:effectExtent b="0" l="0" r="0" t="0"/>
            <wp:docPr id="35"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4369974" cy="4867974"/>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9: Checking on the duplicate rows</w:t>
      </w:r>
    </w:p>
    <w:p w:rsidR="00000000" w:rsidDel="00000000" w:rsidP="00000000" w:rsidRDefault="00000000" w:rsidRPr="00000000" w14:paraId="00000078">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634875" cy="2501670"/>
            <wp:effectExtent b="0" l="0" r="0" t="0"/>
            <wp:docPr id="36" name="image34.png"/>
            <a:graphic>
              <a:graphicData uri="http://schemas.openxmlformats.org/drawingml/2006/picture">
                <pic:pic>
                  <pic:nvPicPr>
                    <pic:cNvPr id="0" name="image34.png"/>
                    <pic:cNvPicPr preferRelativeResize="0"/>
                  </pic:nvPicPr>
                  <pic:blipFill>
                    <a:blip r:embed="rId25"/>
                    <a:srcRect b="0" l="0" r="0" t="0"/>
                    <a:stretch>
                      <a:fillRect/>
                    </a:stretch>
                  </pic:blipFill>
                  <pic:spPr>
                    <a:xfrm>
                      <a:off x="0" y="0"/>
                      <a:ext cx="4634875" cy="250167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0" distT="0" distL="0" distR="0">
            <wp:extent cx="4527879" cy="2156132"/>
            <wp:effectExtent b="0" l="0" r="0" t="0"/>
            <wp:docPr id="37" name="image38.png"/>
            <a:graphic>
              <a:graphicData uri="http://schemas.openxmlformats.org/drawingml/2006/picture">
                <pic:pic>
                  <pic:nvPicPr>
                    <pic:cNvPr id="0" name="image38.png"/>
                    <pic:cNvPicPr preferRelativeResize="0"/>
                  </pic:nvPicPr>
                  <pic:blipFill>
                    <a:blip r:embed="rId26"/>
                    <a:srcRect b="20255" l="0" r="0" t="0"/>
                    <a:stretch>
                      <a:fillRect/>
                    </a:stretch>
                  </pic:blipFill>
                  <pic:spPr>
                    <a:xfrm>
                      <a:off x="0" y="0"/>
                      <a:ext cx="4527879" cy="2156132"/>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500682" cy="1890932"/>
            <wp:effectExtent b="0" l="0" r="0" t="0"/>
            <wp:docPr id="38" name="image36.png"/>
            <a:graphic>
              <a:graphicData uri="http://schemas.openxmlformats.org/drawingml/2006/picture">
                <pic:pic>
                  <pic:nvPicPr>
                    <pic:cNvPr id="0" name="image36.png"/>
                    <pic:cNvPicPr preferRelativeResize="0"/>
                  </pic:nvPicPr>
                  <pic:blipFill>
                    <a:blip r:embed="rId27"/>
                    <a:srcRect b="0" l="0" r="0" t="0"/>
                    <a:stretch>
                      <a:fillRect/>
                    </a:stretch>
                  </pic:blipFill>
                  <pic:spPr>
                    <a:xfrm>
                      <a:off x="0" y="0"/>
                      <a:ext cx="4500682" cy="1890932"/>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10: Remove Duplicate Data</w:t>
      </w:r>
    </w:p>
    <w:p w:rsidR="00000000" w:rsidDel="00000000" w:rsidP="00000000" w:rsidRDefault="00000000" w:rsidRPr="00000000" w14:paraId="000000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Figure 10 above, the function. dropDuplicates() was applied to remove the duplicate. The process has effectively removed the duplicate ensuring that all remaining transactions in the dataset are unique and accurate.</w:t>
      </w:r>
    </w:p>
    <w:p w:rsidR="00000000" w:rsidDel="00000000" w:rsidP="00000000" w:rsidRDefault="00000000" w:rsidRPr="00000000" w14:paraId="000000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all the data inconsistencies, duplicate rows being resolved through Figure 4 until 9, the dataset has achieved a full correct structural data integrity and can be fed into the analysis.</w:t>
      </w:r>
    </w:p>
    <w:p w:rsidR="00000000" w:rsidDel="00000000" w:rsidP="00000000" w:rsidRDefault="00000000" w:rsidRPr="00000000" w14:paraId="0000007D">
      <w:pPr>
        <w:pStyle w:val="Heading3"/>
        <w:numPr>
          <w:ilvl w:val="2"/>
          <w:numId w:val="2"/>
        </w:numPr>
        <w:spacing w:line="360" w:lineRule="auto"/>
        <w:ind w:left="1080" w:hanging="720"/>
        <w:jc w:val="both"/>
        <w:rPr>
          <w:rFonts w:ascii="Times New Roman" w:cs="Times New Roman" w:eastAsia="Times New Roman" w:hAnsi="Times New Roman"/>
        </w:rPr>
      </w:pPr>
      <w:bookmarkStart w:colFirst="0" w:colLast="0" w:name="_heading=h.a0ob6trdjbod" w:id="8"/>
      <w:bookmarkEnd w:id="8"/>
      <w:r w:rsidDel="00000000" w:rsidR="00000000" w:rsidRPr="00000000">
        <w:rPr>
          <w:rFonts w:ascii="Times New Roman" w:cs="Times New Roman" w:eastAsia="Times New Roman" w:hAnsi="Times New Roman"/>
          <w:rtl w:val="0"/>
        </w:rPr>
        <w:t xml:space="preserve">Feature Engineering and Data Transformation</w:t>
      </w:r>
    </w:p>
    <w:p w:rsidR="00000000" w:rsidDel="00000000" w:rsidP="00000000" w:rsidRDefault="00000000" w:rsidRPr="00000000" w14:paraId="000000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several new features added directly within the Apache Environment using the Spark SQL. to support a comprehensive analysis of the purchase trend. The purpose of the transformation is to convert a meaningful time-based metric that could be extracted based on existing features InvoiceDate.</w:t>
      </w:r>
    </w:p>
    <w:p w:rsidR="00000000" w:rsidDel="00000000" w:rsidP="00000000" w:rsidRDefault="00000000" w:rsidRPr="00000000" w14:paraId="000000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displayed by the query within Figure 11, the transaction timestamps were being divided into specific months and hours. Additionally, the study has also further classified the date into the two major categories which are weekend and weekday.</w:t>
      </w:r>
    </w:p>
    <w:p w:rsidR="00000000" w:rsidDel="00000000" w:rsidP="00000000" w:rsidRDefault="00000000" w:rsidRPr="00000000" w14:paraId="000000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the exact hour of the transactions was also mapped into four operational shifts to identify patterns of shipping among the online customer.</w:t>
      </w:r>
    </w:p>
    <w:p w:rsidR="00000000" w:rsidDel="00000000" w:rsidP="00000000" w:rsidRDefault="00000000" w:rsidRPr="00000000" w14:paraId="000000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 is categorized as Morning (6am – 11.59pm), Afternoon (12pm-3.59pm), Evening (4pm-859pm and Late Night (9pm – 5.59am).</w:t>
      </w:r>
    </w:p>
    <w:p w:rsidR="00000000" w:rsidDel="00000000" w:rsidP="00000000" w:rsidRDefault="00000000" w:rsidRPr="00000000" w14:paraId="000000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final transformed output was registered into a new unified view named as online_retail_final_metrics to ensure a clean structure for the subsequent analytical queries.</w:t>
      </w:r>
    </w:p>
    <w:p w:rsidR="00000000" w:rsidDel="00000000" w:rsidP="00000000" w:rsidRDefault="00000000" w:rsidRPr="00000000" w14:paraId="000000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89670" cy="2613887"/>
            <wp:effectExtent b="0" l="0" r="0" t="0"/>
            <wp:docPr id="39" name="image37.png"/>
            <a:graphic>
              <a:graphicData uri="http://schemas.openxmlformats.org/drawingml/2006/picture">
                <pic:pic>
                  <pic:nvPicPr>
                    <pic:cNvPr id="0" name="image37.png"/>
                    <pic:cNvPicPr preferRelativeResize="0"/>
                  </pic:nvPicPr>
                  <pic:blipFill>
                    <a:blip r:embed="rId28"/>
                    <a:srcRect b="0" l="0" r="0" t="0"/>
                    <a:stretch>
                      <a:fillRect/>
                    </a:stretch>
                  </pic:blipFill>
                  <pic:spPr>
                    <a:xfrm>
                      <a:off x="0" y="0"/>
                      <a:ext cx="5189670" cy="2613887"/>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11: Time based Feature Engineering</w:t>
      </w:r>
    </w:p>
    <w:p w:rsidR="00000000" w:rsidDel="00000000" w:rsidP="00000000" w:rsidRDefault="00000000" w:rsidRPr="00000000" w14:paraId="00000086">
      <w:pPr>
        <w:spacing w:line="360" w:lineRule="auto"/>
        <w:jc w:val="both"/>
        <w:rPr>
          <w:rFonts w:ascii="Times New Roman" w:cs="Times New Roman" w:eastAsia="Times New Roman" w:hAnsi="Times New Roman"/>
          <w:i w:val="1"/>
          <w:iCs w:val="1"/>
          <w:color w:val="44546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numPr>
          <w:ilvl w:val="0"/>
          <w:numId w:val="2"/>
        </w:numPr>
        <w:spacing w:line="360" w:lineRule="auto"/>
        <w:ind w:left="720" w:hanging="360"/>
        <w:jc w:val="both"/>
        <w:rPr>
          <w:rFonts w:ascii="Times New Roman" w:cs="Times New Roman" w:eastAsia="Times New Roman" w:hAnsi="Times New Roman"/>
          <w:sz w:val="24"/>
          <w:szCs w:val="24"/>
        </w:rPr>
      </w:pPr>
      <w:bookmarkStart w:colFirst="0" w:colLast="0" w:name="_heading=h.8z1omgtcvdju" w:id="9"/>
      <w:bookmarkEnd w:id="9"/>
      <w:r w:rsidDel="00000000" w:rsidR="00000000" w:rsidRPr="00000000">
        <w:rPr>
          <w:rFonts w:ascii="Times New Roman" w:cs="Times New Roman" w:eastAsia="Times New Roman" w:hAnsi="Times New Roman"/>
          <w:sz w:val="24"/>
          <w:szCs w:val="24"/>
          <w:rtl w:val="0"/>
        </w:rPr>
        <w:t xml:space="preserve">Explanatory Data Analysis (EDA)</w:t>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dataset was fully enriched with all the temporal features, the EDA process was carried out accordingly. One of the primary reasons for selecting Apache Zeppelin in this study is because the environment has a built-in interactive visualization capability. It allows users to automatically generate the explanatory plots directly from a SQL query output without requiring an additional plotting library such as Matplotlib or Seaborn. </w:t>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the users may seamlessly toggle between different types of chart such as bar chart, pie chart, line graphs or scatter plot. The GUI has been directly embedded in the Apache Zeppelin system. </w:t>
      </w:r>
    </w:p>
    <w:p w:rsidR="00000000" w:rsidDel="00000000" w:rsidP="00000000" w:rsidRDefault="00000000" w:rsidRPr="00000000" w14:paraId="000000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Hence, utilizing these capabilities the study can effortlessly execute multiple analytical queries to uncover customer behaviour patterns in the online retail data.</w:t>
      </w:r>
    </w:p>
    <w:p w:rsidR="00000000" w:rsidDel="00000000" w:rsidP="00000000" w:rsidRDefault="00000000" w:rsidRPr="00000000" w14:paraId="0000008B">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l68qfjte8oy4" w:id="10"/>
      <w:bookmarkEnd w:id="10"/>
      <w:r w:rsidDel="00000000" w:rsidR="00000000" w:rsidRPr="00000000">
        <w:rPr>
          <w:rFonts w:ascii="Times New Roman" w:cs="Times New Roman" w:eastAsia="Times New Roman" w:hAnsi="Times New Roman"/>
          <w:sz w:val="24"/>
          <w:szCs w:val="24"/>
          <w:rtl w:val="0"/>
        </w:rPr>
        <w:t xml:space="preserve">Temporal and Seasonal Sale Performance</w:t>
      </w:r>
    </w:p>
    <w:p w:rsidR="00000000" w:rsidDel="00000000" w:rsidP="00000000" w:rsidRDefault="00000000" w:rsidRPr="00000000" w14:paraId="000000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identify the temporal buying behaviors, the gross sale figures were aggregated across the multiple time dimensions extracted during the feature engineering stage earlier.</w:t>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E">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d54m7dxjoc8s" w:id="11"/>
      <w:bookmarkEnd w:id="11"/>
      <w:r w:rsidDel="00000000" w:rsidR="00000000" w:rsidRPr="00000000">
        <w:rPr>
          <w:rFonts w:ascii="Times New Roman" w:cs="Times New Roman" w:eastAsia="Times New Roman" w:hAnsi="Times New Roman"/>
          <w:sz w:val="24"/>
          <w:szCs w:val="24"/>
          <w:rtl w:val="0"/>
        </w:rPr>
        <w:t xml:space="preserve">Monthly Gross Sales Performance</w:t>
      </w:r>
    </w:p>
    <w:p w:rsidR="00000000" w:rsidDel="00000000" w:rsidP="00000000" w:rsidRDefault="00000000" w:rsidRPr="00000000" w14:paraId="000000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EDA performed in the study is to identify the seasonal trend exist in the dataset based on the trend of the cumulative gross sales over months as per Figure 12 below.</w:t>
      </w:r>
    </w:p>
    <w:p w:rsidR="00000000" w:rsidDel="00000000" w:rsidP="00000000" w:rsidRDefault="00000000" w:rsidRPr="00000000" w14:paraId="00000090">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59187" cy="1021169"/>
            <wp:effectExtent b="0" l="0" r="0" t="0"/>
            <wp:docPr id="40" name="image30.png"/>
            <a:graphic>
              <a:graphicData uri="http://schemas.openxmlformats.org/drawingml/2006/picture">
                <pic:pic>
                  <pic:nvPicPr>
                    <pic:cNvPr id="0" name="image30.png"/>
                    <pic:cNvPicPr preferRelativeResize="0"/>
                  </pic:nvPicPr>
                  <pic:blipFill>
                    <a:blip r:embed="rId29"/>
                    <a:srcRect b="68247" l="0" r="0" t="0"/>
                    <a:stretch>
                      <a:fillRect/>
                    </a:stretch>
                  </pic:blipFill>
                  <pic:spPr>
                    <a:xfrm>
                      <a:off x="0" y="0"/>
                      <a:ext cx="5159187" cy="1021169"/>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0" distT="0" distL="0" distR="0">
            <wp:extent cx="5731510" cy="1828800"/>
            <wp:effectExtent b="0" l="0" r="0" t="0"/>
            <wp:docPr id="11"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73151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12: Analysis of Monthly Sales Performance</w:t>
      </w:r>
    </w:p>
    <w:p w:rsidR="00000000" w:rsidDel="00000000" w:rsidP="00000000" w:rsidRDefault="00000000" w:rsidRPr="00000000" w14:paraId="000000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Figure 12 above, there is an obvious peak sale in the fourth quarter of the month, specifically in October 2010. The spike in sales during the final quarter is a common seasonal pattern that exists in the retail industry which normally drives by the year-end holiday shopping, promotional campaigns and corporate inventory clears-out. Conversely, early months of the year show a relatively stable or lower sales volume before picking up momentum in the next quarter.</w:t>
      </w:r>
    </w:p>
    <w:p w:rsidR="00000000" w:rsidDel="00000000" w:rsidP="00000000" w:rsidRDefault="00000000" w:rsidRPr="00000000" w14:paraId="0000009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jggw21lvk1n5" w:id="12"/>
      <w:bookmarkEnd w:id="12"/>
      <w:r w:rsidDel="00000000" w:rsidR="00000000" w:rsidRPr="00000000">
        <w:rPr>
          <w:rFonts w:ascii="Times New Roman" w:cs="Times New Roman" w:eastAsia="Times New Roman" w:hAnsi="Times New Roman"/>
          <w:sz w:val="24"/>
          <w:szCs w:val="24"/>
          <w:rtl w:val="0"/>
        </w:rPr>
        <w:t xml:space="preserve">Hourly Sales Performance</w:t>
      </w:r>
    </w:p>
    <w:p w:rsidR="00000000" w:rsidDel="00000000" w:rsidP="00000000" w:rsidRDefault="00000000" w:rsidRPr="00000000" w14:paraId="000000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the macro-level seasonal analysis, an hourly aggregation was computed to identify the specific operational periods of the day where buying behavior is heavily concentrated.</w:t>
      </w:r>
    </w:p>
    <w:p w:rsidR="00000000" w:rsidDel="00000000" w:rsidP="00000000" w:rsidRDefault="00000000" w:rsidRPr="00000000" w14:paraId="000000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89670" cy="1752752"/>
            <wp:effectExtent b="0" l="0" r="0" t="0"/>
            <wp:docPr id="12" name="image10.png"/>
            <a:graphic>
              <a:graphicData uri="http://schemas.openxmlformats.org/drawingml/2006/picture">
                <pic:pic>
                  <pic:nvPicPr>
                    <pic:cNvPr id="0" name="image10.png"/>
                    <pic:cNvPicPr preferRelativeResize="0"/>
                  </pic:nvPicPr>
                  <pic:blipFill>
                    <a:blip r:embed="rId31"/>
                    <a:srcRect b="55512" l="0" r="0" t="0"/>
                    <a:stretch>
                      <a:fillRect/>
                    </a:stretch>
                  </pic:blipFill>
                  <pic:spPr>
                    <a:xfrm>
                      <a:off x="0" y="0"/>
                      <a:ext cx="5189670" cy="1752752"/>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784350"/>
            <wp:effectExtent b="0" l="0" r="0" t="0"/>
            <wp:docPr id="13"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5731510" cy="178435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13: Purchase Trend Analysis by Hour</w:t>
      </w:r>
    </w:p>
    <w:p w:rsidR="00000000" w:rsidDel="00000000" w:rsidP="00000000" w:rsidRDefault="00000000" w:rsidRPr="00000000" w14:paraId="0000009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Figure 13 above, the buying behavior begins as early as 7am and experience and aggressive upward momentum as the day progresses. The absolute peak sales volume occurs during the midday window, specifically between 12:00 and 13:00, indicating that customers highly prefer shopping online during lunchtime or midday breaks.</w:t>
      </w:r>
    </w:p>
    <w:p w:rsidR="00000000" w:rsidDel="00000000" w:rsidP="00000000" w:rsidRDefault="00000000" w:rsidRPr="00000000" w14:paraId="0000009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3pm, the total gross sales showed a steady and continuous decline throughout the late afternoon, eventually dropping to its lowest baseline by 8pm. This clear transactional curve provides critical operational insights for scheduling digital marketing campaigns, web server maintenance windows, and customer service shift planning.</w:t>
      </w:r>
    </w:p>
    <w:p w:rsidR="00000000" w:rsidDel="00000000" w:rsidP="00000000" w:rsidRDefault="00000000" w:rsidRPr="00000000" w14:paraId="0000009E">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hlhvyvlezebj" w:id="13"/>
      <w:bookmarkEnd w:id="13"/>
      <w:r w:rsidDel="00000000" w:rsidR="00000000" w:rsidRPr="00000000">
        <w:rPr>
          <w:rFonts w:ascii="Times New Roman" w:cs="Times New Roman" w:eastAsia="Times New Roman" w:hAnsi="Times New Roman"/>
          <w:sz w:val="24"/>
          <w:szCs w:val="24"/>
          <w:rtl w:val="0"/>
        </w:rPr>
        <w:t xml:space="preserve">Sales Breakdown Across Operational Time Shifts</w:t>
      </w:r>
    </w:p>
    <w:p w:rsidR="00000000" w:rsidDel="00000000" w:rsidP="00000000" w:rsidRDefault="00000000" w:rsidRPr="00000000" w14:paraId="000000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simplify the customer online purchase behavior the study segmented the time of the day into three main operational shifts which are Morning, Afternoon and Evening. </w:t>
      </w:r>
    </w:p>
    <w:p w:rsidR="00000000" w:rsidDel="00000000" w:rsidP="00000000" w:rsidRDefault="00000000" w:rsidRPr="00000000" w14:paraId="000000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43946" cy="1889924"/>
            <wp:effectExtent b="0" l="0" r="0" t="0"/>
            <wp:docPr id="14"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5143946" cy="1889924"/>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791335"/>
            <wp:effectExtent b="0" l="0" r="0" t="0"/>
            <wp:docPr id="15" name="image4.png"/>
            <a:graphic>
              <a:graphicData uri="http://schemas.openxmlformats.org/drawingml/2006/picture">
                <pic:pic>
                  <pic:nvPicPr>
                    <pic:cNvPr id="0" name="image4.png"/>
                    <pic:cNvPicPr preferRelativeResize="0"/>
                  </pic:nvPicPr>
                  <pic:blipFill>
                    <a:blip r:embed="rId34"/>
                    <a:srcRect b="0" l="0" r="0" t="0"/>
                    <a:stretch>
                      <a:fillRect/>
                    </a:stretch>
                  </pic:blipFill>
                  <pic:spPr>
                    <a:xfrm>
                      <a:off x="0" y="0"/>
                      <a:ext cx="5731510" cy="1791335"/>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14: Sales Analysis by Time Shifts</w:t>
      </w:r>
    </w:p>
    <w:p w:rsidR="00000000" w:rsidDel="00000000" w:rsidP="00000000" w:rsidRDefault="00000000" w:rsidRPr="00000000" w14:paraId="000000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Figure 14 above, the visualization reveals a highly concentrated buying preference during specific periods of the day. The Afternoon shift clearly dominates the chart, capturing the absolute highest volume of gross sales followed by the Morning shift.</w:t>
      </w:r>
    </w:p>
    <w:p w:rsidR="00000000" w:rsidDel="00000000" w:rsidP="00000000" w:rsidRDefault="00000000" w:rsidRPr="00000000" w14:paraId="000000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contrast, the transaction levels are negligible minimum during the Evening shift. This distinct breakdown confirms that the platform's primary consumer traffic is highly active during daylight business hours which are from morning until late afternoon. Thus, these two shifts served as the most critical windows for launching time-sensitive promotions and maintaining high system availability.</w:t>
      </w:r>
    </w:p>
    <w:p w:rsidR="00000000" w:rsidDel="00000000" w:rsidP="00000000" w:rsidRDefault="00000000" w:rsidRPr="00000000" w14:paraId="000000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2xlatx65yniu" w:id="14"/>
      <w:bookmarkEnd w:id="14"/>
      <w:r w:rsidDel="00000000" w:rsidR="00000000" w:rsidRPr="00000000">
        <w:rPr>
          <w:rFonts w:ascii="Times New Roman" w:cs="Times New Roman" w:eastAsia="Times New Roman" w:hAnsi="Times New Roman"/>
          <w:sz w:val="24"/>
          <w:szCs w:val="24"/>
          <w:rtl w:val="0"/>
        </w:rPr>
        <w:t xml:space="preserve">Sales Performance by Week of Day</w:t>
      </w:r>
    </w:p>
    <w:p w:rsidR="00000000" w:rsidDel="00000000" w:rsidP="00000000" w:rsidRDefault="00000000" w:rsidRPr="00000000" w14:paraId="000000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66808" cy="952583"/>
            <wp:effectExtent b="0" l="0" r="0" t="0"/>
            <wp:docPr id="16"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5166808" cy="952583"/>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836420"/>
            <wp:effectExtent b="0" l="0" r="0" t="0"/>
            <wp:docPr id="17"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57315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15: Week of Day Sales Performance</w:t>
      </w:r>
    </w:p>
    <w:p w:rsidR="00000000" w:rsidDel="00000000" w:rsidP="00000000" w:rsidRDefault="00000000" w:rsidRPr="00000000" w14:paraId="000000A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further understand the customer purchase behaviour changes between workday and off day, the study was evaluated based on the categorized day type as Figure 15 above.</w:t>
      </w:r>
    </w:p>
    <w:p w:rsidR="00000000" w:rsidDel="00000000" w:rsidP="00000000" w:rsidRDefault="00000000" w:rsidRPr="00000000" w14:paraId="000000A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Figure 15, there is a substantial imbalance in the sales behaviour  between the two day categories. Sales are heavily concentrated on the weekday while the weekend shows a minimal revenue contribution. The drastic drop of sales during weekends suggests that the online retail platform is primarily utilized by commercial entities, wholesalers, or business-oriented buyers who operate strictly during standard working days. This insight complements the findings found in the subsequent EDA which suggest a strong presence of Business-to-Business (B2B) buying activities within the ecosystem.</w:t>
      </w:r>
    </w:p>
    <w:p w:rsidR="00000000" w:rsidDel="00000000" w:rsidP="00000000" w:rsidRDefault="00000000" w:rsidRPr="00000000" w14:paraId="000000B1">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q4ga6zeo3lkt" w:id="15"/>
      <w:bookmarkEnd w:id="15"/>
      <w:r w:rsidDel="00000000" w:rsidR="00000000" w:rsidRPr="00000000">
        <w:rPr>
          <w:rFonts w:ascii="Times New Roman" w:cs="Times New Roman" w:eastAsia="Times New Roman" w:hAnsi="Times New Roman"/>
          <w:sz w:val="24"/>
          <w:szCs w:val="24"/>
          <w:rtl w:val="0"/>
        </w:rPr>
        <w:t xml:space="preserve">Sales Performance by Country</w:t>
      </w:r>
    </w:p>
    <w:p w:rsidR="00000000" w:rsidDel="00000000" w:rsidP="00000000" w:rsidRDefault="00000000" w:rsidRPr="00000000" w14:paraId="000000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235394" cy="1303133"/>
            <wp:effectExtent b="0" l="0" r="0" t="0"/>
            <wp:docPr id="18"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5235394" cy="1303133"/>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696085"/>
            <wp:effectExtent b="0" l="0" r="0" t="0"/>
            <wp:docPr id="1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510" cy="169608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16: Sales Performance by Country</w:t>
      </w:r>
    </w:p>
    <w:p w:rsidR="00000000" w:rsidDel="00000000" w:rsidP="00000000" w:rsidRDefault="00000000" w:rsidRPr="00000000" w14:paraId="000000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the study explores the sales behaviour across each of the countries within the global retail ecosystem. A country level revenue aggregation query was executed to determine the top 10 countries based on the overall gross sales.</w:t>
      </w:r>
    </w:p>
    <w:p w:rsidR="00000000" w:rsidDel="00000000" w:rsidP="00000000" w:rsidRDefault="00000000" w:rsidRPr="00000000" w14:paraId="000000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Figure 16 above there was a severe geographic data disparity observed. The United Kingdom (UK) stands out as the dominant primary market for this retail platform. </w:t>
      </w:r>
    </w:p>
    <w:p w:rsidR="00000000" w:rsidDel="00000000" w:rsidP="00000000" w:rsidRDefault="00000000" w:rsidRPr="00000000" w14:paraId="000000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Countries such as EIRE (Ireland), Netherlands, Germany, and France lead the international revenue generation. It indicates that the international customer base is heavily concentrated within the European region.</w:t>
      </w:r>
    </w:p>
    <w:p w:rsidR="00000000" w:rsidDel="00000000" w:rsidP="00000000" w:rsidRDefault="00000000" w:rsidRPr="00000000" w14:paraId="000000B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gzra5g29i83l" w:id="16"/>
      <w:bookmarkEnd w:id="16"/>
      <w:r w:rsidDel="00000000" w:rsidR="00000000" w:rsidRPr="00000000">
        <w:rPr>
          <w:rFonts w:ascii="Times New Roman" w:cs="Times New Roman" w:eastAsia="Times New Roman" w:hAnsi="Times New Roman"/>
          <w:sz w:val="24"/>
          <w:szCs w:val="24"/>
          <w:rtl w:val="0"/>
        </w:rPr>
        <w:t xml:space="preserve">Sales Trend Analysis between Countries</w:t>
      </w:r>
    </w:p>
    <w:p w:rsidR="00000000" w:rsidDel="00000000" w:rsidP="00000000" w:rsidRDefault="00000000" w:rsidRPr="00000000" w14:paraId="000000BC">
      <w:pPr>
        <w:keepNext w:val="1"/>
        <w:spacing w:line="360" w:lineRule="auto"/>
        <w:jc w:val="both"/>
        <w:rPr/>
      </w:pPr>
      <w:r w:rsidDel="00000000" w:rsidR="00000000" w:rsidRPr="00000000">
        <w:rPr>
          <w:rFonts w:ascii="Times New Roman" w:cs="Times New Roman" w:eastAsia="Times New Roman" w:hAnsi="Times New Roman"/>
          <w:sz w:val="24"/>
          <w:szCs w:val="24"/>
        </w:rPr>
        <w:drawing>
          <wp:inline distB="0" distT="0" distL="0" distR="0">
            <wp:extent cx="5082980" cy="5143946"/>
            <wp:effectExtent b="0" l="0" r="0" t="0"/>
            <wp:docPr id="20"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5082980" cy="5143946"/>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bCs w:val="0"/>
          <w:i w:val="1"/>
          <w:iCs w:val="1"/>
          <w:smallCaps w:val="0"/>
          <w:strike w:val="0"/>
          <w:color w:val="44546a"/>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17: Sales Trend Analysis within Countries</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tbl>
      <w:tblPr>
        <w:tblStyle w:val="Table1"/>
        <w:tblW w:w="9016.0" w:type="dxa"/>
        <w:jc w:val="left"/>
        <w:tblLayout w:type="fixed"/>
        <w:tblLook w:val="0400"/>
      </w:tblPr>
      <w:tblGrid>
        <w:gridCol w:w="1353"/>
        <w:gridCol w:w="671"/>
        <w:gridCol w:w="845"/>
        <w:gridCol w:w="4943"/>
        <w:gridCol w:w="1204"/>
        <w:tblGridChange w:id="0">
          <w:tblGrid>
            <w:gridCol w:w="1353"/>
            <w:gridCol w:w="671"/>
            <w:gridCol w:w="845"/>
            <w:gridCol w:w="4943"/>
            <w:gridCol w:w="1204"/>
          </w:tblGrid>
        </w:tblGridChange>
      </w:tblGrid>
      <w:tr>
        <w:trPr>
          <w:cantSplit w:val="0"/>
          <w:trHeight w:val="3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Country</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C9">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rank</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CA">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Stock</w:t>
            </w:r>
          </w:p>
          <w:p w:rsidR="00000000" w:rsidDel="00000000" w:rsidP="00000000" w:rsidRDefault="00000000" w:rsidRPr="00000000" w14:paraId="000000CB">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Code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CC">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Product_Description</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CD">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Total_Qty</w:t>
            </w:r>
          </w:p>
          <w:p w:rsidR="00000000" w:rsidDel="00000000" w:rsidP="00000000" w:rsidRDefault="00000000" w:rsidRPr="00000000" w14:paraId="000000CE">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Sold</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F">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United Kingdom</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0">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1">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84077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2">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WORLD WAR 2 GLIDERS ASSTD DESIGNS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3">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97,465</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Denmark</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5">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6">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37410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7">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BLACK AND WHITE PAISLEY FLOWER MUG</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8">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25,164</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France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A">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B">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21088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C">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SET/6 FRUIT SALAD PAPER CUPS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D">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7,176</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Netherlands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DF">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0">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35961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1">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FOLKART ZINC HEART CHRISTMAS DEC</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2">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6,697</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EIRE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4">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5">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21212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6">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PACK OF 72 RETROSPOT CAKE CASES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7">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6,000</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Sweden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9">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A">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16033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B">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MINI HIGHLIGHTER PENS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C">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5,760</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Australia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E">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EF">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22492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0">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MINI PAINT SET VINTAGE  BOY+ GIRL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1">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3,060</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Germany</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3">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4">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22326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5">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ROUND SNACK BOXES SET OF4 WOODLAND</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6">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2,698</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Spain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8">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9">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22670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A">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FRENCH WC SIGN BLUE METAL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B">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1,788</w:t>
            </w:r>
          </w:p>
        </w:tc>
      </w:tr>
      <w:tr>
        <w:trPr>
          <w:cantSplit w:val="0"/>
          <w:trHeight w:val="32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Bermuda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D">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E">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84598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FF">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BOYS ALPHABET IRON ON PATCHES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00">
            <w:pPr>
              <w:keepNext w:val="1"/>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1,152</w:t>
            </w:r>
          </w:p>
        </w:tc>
      </w:tr>
    </w:tbl>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Table 1: Identification of High-Volume Top Products with Over 1,000 Units in Total Quantity Sold</w:t>
      </w:r>
    </w:p>
    <w:p w:rsidR="00000000" w:rsidDel="00000000" w:rsidP="00000000" w:rsidRDefault="00000000" w:rsidRPr="00000000" w14:paraId="000001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identify localized product preferences, a window ranking function (ROW_NUMBER()) was used to isolate the top 10 products per country based on Total_Quantity_Sold. This query explicitly filters out negative quantities and invalid descriptions if they still exist. Due to the high dimensionality of comparing products across global markets, the results are presented in a structured tabular format.</w:t>
      </w:r>
    </w:p>
    <w:p w:rsidR="00000000" w:rsidDel="00000000" w:rsidP="00000000" w:rsidRDefault="00000000" w:rsidRPr="00000000" w14:paraId="0000010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partitioned data in Table 1, there were several key operational insights and data profiling were discovered. First, a massive demand exists for novelty, stationery, and event items, highlighted by 97,465 gliders sold in the United Kingdom, 7,176 paper cups in France, and 5,760 mini highlighter pens in Sweden. Second, household, kitchen, and decorative goods drive the top spots in other European markets, such as 25,164 flower mugs in Denmark, 6,697 Christmas decorations in the Netherlands, and 6,000 cake cases in EIRE. The remaining international markets show a steady demand for varied consumer goods, ranging from over 3,000 paint sets in Australia to 1,152 clothing patches in Bermuda.</w:t>
      </w:r>
    </w:p>
    <w:p w:rsidR="00000000" w:rsidDel="00000000" w:rsidP="00000000" w:rsidRDefault="00000000" w:rsidRPr="00000000" w14:paraId="00000105">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fn8fzf6vezye" w:id="17"/>
      <w:bookmarkEnd w:id="17"/>
      <w:r w:rsidDel="00000000" w:rsidR="00000000" w:rsidRPr="00000000">
        <w:rPr>
          <w:rFonts w:ascii="Times New Roman" w:cs="Times New Roman" w:eastAsia="Times New Roman" w:hAnsi="Times New Roman"/>
          <w:sz w:val="24"/>
          <w:szCs w:val="24"/>
          <w:rtl w:val="0"/>
        </w:rPr>
        <w:t xml:space="preserve"> Cross-Border Product Popularity</w:t>
      </w:r>
    </w:p>
    <w:p w:rsidR="00000000" w:rsidDel="00000000" w:rsidP="00000000" w:rsidRDefault="00000000" w:rsidRPr="00000000" w14:paraId="0000010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235394" cy="3520745"/>
            <wp:effectExtent b="0" l="0" r="0" t="0"/>
            <wp:docPr id="1"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5235394" cy="3520745"/>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3176905"/>
            <wp:effectExtent b="0" l="0" r="0" t="0"/>
            <wp:docPr id="2" name="image18.png"/>
            <a:graphic>
              <a:graphicData uri="http://schemas.openxmlformats.org/drawingml/2006/picture">
                <pic:pic>
                  <pic:nvPicPr>
                    <pic:cNvPr id="0" name="image18.png"/>
                    <pic:cNvPicPr preferRelativeResize="0"/>
                  </pic:nvPicPr>
                  <pic:blipFill>
                    <a:blip r:embed="rId40"/>
                    <a:srcRect b="0" l="0" r="0" t="0"/>
                    <a:stretch>
                      <a:fillRect/>
                    </a:stretch>
                  </pic:blipFill>
                  <pic:spPr>
                    <a:xfrm>
                      <a:off x="0" y="0"/>
                      <a:ext cx="5731510" cy="3176905"/>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19: Cross-Border Product Popularity</w:t>
      </w:r>
    </w:p>
    <w:p w:rsidR="00000000" w:rsidDel="00000000" w:rsidP="00000000" w:rsidRDefault="00000000" w:rsidRPr="00000000" w14:paraId="0000010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spacing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2"/>
        <w:tblW w:w="8774.0" w:type="dxa"/>
        <w:jc w:val="left"/>
        <w:tblLayout w:type="fixed"/>
        <w:tblLook w:val="0400"/>
      </w:tblPr>
      <w:tblGrid>
        <w:gridCol w:w="823"/>
        <w:gridCol w:w="2243"/>
        <w:gridCol w:w="1465"/>
        <w:gridCol w:w="4243"/>
        <w:tblGridChange w:id="0">
          <w:tblGrid>
            <w:gridCol w:w="823"/>
            <w:gridCol w:w="2243"/>
            <w:gridCol w:w="1465"/>
            <w:gridCol w:w="4243"/>
          </w:tblGrid>
        </w:tblGridChange>
      </w:tblGrid>
      <w:tr>
        <w:trPr>
          <w:cantSplit w:val="0"/>
          <w:trHeight w:val="70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StockCode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D">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Product_Name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E">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countries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F">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List_Of_Countries</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21212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1">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PACK OF 72 RETROSPOT CAKE CASES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2">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3">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(Portugal, Italy, EIRE, Finland, Germany, Switzerland, Sweden, Netherlands, Belgium, Channel Islands, Norway, United Kingdom, Unspecified, USA</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14">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84991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5">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60 TEATIME FAIRY CAKE CASES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6">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7">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Channel Islands, Portugal, EIRE, Finland, Norway, Nigeria, Iceland, Sweden, Unspecified</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18">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21977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9">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PACK OF 60 PINK PAISLEY CAKE CASES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A">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B">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EIRE, Finland, Norway, United Kingdom, Sweden, Unspecified, Belgium</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1C">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84077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D">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WORLD WAR 2 GLIDERS ASSTD DESIGNS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E">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1F">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Canada, United Kingdom, Japan, Spain, Sweden, Unspecified</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0">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22326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1">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ROUND SNACK BOXES SET OF4 WOODLAND</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2">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3">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Germany, Switzerland, Hong Kong, Netherlands, Israel, Belgium</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4">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22492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5">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MINI PAINT SET VINTAGE  BOY+ GIRL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6">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7">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Australia, Japan, Korea, Iceland, Sweden, Belgium</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8">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84568</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9">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GIRLS ALPHABET IRON ON PATCHES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A">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B">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United Arab Emirates, Germany, Switzerland, Bermuda, Cyprus</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C">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22197</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D">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SMALL POPCORN HOLDER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E">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F">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Italy, EIRE, Norway, United Kingdom, Singapore</w:t>
            </w:r>
          </w:p>
        </w:tc>
      </w:tr>
      <w:tr>
        <w:trPr>
          <w:cantSplit w:val="0"/>
          <w:trHeight w:val="27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0">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85123A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1">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WHITE HANGING HEART T-LIGHT HOLDER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2">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3">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United Kingdom, Grece, Singapore, Netherlands, Cyprus</w:t>
            </w:r>
          </w:p>
        </w:tc>
      </w:tr>
      <w:tr>
        <w:trPr>
          <w:cantSplit w:val="0"/>
          <w:trHeight w:val="47"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4">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21700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5">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BIG DOUGHNUT FRIDGE MAGNETS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6">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7">
            <w:pP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Thailand, United Arab Emirates, Italy, Bermuda</w:t>
            </w:r>
          </w:p>
        </w:tc>
      </w:tr>
    </w:tbl>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Table 2: Top 10 item Purchased Similarly within countries</w:t>
      </w:r>
    </w:p>
    <w:p w:rsidR="00000000" w:rsidDel="00000000" w:rsidP="00000000" w:rsidRDefault="00000000" w:rsidRPr="00000000" w14:paraId="0000013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evaluate the breadth of the product popularity across the retail ecosystem in the dataset, a nested Common Table Expression (CTE) was implemented. This query identifies items that frequently appear within the “Top 10” most demanded products across multiple distinct countries by filtering items with cross-border traction (HAVING COUNT(DISTINCT Country) &gt; 1) as per Figure 16.</w:t>
      </w:r>
    </w:p>
    <w:p w:rsidR="00000000" w:rsidDel="00000000" w:rsidP="00000000" w:rsidRDefault="00000000" w:rsidRPr="00000000" w14:paraId="0000013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Table 2 above, the cross-border market penetration can be summarized into two core strategic insights. First, cake case is a global bestseller by securing a top demand spot across fourteen distinct international markets spanning Western Europe, Scandinavia, and North America. </w:t>
      </w:r>
    </w:p>
    <w:p w:rsidR="00000000" w:rsidDel="00000000" w:rsidP="00000000" w:rsidRDefault="00000000" w:rsidRPr="00000000" w14:paraId="0000013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low-cost and lightweight consumables, specifically cake cases and novelty items such as gliders, paint sets, and snack boxes, consistently drive the widest international footprint by appearing across five to nine different countries. Ultimately, these affordable baking accessories and everyday novelty goods served as the primary catalysts for the platform's recurring cross-border shipping logistics.</w:t>
      </w:r>
    </w:p>
    <w:p w:rsidR="00000000" w:rsidDel="00000000" w:rsidP="00000000" w:rsidRDefault="00000000" w:rsidRPr="00000000" w14:paraId="0000013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14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5gotqepqmsrv" w:id="18"/>
      <w:bookmarkEnd w:id="18"/>
      <w:r w:rsidDel="00000000" w:rsidR="00000000" w:rsidRPr="00000000">
        <w:rPr>
          <w:rFonts w:ascii="Times New Roman" w:cs="Times New Roman" w:eastAsia="Times New Roman" w:hAnsi="Times New Roman"/>
          <w:sz w:val="24"/>
          <w:szCs w:val="24"/>
          <w:rtl w:val="0"/>
        </w:rPr>
        <w:t xml:space="preserve">High Value Customer Identification</w:t>
      </w:r>
    </w:p>
    <w:p w:rsidR="00000000" w:rsidDel="00000000" w:rsidP="00000000" w:rsidRDefault="00000000" w:rsidRPr="00000000" w14:paraId="00000146">
      <w:pPr>
        <w:keepNext w:val="1"/>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590192" cy="2172608"/>
            <wp:effectExtent b="0" l="0" r="0" t="0"/>
            <wp:docPr id="3"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5590192" cy="2172608"/>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20: Computational Analysis of Basket Size</w:t>
      </w:r>
    </w:p>
    <w:p w:rsidR="00000000" w:rsidDel="00000000" w:rsidP="00000000" w:rsidRDefault="00000000" w:rsidRPr="00000000" w14:paraId="0000014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482090"/>
            <wp:effectExtent b="0" l="0" r="0" t="0"/>
            <wp:docPr id="4"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5731510" cy="148209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21: High Value Customer Identification</w:t>
      </w:r>
    </w:p>
    <w:p w:rsidR="00000000" w:rsidDel="00000000" w:rsidP="00000000" w:rsidRDefault="00000000" w:rsidRPr="00000000" w14:paraId="000001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the study identified the top customer in the dataset so the business can protect its core revenue and prevent these high-yield accounts from churning. By identifying these specific individuals allows the company to deploy targeted retention strategies, such as exclusive VIP loyalty programs, personalized pricing tier incentives, and dedicated account management to secure the customer long-term value.</w:t>
      </w:r>
    </w:p>
    <w:p w:rsidR="00000000" w:rsidDel="00000000" w:rsidP="00000000" w:rsidRDefault="00000000" w:rsidRPr="00000000" w14:paraId="0000014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Figure 20 above, the elite tier is led by Customer ID 18102, who tops the platform with a total spend approaching nearly 600,000, followed closely by Customer ID 14646.</w:t>
      </w:r>
    </w:p>
    <w:p w:rsidR="00000000" w:rsidDel="00000000" w:rsidP="00000000" w:rsidRDefault="00000000" w:rsidRPr="00000000" w14:paraId="0000014E">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9v960ixqw7s2" w:id="19"/>
      <w:bookmarkEnd w:id="19"/>
      <w:r w:rsidDel="00000000" w:rsidR="00000000" w:rsidRPr="00000000">
        <w:rPr>
          <w:rFonts w:ascii="Times New Roman" w:cs="Times New Roman" w:eastAsia="Times New Roman" w:hAnsi="Times New Roman"/>
          <w:sz w:val="24"/>
          <w:szCs w:val="24"/>
          <w:rtl w:val="0"/>
        </w:rPr>
        <w:t xml:space="preserve">Basket Size Analysis by Country </w:t>
      </w:r>
    </w:p>
    <w:p w:rsidR="00000000" w:rsidDel="00000000" w:rsidP="00000000" w:rsidRDefault="00000000" w:rsidRPr="00000000" w14:paraId="000001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189670" cy="2903472"/>
            <wp:effectExtent b="0" l="0" r="0" t="0"/>
            <wp:docPr id="5" name="image8.png"/>
            <a:graphic>
              <a:graphicData uri="http://schemas.openxmlformats.org/drawingml/2006/picture">
                <pic:pic>
                  <pic:nvPicPr>
                    <pic:cNvPr id="0" name="image8.png"/>
                    <pic:cNvPicPr preferRelativeResize="0"/>
                  </pic:nvPicPr>
                  <pic:blipFill>
                    <a:blip r:embed="rId43"/>
                    <a:srcRect b="0" l="0" r="0" t="0"/>
                    <a:stretch>
                      <a:fillRect/>
                    </a:stretch>
                  </pic:blipFill>
                  <pic:spPr>
                    <a:xfrm>
                      <a:off x="0" y="0"/>
                      <a:ext cx="5189670" cy="2903472"/>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keepNext w:val="1"/>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1510" cy="1668145"/>
            <wp:effectExtent b="0" l="0" r="0" t="0"/>
            <wp:docPr id="6"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5731510" cy="1668145"/>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Table 3: Basket Size by Company</w:t>
      </w:r>
    </w:p>
    <w:p w:rsidR="00000000" w:rsidDel="00000000" w:rsidP="00000000" w:rsidRDefault="00000000" w:rsidRPr="00000000" w14:paraId="0000015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evaluate cross-border purchasing power, the Average Order Value (AOV)  by country was computed as presented in Table 3 above. The data reveals that the Netherlands leads overall performance with 228 invoices and an average spend of 2,430 whereas Singapore emerges as a highly lucrative, untapped premium market. </w:t>
      </w:r>
    </w:p>
    <w:p w:rsidR="00000000" w:rsidDel="00000000" w:rsidP="00000000" w:rsidRDefault="00000000" w:rsidRPr="00000000" w14:paraId="0000015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recording a lower number of orders, Singapore served as the second-highest average spend globally at 2,301. Therefore, we may conclude that Singapore has an exclusive, high-purchasing-power customer base focused on large bulk wholesale orders rather than casual retail. To exploit this underutilized segment, the platform should transition toward targeted business-to-business corporate outreach with customized volume discounts to safely increase order frequency. </w:t>
      </w:r>
    </w:p>
    <w:p w:rsidR="00000000" w:rsidDel="00000000" w:rsidP="00000000" w:rsidRDefault="00000000" w:rsidRPr="00000000" w14:paraId="0000015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Concurrently, the company should implement bulk-purchase incentives for lower-performing regions like Switzerland and Greece to drive their average spend past the 1,200 thresholds. The company should also allocate dedicated supply chain distribution resources to high-frequency hubs like the Netherlands to sustain core cross-border revenue.</w:t>
      </w:r>
    </w:p>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9">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s7gi7fjb9q1e" w:id="20"/>
      <w:bookmarkEnd w:id="20"/>
      <w:r w:rsidDel="00000000" w:rsidR="00000000" w:rsidRPr="00000000">
        <w:rPr>
          <w:rFonts w:ascii="Times New Roman" w:cs="Times New Roman" w:eastAsia="Times New Roman" w:hAnsi="Times New Roman"/>
          <w:sz w:val="24"/>
          <w:szCs w:val="24"/>
          <w:rtl w:val="0"/>
        </w:rPr>
        <w:t xml:space="preserve">Customer Purchasing Behaviour Validation Analysis </w:t>
      </w:r>
    </w:p>
    <w:p w:rsidR="00000000" w:rsidDel="00000000" w:rsidP="00000000" w:rsidRDefault="00000000" w:rsidRPr="00000000" w14:paraId="0000015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227773" cy="2644369"/>
            <wp:effectExtent b="0" l="0" r="0" t="0"/>
            <wp:docPr id="7" name="image1.png"/>
            <a:graphic>
              <a:graphicData uri="http://schemas.openxmlformats.org/drawingml/2006/picture">
                <pic:pic>
                  <pic:nvPicPr>
                    <pic:cNvPr id="0" name="image1.png"/>
                    <pic:cNvPicPr preferRelativeResize="0"/>
                  </pic:nvPicPr>
                  <pic:blipFill>
                    <a:blip r:embed="rId45"/>
                    <a:srcRect b="0" l="0" r="0" t="0"/>
                    <a:stretch>
                      <a:fillRect/>
                    </a:stretch>
                  </pic:blipFill>
                  <pic:spPr>
                    <a:xfrm>
                      <a:off x="0" y="0"/>
                      <a:ext cx="5227773" cy="2644369"/>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0" distT="0" distL="0" distR="0">
            <wp:extent cx="5731510" cy="518795"/>
            <wp:effectExtent b="0" l="0" r="0" t="0"/>
            <wp:docPr id="8" name="image11.png"/>
            <a:graphic>
              <a:graphicData uri="http://schemas.openxmlformats.org/drawingml/2006/picture">
                <pic:pic>
                  <pic:nvPicPr>
                    <pic:cNvPr id="0" name="image11.png"/>
                    <pic:cNvPicPr preferRelativeResize="0"/>
                  </pic:nvPicPr>
                  <pic:blipFill>
                    <a:blip r:embed="rId46"/>
                    <a:srcRect b="0" l="0" r="0" t="0"/>
                    <a:stretch>
                      <a:fillRect/>
                    </a:stretch>
                  </pic:blipFill>
                  <pic:spPr>
                    <a:xfrm>
                      <a:off x="0" y="0"/>
                      <a:ext cx="5731510" cy="518795"/>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22: Comparative Analysis of Basket Size and Purchasing Behaviour between the Overall Top Performing Country and the Highest Average Order Value Country.</w:t>
      </w:r>
    </w:p>
    <w:p w:rsidR="00000000" w:rsidDel="00000000" w:rsidP="00000000" w:rsidRDefault="00000000" w:rsidRPr="00000000" w14:paraId="000001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evaluate the structural behavioral differences between the platform's top revenue drivers, a comparative market segmentation analysis was conducted between the United Kingdom and the Netherlands. This is because from the analysis on Figure 16, the United Kingdom is the top performing country while from the result in Table 3, the Netherlands served as the best performing country in terms of AOV.</w:t>
      </w:r>
    </w:p>
    <w:p w:rsidR="00000000" w:rsidDel="00000000" w:rsidP="00000000" w:rsidRDefault="00000000" w:rsidRPr="00000000" w14:paraId="000001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Figure 22 above, the United Kingdom has a massive volume of 36,536 invoices while its average items per order stands at 251 units with a modest AOV of 476. </w:t>
      </w:r>
    </w:p>
    <w:p w:rsidR="00000000" w:rsidDel="00000000" w:rsidP="00000000" w:rsidRDefault="00000000" w:rsidRPr="00000000" w14:paraId="000001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contrary, the Netherlands records only 228 invoices but reflects an extraordinary bulk-purchasing pattern, averaging 1,684 orders and a high AOV of 2,429. </w:t>
      </w:r>
    </w:p>
    <w:p w:rsidR="00000000" w:rsidDel="00000000" w:rsidP="00000000" w:rsidRDefault="00000000" w:rsidRPr="00000000" w14:paraId="000001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the company should maintain a dual-focused strategy by deploying high-volume transactional ad campaigns for the retail-heavy United Kingdom market, while simultaneously offering specialized cargo shipping and personalized B2B contract terms for the high-yield corporate accounts in the Netherlands.</w:t>
      </w:r>
    </w:p>
    <w:p w:rsidR="00000000" w:rsidDel="00000000" w:rsidP="00000000" w:rsidRDefault="00000000" w:rsidRPr="00000000" w14:paraId="00000161">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6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pStyle w:val="Heading2"/>
        <w:numPr>
          <w:ilvl w:val="1"/>
          <w:numId w:val="2"/>
        </w:numPr>
        <w:spacing w:line="360" w:lineRule="auto"/>
        <w:ind w:left="1080" w:hanging="720"/>
        <w:jc w:val="both"/>
        <w:rPr>
          <w:rFonts w:ascii="Times New Roman" w:cs="Times New Roman" w:eastAsia="Times New Roman" w:hAnsi="Times New Roman"/>
          <w:sz w:val="24"/>
          <w:szCs w:val="24"/>
        </w:rPr>
      </w:pPr>
      <w:bookmarkStart w:colFirst="0" w:colLast="0" w:name="_heading=h.o3645hqhiz3t" w:id="21"/>
      <w:bookmarkEnd w:id="21"/>
      <w:r w:rsidDel="00000000" w:rsidR="00000000" w:rsidRPr="00000000">
        <w:rPr>
          <w:rFonts w:ascii="Times New Roman" w:cs="Times New Roman" w:eastAsia="Times New Roman" w:hAnsi="Times New Roman"/>
          <w:sz w:val="24"/>
          <w:szCs w:val="24"/>
          <w:rtl w:val="0"/>
        </w:rPr>
        <w:t xml:space="preserve">Top Purchase Item in Netherlands</w:t>
      </w:r>
    </w:p>
    <w:p w:rsidR="00000000" w:rsidDel="00000000" w:rsidP="00000000" w:rsidRDefault="00000000" w:rsidRPr="00000000" w14:paraId="000001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029636" cy="1889924"/>
            <wp:effectExtent b="0" l="0" r="0" t="0"/>
            <wp:docPr id="9" name="image33.png"/>
            <a:graphic>
              <a:graphicData uri="http://schemas.openxmlformats.org/drawingml/2006/picture">
                <pic:pic>
                  <pic:nvPicPr>
                    <pic:cNvPr id="0" name="image33.png"/>
                    <pic:cNvPicPr preferRelativeResize="0"/>
                  </pic:nvPicPr>
                  <pic:blipFill>
                    <a:blip r:embed="rId47"/>
                    <a:srcRect b="0" l="0" r="0" t="0"/>
                    <a:stretch>
                      <a:fillRect/>
                    </a:stretch>
                  </pic:blipFill>
                  <pic:spPr>
                    <a:xfrm>
                      <a:off x="0" y="0"/>
                      <a:ext cx="5029636" cy="1889924"/>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73100"/>
            <wp:effectExtent b="0" l="0" r="0" t="0"/>
            <wp:docPr id="10" name="image24.png"/>
            <a:graphic>
              <a:graphicData uri="http://schemas.openxmlformats.org/drawingml/2006/picture">
                <pic:pic>
                  <pic:nvPicPr>
                    <pic:cNvPr id="0" name="image24.png"/>
                    <pic:cNvPicPr preferRelativeResize="0"/>
                  </pic:nvPicPr>
                  <pic:blipFill>
                    <a:blip r:embed="rId48"/>
                    <a:srcRect b="0" l="0" r="0" t="0"/>
                    <a:stretch>
                      <a:fillRect/>
                    </a:stretch>
                  </pic:blipFill>
                  <pic:spPr>
                    <a:xfrm>
                      <a:off x="0" y="0"/>
                      <a:ext cx="57312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44546a"/>
          <w:sz w:val="24"/>
          <w:szCs w:val="24"/>
          <w:u w:val="none"/>
          <w:shd w:fill="auto" w:val="clear"/>
          <w:vertAlign w:val="baseline"/>
          <w:rtl w:val="0"/>
        </w:rPr>
        <w:t xml:space="preserve">Figure 23: Top Purchase Product in Netherlands</w:t>
      </w:r>
    </w:p>
    <w:p w:rsidR="00000000" w:rsidDel="00000000" w:rsidP="00000000" w:rsidRDefault="00000000" w:rsidRPr="00000000" w14:paraId="000001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deep dive into the specific inventory requirements of the platform's highest-spending wholesale market, an analysis of the top purchased items in the Netherlands was conducted as shown in Figure 23 above.</w:t>
      </w:r>
    </w:p>
    <w:p w:rsidR="00000000" w:rsidDel="00000000" w:rsidP="00000000" w:rsidRDefault="00000000" w:rsidRPr="00000000" w14:paraId="000001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organizational and household novelty products have the highest demand, heavily driven by items such as Folkart Zinc Heart registered a massive volume of over 6,000 units sold. </w:t>
      </w:r>
    </w:p>
    <w:p w:rsidR="00000000" w:rsidDel="00000000" w:rsidP="00000000" w:rsidRDefault="00000000" w:rsidRPr="00000000" w14:paraId="000001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capitalize on this localized preference, the company should take action by establishing dedicated B2B stock allocation policies for these specific high demand items to ensure zero stockouts.</w:t>
      </w:r>
    </w:p>
    <w:p w:rsidR="00000000" w:rsidDel="00000000" w:rsidP="00000000" w:rsidRDefault="00000000" w:rsidRPr="00000000" w14:paraId="000001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company should also offer a tailored bundle discount to corporate buyers in the Netherlands to continuously secure a long-term wholesale contract.</w:t>
      </w:r>
    </w:p>
    <w:sectPr>
      <w:footerReference r:id="rId49" w:type="default"/>
      <w:type w:val="nextPage"/>
      <w:pgSz w:h="16838" w:w="11906" w:orient="portrait"/>
      <w:pgMar w:bottom="1440" w:top="1276"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MY"/>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color w:val="5a5a5a"/>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3.png"/><Relationship Id="rId41" Type="http://schemas.openxmlformats.org/officeDocument/2006/relationships/image" Target="media/image15.png"/><Relationship Id="rId44" Type="http://schemas.openxmlformats.org/officeDocument/2006/relationships/image" Target="media/image6.png"/><Relationship Id="rId43" Type="http://schemas.openxmlformats.org/officeDocument/2006/relationships/image" Target="media/image8.png"/><Relationship Id="rId46" Type="http://schemas.openxmlformats.org/officeDocument/2006/relationships/image" Target="media/image11.png"/><Relationship Id="rId45"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rchive.ics.uci.edu/dataset/502/online+retail+ii" TargetMode="External"/><Relationship Id="rId48" Type="http://schemas.openxmlformats.org/officeDocument/2006/relationships/image" Target="media/image24.png"/><Relationship Id="rId47" Type="http://schemas.openxmlformats.org/officeDocument/2006/relationships/image" Target="media/image33.png"/><Relationship Id="rId4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9.png"/><Relationship Id="rId8" Type="http://schemas.openxmlformats.org/officeDocument/2006/relationships/footer" Target="footer1.xml"/><Relationship Id="rId31" Type="http://schemas.openxmlformats.org/officeDocument/2006/relationships/image" Target="media/image10.png"/><Relationship Id="rId30" Type="http://schemas.openxmlformats.org/officeDocument/2006/relationships/image" Target="media/image3.png"/><Relationship Id="rId33" Type="http://schemas.openxmlformats.org/officeDocument/2006/relationships/image" Target="media/image9.png"/><Relationship Id="rId32" Type="http://schemas.openxmlformats.org/officeDocument/2006/relationships/image" Target="media/image12.png"/><Relationship Id="rId35" Type="http://schemas.openxmlformats.org/officeDocument/2006/relationships/image" Target="media/image5.png"/><Relationship Id="rId34" Type="http://schemas.openxmlformats.org/officeDocument/2006/relationships/image" Target="media/image4.png"/><Relationship Id="rId37" Type="http://schemas.openxmlformats.org/officeDocument/2006/relationships/image" Target="media/image16.png"/><Relationship Id="rId36" Type="http://schemas.openxmlformats.org/officeDocument/2006/relationships/image" Target="media/image2.png"/><Relationship Id="rId39" Type="http://schemas.openxmlformats.org/officeDocument/2006/relationships/image" Target="media/image14.png"/><Relationship Id="rId38" Type="http://schemas.openxmlformats.org/officeDocument/2006/relationships/image" Target="media/image17.png"/><Relationship Id="rId20" Type="http://schemas.openxmlformats.org/officeDocument/2006/relationships/image" Target="media/image23.png"/><Relationship Id="rId22" Type="http://schemas.openxmlformats.org/officeDocument/2006/relationships/image" Target="media/image27.png"/><Relationship Id="rId21" Type="http://schemas.openxmlformats.org/officeDocument/2006/relationships/image" Target="media/image29.png"/><Relationship Id="rId24" Type="http://schemas.openxmlformats.org/officeDocument/2006/relationships/image" Target="media/image21.png"/><Relationship Id="rId23" Type="http://schemas.openxmlformats.org/officeDocument/2006/relationships/image" Target="media/image35.png"/><Relationship Id="rId26" Type="http://schemas.openxmlformats.org/officeDocument/2006/relationships/image" Target="media/image38.png"/><Relationship Id="rId25" Type="http://schemas.openxmlformats.org/officeDocument/2006/relationships/image" Target="media/image34.png"/><Relationship Id="rId28" Type="http://schemas.openxmlformats.org/officeDocument/2006/relationships/image" Target="media/image37.png"/><Relationship Id="rId27" Type="http://schemas.openxmlformats.org/officeDocument/2006/relationships/image" Target="media/image36.png"/><Relationship Id="rId29" Type="http://schemas.openxmlformats.org/officeDocument/2006/relationships/image" Target="media/image30.png"/><Relationship Id="rId11" Type="http://schemas.openxmlformats.org/officeDocument/2006/relationships/image" Target="media/image20.png"/><Relationship Id="rId10" Type="http://schemas.openxmlformats.org/officeDocument/2006/relationships/hyperlink" Target="http://localhost:9995/" TargetMode="External"/><Relationship Id="rId13" Type="http://schemas.openxmlformats.org/officeDocument/2006/relationships/image" Target="media/image22.png"/><Relationship Id="rId12" Type="http://schemas.openxmlformats.org/officeDocument/2006/relationships/image" Target="media/image25.png"/><Relationship Id="rId15" Type="http://schemas.openxmlformats.org/officeDocument/2006/relationships/image" Target="media/image7.png"/><Relationship Id="rId14" Type="http://schemas.openxmlformats.org/officeDocument/2006/relationships/image" Target="media/image26.png"/><Relationship Id="rId17" Type="http://schemas.openxmlformats.org/officeDocument/2006/relationships/image" Target="media/image32.png"/><Relationship Id="rId16" Type="http://schemas.openxmlformats.org/officeDocument/2006/relationships/image" Target="media/image28.png"/><Relationship Id="rId19" Type="http://schemas.openxmlformats.org/officeDocument/2006/relationships/image" Target="media/image39.png"/><Relationship Id="rId1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Mrg48j/7LKWso5TjoSCay3/duA==">CgMxLjAyDmgudngydWpyeTY1bnk5Mg5oLnFocjM4bmI5ZXVwcjIOaC56MHM0cDY5dzVtaTcyDmgudHk3YzEyejE2eGdlMg5oLmp3cnhwdGljb2c1ZDIOaC5zcTV2dDl5Ym85OW4yDmgueXpjZWFqanMyemh4Mg5oLjM5aDBmbXVhc3BtdTIOaC5hMG9iNnRyZGpib2QyDmguOHoxb21ndGN2ZGp1Mg5oLmw2OHFmanRlOG95NDIOaC5kNTRtN2R4am9jOHMyDmguamdndzIxbHZrMW41Mg5oLmhsaHZ5dmxlemViajIOaC4yeGxhdHg2NXluaXUyDmgucTRnYTZ6ZW8zbGt0Mg5oLmd6cmE1ZzI5aTgzbDIOaC5mbjhmemY2dmV6eWUyDmguNWdvdHFlcHFtc3J2Mg5oLjl2OTYwaXhxdzdzMjIOaC5zN2dpN2ZqYjlxMWUyDmgubzM2NDVocWhpejN0OAByITFuc05rQ0R4ZFdzSmQ0R1o4SWdnRkpWOGE3cDk3dHJC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