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bidi w:val="1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1"/>
        </w:rPr>
        <w:t xml:space="preserve">טכנולוגיות</w:t>
      </w: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1"/>
        </w:rPr>
        <w:t xml:space="preserve">אינטרנט</w:t>
      </w: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1"/>
        </w:rPr>
        <w:t xml:space="preserve">מתקדמות</w:t>
      </w: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1"/>
        </w:rPr>
        <w:t xml:space="preserve"> - 61776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חורף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תשפ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תרגיל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מס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'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להגשה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12.2.24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23:59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17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מהנדס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הסטודנט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מהנדס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נעשתה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חלוקת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tbl>
      <w:tblPr>
        <w:tblStyle w:val="Table1"/>
        <w:tblW w:w="8985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85"/>
        <w:gridCol w:w="3000"/>
        <w:gridCol w:w="3000"/>
        <w:tblGridChange w:id="0">
          <w:tblGrid>
            <w:gridCol w:w="2985"/>
            <w:gridCol w:w="3000"/>
            <w:gridCol w:w="300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bidi w:val="1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חבר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הצוות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bidi w:val="1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משימות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שהוקצו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bidi w:val="1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משימות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שהושלמו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bidi w:val="1"/>
              <w:spacing w:after="0" w:before="0" w:line="36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טארק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סלימאן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bidi w:val="1"/>
              <w:spacing w:after="0" w:before="0" w:line="36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כתיבת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קוד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+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הכנת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רשימה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ותמונות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מסעדות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ב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5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עירים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bidi w:val="1"/>
              <w:spacing w:after="0" w:before="0" w:line="36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ביצע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המשימות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.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bidi w:val="1"/>
              <w:spacing w:after="0" w:before="0" w:line="36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האני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זהראן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bidi w:val="1"/>
              <w:spacing w:after="0" w:before="0" w:line="36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כתיבת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קוד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+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אחראי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ניהול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מבנה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הקוד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+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ניהול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GIT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bidi w:val="1"/>
              <w:spacing w:after="0" w:before="0" w:line="36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ביצע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המשימות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.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bidi w:val="1"/>
              <w:spacing w:after="0" w:before="0" w:line="36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פאוזי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זהיא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bidi w:val="1"/>
              <w:spacing w:after="0" w:before="0" w:line="36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כתיבת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קוד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+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הכנת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רשימה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אירועים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מופעות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מסיבות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חגים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מיקומיים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ב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5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עירים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bidi w:val="1"/>
              <w:spacing w:after="0" w:before="0" w:line="36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ביצע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המשימות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.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bidi w:val="1"/>
              <w:spacing w:after="0" w:before="0" w:line="36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תאמר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תלחמי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bidi w:val="1"/>
              <w:spacing w:after="0" w:before="0" w:line="360" w:lineRule="auto"/>
              <w:ind w:left="0" w:right="0" w:firstLine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כתיבת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קוד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+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הכנת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רשימה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ותמונות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אטרקציות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ופעולות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שונות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ב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5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עירים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bidi w:val="1"/>
              <w:spacing w:after="0" w:before="0" w:line="36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ביצע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המשימות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. </w:t>
            </w:r>
          </w:p>
        </w:tc>
      </w:tr>
    </w:tbl>
    <w:p w:rsidR="00000000" w:rsidDel="00000000" w:rsidP="00000000" w:rsidRDefault="00000000" w:rsidRPr="00000000" w14:paraId="00000016">
      <w:pPr>
        <w:bidi w:val="1"/>
        <w:spacing w:line="48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בעת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פרסום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התרגיל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קבענו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פגישה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במסעדה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והחלטנו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לנהל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ואיך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נחלק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וכמובן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מבנה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עברנו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לשלב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חילוק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המהנדסים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מרוצים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מהמשימות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שהוקצו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ומיידית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התחלנו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בעבודה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וכמעט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יומיים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קבענו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פגישה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במסעדה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בזום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ומציגים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הגענו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בעבודה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וכמובן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מתקנים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במידת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הצורך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spacing w:line="48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line="48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line="48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2.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לפרט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הדרישות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הפונקציונליות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פונקציונליות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5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דרישות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דרישות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פונקציונליות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לסווג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wikipedia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bidi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דרישות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פונקציונליות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:</w:t>
      </w:r>
    </w:p>
    <w:tbl>
      <w:tblPr>
        <w:tblStyle w:val="Table2"/>
        <w:bidiVisual w:val="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bidi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דרישה</w:t>
            </w:r>
          </w:p>
        </w:tc>
        <w:tc>
          <w:tcPr/>
          <w:p w:rsidR="00000000" w:rsidDel="00000000" w:rsidP="00000000" w:rsidRDefault="00000000" w:rsidRPr="00000000" w14:paraId="0000001F">
            <w:pPr>
              <w:bidi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סיווג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דרישה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לפי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ויקיפידיה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app should respond to user interactions within 2 seconds on average to provide a smooth and responsive user experience.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Performance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system should be able to handle an increasing number of users and data as the user base grows, without a significant decrease in performance.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Scalability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app should have a high level of reliability, with a maximum downtime of 99.9% to ensure users can access information and services consistently.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Reliability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Ensure compatibility with a wide range of devices, browsers, and operating systems to reach a broad user base.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Compatibility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Design the app to be user-friendly and accessible to individuals with disabilities. This includes providing alternative text for images, clear navigation, and adherence to accessibility standards.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Usability and Accessibility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Adhere to data protection regulations and ensure user privacy. Clearly communicate the app's privacy policy and obtain user consent for data collection and processing.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Privacy and Compliance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Develop the app with clean and modular code, making it easy to maintain and update. This includes well-documented code and a comprehensive system for tracking and managing issues.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Maintainability</w:t>
            </w:r>
          </w:p>
        </w:tc>
      </w:tr>
    </w:tbl>
    <w:p w:rsidR="00000000" w:rsidDel="00000000" w:rsidP="00000000" w:rsidRDefault="00000000" w:rsidRPr="00000000" w14:paraId="0000002E">
      <w:pPr>
        <w:bidi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דרישות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פונקציונליות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: </w:t>
      </w:r>
    </w:p>
    <w:tbl>
      <w:tblPr>
        <w:tblStyle w:val="Table3"/>
        <w:bidiVisual w:val="1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Allow users to customize search filters based on their preferences, such as filtering attractions by location.</w:t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Display a comprehensive list of local tourist attractions, restaurants, and cultural events. Include relevant details like descriptions, images, contact information, and opening hours.</w:t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Provide educational content or guided tours for historical sites and landmarks, offering users a deeper understanding of the local culture and heritage.</w:t>
            </w:r>
          </w:p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Implement an interactive event calendar feature that allows users to browse events by date, category, or location, making it easier to find relevant activities.</w:t>
            </w:r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Integrate maps and navigation services throught third party application (like waze or google maps) to help users navigate to their chosen destinations.</w:t>
            </w:r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Integrate weather forecast information for the local area, helping users plan their activities and outings accordingly.</w:t>
            </w:r>
          </w:p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bidi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