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0"/>
        <w:jc w:val="center"/>
      </w:pPr>
      <w:r>
        <w:rPr>
          <w:rFonts w:ascii="Malgun Gothic" w:cs="Malgun Gothic" w:eastAsia="Malgun Gothic" w:hAnsi="Malgun Gothic"/>
          <w:b/>
          <w:bCs/>
          <w:color w:val="1F3864"/>
          <w:sz w:val="52"/>
          <w:szCs w:val="52"/>
        </w:rPr>
        <w:t xml:space="preserve">AI 발전 현황과 과제</w:t>
      </w:r>
    </w:p>
    <w:p>
      <w:pPr>
        <w:spacing w:after="1200"/>
        <w:jc w:val="center"/>
      </w:pPr>
      <w:r>
        <w:rPr>
          <w:rFonts w:ascii="Malgun Gothic" w:cs="Malgun Gothic" w:eastAsia="Malgun Gothic" w:hAnsi="Malgun Gothic"/>
          <w:color w:val="404040"/>
          <w:sz w:val="28"/>
          <w:szCs w:val="28"/>
        </w:rPr>
        <w:t xml:space="preserve">기술·산업·사회·정책 측면에서 본 2026년의 인공지능</w:t>
      </w:r>
    </w:p>
    <w:p>
      <w:pPr>
        <w:jc w:val="center"/>
      </w:pPr>
      <w:r>
        <w:rPr>
          <w:rFonts w:ascii="Malgun Gothic" w:cs="Malgun Gothic" w:eastAsia="Malgun Gothic" w:hAnsi="Malgun Gothic"/>
          <w:sz w:val="24"/>
          <w:szCs w:val="24"/>
        </w:rPr>
        <w:t xml:space="preserve">2026년 10월 4일</w:t>
      </w:r>
    </w:p>
    <w:p>
      <w:r>
        <w:br w:type="page"/>
      </w:r>
    </w:p>
    <w:p>
      <w:pPr>
        <w:pStyle w:val="Heading1"/>
      </w:pPr>
      <w:r>
        <w:t xml:space="preserve">Ⅰ. 서론</w:t>
      </w:r>
    </w:p>
    <w:p>
      <w:pPr>
        <w:pStyle w:val="Heading2"/>
      </w:pPr>
      <w:r>
        <w:t xml:space="preserve">1. 연구 배경</w:t>
      </w:r>
    </w:p>
    <w:p>
      <w:pPr>
        <w:spacing w:after="160" w:line="360"/>
        <w:jc w:val="both"/>
      </w:pPr>
      <w:r>
        <w:rPr>
          <w:rFonts w:ascii="Malgun Gothic" w:cs="Malgun Gothic" w:eastAsia="Malgun Gothic" w:hAnsi="Malgun Gothic"/>
          <w:sz w:val="22"/>
          <w:szCs w:val="22"/>
        </w:rPr>
        <w:t xml:space="preserve">2022년 말 생성형 AI가 대중에 공개된 이후 인공지능은 불과 몇 년 만에 연구실의 기술에서 사회 전반의 기반 기술로 자리 잡았다. Stanford AI Index 2026에 따르면 생성형 AI는 등장 3년 만에 인구 도입률 53%에 도달해 PC나 인터넷보다 빠르게 확산되었고, 조직의 AI 도입률은 88%에 이르렀다. 기술의 발전 속도만큼이나 투자, 에너지, 일자리, 규제 등 사회적 파급 효과도 빠르게 커지고 있다.</w:t>
      </w:r>
    </w:p>
    <w:p>
      <w:pPr>
        <w:pStyle w:val="Heading2"/>
      </w:pPr>
      <w:r>
        <w:t xml:space="preserve">2. 연구 목적과 범위</w:t>
      </w:r>
    </w:p>
    <w:p>
      <w:pPr>
        <w:spacing w:after="160" w:line="360"/>
        <w:jc w:val="both"/>
      </w:pPr>
      <w:r>
        <w:rPr>
          <w:rFonts w:ascii="Malgun Gothic" w:cs="Malgun Gothic" w:eastAsia="Malgun Gothic" w:hAnsi="Malgun Gothic"/>
          <w:sz w:val="22"/>
          <w:szCs w:val="22"/>
        </w:rPr>
        <w:t xml:space="preserve">본 보고서는 2026년 현재 AI 발전의 현황을 종합적으로 정리하고, 그에 따른 과제를 도출하는 것을 목적으로 한다. 분석 범위는 ① 기술 역량, ② 산업·투자 구조, ③ 에너지·인프라, ④ 노동시장, ⑤ 안전과 규제, ⑥ 한국의 AI 전략의 여섯 가지 영역이다.</w:t>
      </w:r>
    </w:p>
    <w:p>
      <w:pPr>
        <w:pStyle w:val="Heading2"/>
      </w:pPr>
      <w:r>
        <w:t xml:space="preserve">3. 연구 방법</w:t>
      </w:r>
    </w:p>
    <w:p>
      <w:pPr>
        <w:spacing w:after="160" w:line="360"/>
        <w:jc w:val="both"/>
      </w:pPr>
      <w:r>
        <w:rPr>
          <w:rFonts w:ascii="Malgun Gothic" w:cs="Malgun Gothic" w:eastAsia="Malgun Gothic" w:hAnsi="Malgun Gothic"/>
          <w:sz w:val="22"/>
          <w:szCs w:val="22"/>
        </w:rPr>
        <w:t xml:space="preserve">Stanford AI Index 2026, 국제에너지기구(IEA), S&amp;P Global, 세계경제포럼(WEF) 등의 보고서와 관련 언론·분석 자료를 조사하여 정리본(research/ai_development_research.md)을 작성하고, 이를 바탕으로 본 보고서를 작성하였다. 일부 수치는 원 보고서를 인용한 2차 자료에서 확인한 것이므로, 공식 인용 시에는 원문 대조가 필요하다.</w:t>
      </w:r>
    </w:p>
    <w:p>
      <w:pPr>
        <w:pStyle w:val="Heading1"/>
      </w:pPr>
      <w:r>
        <w:t xml:space="preserve">Ⅱ. 본론</w:t>
      </w:r>
    </w:p>
    <w:p>
      <w:pPr>
        <w:pStyle w:val="Heading2"/>
      </w:pPr>
      <w:r>
        <w:t xml:space="preserve">1. 기술 역량: 빠르지만 고르지 않은 발전</w:t>
      </w:r>
    </w:p>
    <w:p>
      <w:pPr>
        <w:spacing w:after="160" w:line="360"/>
        <w:jc w:val="both"/>
      </w:pPr>
      <w:r>
        <w:rPr>
          <w:rFonts w:ascii="Malgun Gothic" w:cs="Malgun Gothic" w:eastAsia="Malgun Gothic" w:hAnsi="Malgun Gothic"/>
          <w:sz w:val="22"/>
          <w:szCs w:val="22"/>
        </w:rPr>
        <w:t xml:space="preserve">AI의 성능 향상은 정체되지 않고 오히려 가속하고 있다. 실제 GitHub 이슈를 해결하는 능력을 측정하는 SWE-bench Verified에서 최상위 모델의 점수는 1년 만에 약 60%에서 인간 기준치 근처까지 올라섰다. 최첨단 모델은 박사급 과학 문제, 경시대회 수학, 멀티모달 추론에서도 인간 기준치에 도달하거나 이를 넘어섰다.</w:t>
      </w:r>
    </w:p>
    <w:p>
      <w:pPr>
        <w:spacing w:after="160" w:line="360"/>
        <w:jc w:val="both"/>
      </w:pPr>
      <w:r>
        <w:rPr>
          <w:rFonts w:ascii="Malgun Gothic" w:cs="Malgun Gothic" w:eastAsia="Malgun Gothic" w:hAnsi="Malgun Gothic"/>
          <w:sz w:val="22"/>
          <w:szCs w:val="22"/>
        </w:rPr>
        <w:t xml:space="preserve">그러나 발전은 고르지 않다. 국제수학올림피아드(IMO) 금메달 수준의 모델이 아날로그 시계는 약 50.1%만 정확히 읽는다는 결과는, AI의 능력이 영역에 따라 극단적으로 들쭉날쭉하다는 "들쭉날쭉한 최전선(jagged frontier)"을 보여준다. 또한 OpenAI, Google DeepMind, Anthropic 등 선도 기업 간 성능 격차는 한 자릿수 %p로 좁혀졌고, 미국과 중국 최상위 모델 간 격차도 사실상 사라져 선두가 수시로 바뀌고 있다.</w:t>
      </w:r>
    </w:p>
    <w:p>
      <w:pPr>
        <w:spacing w:after="160" w:line="360"/>
        <w:jc w:val="both"/>
      </w:pPr>
      <w:r>
        <w:rPr>
          <w:rFonts w:ascii="Malgun Gothic" w:cs="Malgun Gothic" w:eastAsia="Malgun Gothic" w:hAnsi="Malgun Gothic"/>
          <w:sz w:val="22"/>
          <w:szCs w:val="22"/>
        </w:rPr>
        <w:t xml:space="preserve">기술 흐름의 중심은 텍스트를 생성하는 챗봇에서 스스로 계획하고 도구를 사용해 작업을 수행하는 "AI 에이전트"로 옮겨가고 있다. 2026년의 에이전트는 메시지 전송, 기록 수정, 자원 예약처럼 실제 세계에 영향을 주는 행동을 하되, 사람의 명시적 승인을 거치는 "허가 기반 행동" 방식으로 발전하고 있다.</w:t>
      </w:r>
    </w:p>
    <w:p>
      <w:pPr>
        <w:pStyle w:val="Heading2"/>
      </w:pPr>
      <w:r>
        <w:t xml:space="preserve">2. 산업·투자: 거대 자본과 추론 중심으로의 이동</w:t>
      </w:r>
    </w:p>
    <w:p>
      <w:pPr>
        <w:spacing w:after="160" w:line="360"/>
        <w:jc w:val="both"/>
      </w:pPr>
      <w:r>
        <w:rPr>
          <w:rFonts w:ascii="Malgun Gothic" w:cs="Malgun Gothic" w:eastAsia="Malgun Gothic" w:hAnsi="Malgun Gothic"/>
          <w:sz w:val="22"/>
          <w:szCs w:val="22"/>
        </w:rPr>
        <w:t xml:space="preserve">AI 개발의 주도권은 산업계에 있다. 2025년 주목할 만한 최첨단 모델의 90% 이상이 기업에서 나왔으며, 최첨단 모델 하나를 학습시키는 데 수억 달러가 든다. 투자 규모도 기록적이어서, 주요 수치는 다음과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항목</w:t>
            </w:r>
          </w:p>
        </w:tc>
        <w:tc>
          <w:tcPr>
            <w:tcW w:type="dxa" w:w="64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내용</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민간 AI 투자</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전 세계 약 2,520억 달러, 생성형 AI가 절반 가까이 차지</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빅테크 설비투자</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5대 기업 2025년 4,000억 달러 이상 → 2026년 약 7,000억 달러 전망</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추론 비용</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GPT-3.5 수준 기준 100만 토큰당 20달러 → 0.07달러 (약 280배 하락)</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지출 구조</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2026년 초 추론이 AI 클라우드 인프라 지출의 약 55% 차지</w:t>
            </w:r>
          </w:p>
        </w:tc>
      </w:tr>
    </w:tbl>
    <w:p>
      <w:pPr>
        <w:spacing w:after="240" w:before="80"/>
      </w:pPr>
      <w:r>
        <w:rPr>
          <w:rFonts w:ascii="Malgun Gothic" w:cs="Malgun Gothic" w:eastAsia="Malgun Gothic" w:hAnsi="Malgun Gothic"/>
          <w:i/>
          <w:iCs/>
          <w:color w:val="595959"/>
          <w:sz w:val="18"/>
          <w:szCs w:val="18"/>
        </w:rPr>
        <w:t xml:space="preserve">표 1. AI 산업·투자 주요 지표 (출처: Stanford AI Index, J.P. Morgan, IEA 등)</w:t>
      </w:r>
    </w:p>
    <w:p>
      <w:pPr>
        <w:spacing w:after="160" w:line="360"/>
        <w:jc w:val="both"/>
      </w:pPr>
      <w:r>
        <w:rPr>
          <w:rFonts w:ascii="Malgun Gothic" w:cs="Malgun Gothic" w:eastAsia="Malgun Gothic" w:hAnsi="Malgun Gothic"/>
          <w:sz w:val="22"/>
          <w:szCs w:val="22"/>
        </w:rPr>
        <w:t xml:space="preserve">특히 주목할 변화는 지출의 중심이 모델을 "만드는" 학습에서 모델을 "쓰는" 추론으로 넘어가고 있다는 점이다. 추론 비용이 급격히 낮아지면서 AI 활용이 폭발적으로 늘었고, 이는 다시 인프라 수요를 키우는 선순환 구조를 만들고 있다.</w:t>
      </w:r>
    </w:p>
    <w:p>
      <w:pPr>
        <w:pStyle w:val="Heading2"/>
      </w:pPr>
      <w:r>
        <w:t xml:space="preserve">3. 에너지·인프라: 전력이 새로운 병목</w:t>
      </w:r>
    </w:p>
    <w:p>
      <w:pPr>
        <w:spacing w:after="160" w:line="360"/>
        <w:jc w:val="both"/>
      </w:pPr>
      <w:r>
        <w:rPr>
          <w:rFonts w:ascii="Malgun Gothic" w:cs="Malgun Gothic" w:eastAsia="Malgun Gothic" w:hAnsi="Malgun Gothic"/>
          <w:sz w:val="22"/>
          <w:szCs w:val="22"/>
        </w:rPr>
        <w:t xml:space="preserve">AI 확산의 물리적 기반인 데이터센터는 막대한 전력을 소비한다. IEA는 전 세계 데이터센터 전력 사용량이 2025년 약 485 TWh에서 2030년 약 950 TWh로 거의 두 배가 될 것으로 전망했으며, AI 중심 데이터센터의 전력 수요는 2025년 한 해에만 약 50% 늘었다. IEA는 또한 계획된 데이터센터 투자의 약 5분의 1이 전력망 병목으로 지연될 위험이 있다고 추정했다. 이제 AI 확장의 한계를 결정하는 것은 자본과 반도체뿐 아니라 전력과 전력망이다.</w:t>
      </w:r>
    </w:p>
    <w:p>
      <w:pPr>
        <w:pStyle w:val="Heading2"/>
      </w:pPr>
      <w:r>
        <w:t xml:space="preserve">4. 노동시장: 해고보다 채용 감소</w:t>
      </w:r>
    </w:p>
    <w:p>
      <w:pPr>
        <w:spacing w:after="160" w:line="360"/>
        <w:jc w:val="both"/>
      </w:pPr>
      <w:r>
        <w:rPr>
          <w:rFonts w:ascii="Malgun Gothic" w:cs="Malgun Gothic" w:eastAsia="Malgun Gothic" w:hAnsi="Malgun Gothic"/>
          <w:sz w:val="22"/>
          <w:szCs w:val="22"/>
        </w:rPr>
        <w:t xml:space="preserve">AI가 일자리에 미치는 영향은 2026년 들어 가시화되고 있다. S&amp;P Global의 2026년 보고서는 지난 1년간 AI의 순고용 효과가 처음으로 마이너스로 돌아섰다고 분석했다. AI로 일자리가 줄었다고 답한 기업 비율이 늘었다고 답한 비율보다 5%p 높았다. 다만 그 영향은 대량 해고보다는 신규 채용을 줄이는 방식으로 주로 나타나고 있다.</w:t>
      </w:r>
    </w:p>
    <w:p>
      <w:pPr>
        <w:spacing w:after="160" w:line="360"/>
        <w:jc w:val="both"/>
      </w:pPr>
      <w:r>
        <w:rPr>
          <w:rFonts w:ascii="Malgun Gothic" w:cs="Malgun Gothic" w:eastAsia="Malgun Gothic" w:hAnsi="Malgun Gothic"/>
          <w:sz w:val="22"/>
          <w:szCs w:val="22"/>
        </w:rPr>
        <w:t xml:space="preserve">장기적으로는 전망이 엇갈린다. WEF는 2030년까지 1억 7,000만 개의 일자리가 새로 생기고 9,200만 개가 대체되어 순증 7,800만 개를 예상하면서도, 핵심 직무 역량의 39%가 바뀔 것으로 보았다. 근로자의 불안도 커져, AI로 일자리를 잃을까 걱정하는 비율이 2024년 28%에서 2026년 40%로 높아졌다. 결국 관건은 일자리의 총량보다 전환 과정에서의 재교육과 역량 이동이다.</w:t>
      </w:r>
    </w:p>
    <w:p>
      <w:pPr>
        <w:pStyle w:val="Heading2"/>
      </w:pPr>
      <w:r>
        <w:t xml:space="preserve">5. 안전과 규제: 집행 단계에 들어선 AI 거버넌스</w:t>
      </w:r>
    </w:p>
    <w:p>
      <w:pPr>
        <w:spacing w:after="160" w:line="360"/>
        <w:jc w:val="both"/>
      </w:pPr>
      <w:r>
        <w:rPr>
          <w:rFonts w:ascii="Malgun Gothic" w:cs="Malgun Gothic" w:eastAsia="Malgun Gothic" w:hAnsi="Malgun Gothic"/>
          <w:sz w:val="22"/>
          <w:szCs w:val="22"/>
        </w:rPr>
        <w:t xml:space="preserve">AI의 역량과 확산 속도가 이를 평가·감독하는 체계를 앞지르고 있다. 기록된 AI 사고는 2024년 233건에서 2025년 362건으로 크게 늘었다. 이에 대응해 각국의 규제는 선언에서 집행 단계로 넘어가고 있다.</w:t>
      </w:r>
    </w:p>
    <w:p>
      <w:pPr>
        <w:pStyle w:val="ListParagraph"/>
        <w:numPr>
          <w:ilvl w:val="0"/>
          <w:numId w:val="2"/>
        </w:numPr>
        <w:spacing w:after="80" w:line="340"/>
      </w:pPr>
      <w:r>
        <w:rPr>
          <w:rFonts w:ascii="Malgun Gothic" w:cs="Malgun Gothic" w:eastAsia="Malgun Gothic" w:hAnsi="Malgun Gothic"/>
          <w:sz w:val="22"/>
          <w:szCs w:val="22"/>
        </w:rPr>
        <w:t xml:space="preserve">한국: 「인공지능 발전과 신뢰 기반 조성 등에 관한 기본법(AI 기본법)」이 2026년 1월 22일 시행되었다. 생성형 AI의 투명성 의무와 "고영향 AI"에 대한 의무를 규정하고 역외 적용을 명시하였다.</w:t>
      </w:r>
    </w:p>
    <w:p>
      <w:pPr>
        <w:pStyle w:val="ListParagraph"/>
        <w:numPr>
          <w:ilvl w:val="0"/>
          <w:numId w:val="2"/>
        </w:numPr>
        <w:spacing w:after="80" w:line="340"/>
      </w:pPr>
      <w:r>
        <w:rPr>
          <w:rFonts w:ascii="Malgun Gothic" w:cs="Malgun Gothic" w:eastAsia="Malgun Gothic" w:hAnsi="Malgun Gothic"/>
          <w:sz w:val="22"/>
          <w:szCs w:val="22"/>
        </w:rPr>
        <w:t xml:space="preserve">EU: AI Act가 2025년 2월부터 단계적으로 적용되기 시작했으며, 2026년이 주요 준수 연도이다.</w:t>
      </w:r>
    </w:p>
    <w:p>
      <w:pPr>
        <w:pStyle w:val="ListParagraph"/>
        <w:numPr>
          <w:ilvl w:val="0"/>
          <w:numId w:val="2"/>
        </w:numPr>
        <w:spacing w:after="80" w:line="340"/>
      </w:pPr>
      <w:r>
        <w:rPr>
          <w:rFonts w:ascii="Malgun Gothic" w:cs="Malgun Gothic" w:eastAsia="Malgun Gothic" w:hAnsi="Malgun Gothic"/>
          <w:sz w:val="22"/>
          <w:szCs w:val="22"/>
        </w:rPr>
        <w:t xml:space="preserve">미국: 2025년 AI 행정명령 철회 이후 연방 차원에서는 규제 완화와 산업 경쟁력을 우선하는 기조를 보이고 있다.</w:t>
      </w:r>
    </w:p>
    <w:p>
      <w:pPr>
        <w:spacing w:after="160" w:before="120" w:line="360"/>
        <w:jc w:val="both"/>
      </w:pPr>
      <w:r>
        <w:rPr>
          <w:rFonts w:ascii="Malgun Gothic" w:cs="Malgun Gothic" w:eastAsia="Malgun Gothic" w:hAnsi="Malgun Gothic"/>
          <w:sz w:val="22"/>
          <w:szCs w:val="22"/>
        </w:rPr>
        <w:t xml:space="preserve">이처럼 주요국의 규제 방향이 다르게 전개되면서, 글로벌 기업은 여러 규제 체계를 동시에 준수해야 하는 부담을 안게 되었다.</w:t>
      </w:r>
    </w:p>
    <w:p>
      <w:pPr>
        <w:pStyle w:val="Heading2"/>
      </w:pPr>
      <w:r>
        <w:t xml:space="preserve">6. 한국의 AI 전략</w:t>
      </w:r>
    </w:p>
    <w:p>
      <w:pPr>
        <w:spacing w:after="160" w:line="360"/>
        <w:jc w:val="both"/>
      </w:pPr>
      <w:r>
        <w:rPr>
          <w:rFonts w:ascii="Malgun Gothic" w:cs="Malgun Gothic" w:eastAsia="Malgun Gothic" w:hAnsi="Malgun Gothic"/>
          <w:sz w:val="22"/>
          <w:szCs w:val="22"/>
        </w:rPr>
        <w:t xml:space="preserve">한국 정부는 미국·중국과 나란히 하는 "AI 3대 강국(AI G3)" 진입을 국가 목표로 내걸었다. 2026년 AI 관련 예산을 약 9조 9,000억 원으로 확대하고, 2030년까지 첨단 GPU 약 26만 장을 확보할 기반을 마련하고 있다. 또한 "독자 AI 파운데이션 모델 프로젝트"를 통해 LG AI연구원, 업스테이지, SK텔레콤, 모티프테크놀로지 컨소시엄이 국가대표 AI 모델 개발을 놓고 경쟁하고 있으며, 2026년 8월 2단계 평가가 예정되어 있다. 이는 해외 모델 의존도를 낮추고 독자적인 AI 역량, 즉 "소버린 AI"를 확보하려는 전략이다.</w:t>
      </w:r>
    </w:p>
    <w:p>
      <w:pPr>
        <w:pStyle w:val="Heading1"/>
      </w:pPr>
      <w:r>
        <w:t xml:space="preserve">Ⅲ. 결론</w:t>
      </w:r>
    </w:p>
    <w:p>
      <w:pPr>
        <w:pStyle w:val="Heading2"/>
      </w:pPr>
      <w:r>
        <w:t xml:space="preserve">1. 요약</w:t>
      </w:r>
    </w:p>
    <w:p>
      <w:pPr>
        <w:spacing w:after="160" w:line="360"/>
        <w:jc w:val="both"/>
      </w:pPr>
      <w:r>
        <w:rPr>
          <w:rFonts w:ascii="Malgun Gothic" w:cs="Malgun Gothic" w:eastAsia="Malgun Gothic" w:hAnsi="Malgun Gothic"/>
          <w:sz w:val="22"/>
          <w:szCs w:val="22"/>
        </w:rPr>
        <w:t xml:space="preserve">2026년의 AI 발전은 다음 다섯 가지로 요약할 수 있다. 첫째, 기술 역량은 빠르게 향상되고 있으나 영역별로 고르지 않다. 둘째, 산업의 중심이 챗봇에서 에이전트로, 학습에서 추론으로 이동하고 있다. 셋째, 막대한 자본과 전력이 AI 확장의 핵심 제약 요인이 되었다. 넷째, 노동시장 영향이 채용 감소의 형태로 나타나기 시작했다. 다섯째, 사고가 증가하는 가운데 규제는 집행 단계에 들어섰다.</w:t>
      </w:r>
    </w:p>
    <w:p>
      <w:pPr>
        <w:pStyle w:val="Heading2"/>
      </w:pPr>
      <w:r>
        <w:t xml:space="preserve">2. 시사점과 제언</w:t>
      </w:r>
    </w:p>
    <w:p>
      <w:pPr>
        <w:pStyle w:val="ListParagraph"/>
        <w:numPr>
          <w:ilvl w:val="0"/>
          <w:numId w:val="2"/>
        </w:numPr>
        <w:spacing w:after="80" w:line="340"/>
      </w:pPr>
      <w:r>
        <w:rPr>
          <w:rFonts w:ascii="Malgun Gothic" w:cs="Malgun Gothic" w:eastAsia="Malgun Gothic" w:hAnsi="Malgun Gothic"/>
          <w:sz w:val="22"/>
          <w:szCs w:val="22"/>
        </w:rPr>
        <w:t xml:space="preserve">역량 기반 활용: AI의 들쭉날쭉한 능력을 고려해, 업무에 도입할 때 영역별 검증과 사람의 최종 확인 절차를 갖춰야 한다.</w:t>
      </w:r>
    </w:p>
    <w:p>
      <w:pPr>
        <w:pStyle w:val="ListParagraph"/>
        <w:numPr>
          <w:ilvl w:val="0"/>
          <w:numId w:val="2"/>
        </w:numPr>
        <w:spacing w:after="80" w:line="340"/>
      </w:pPr>
      <w:r>
        <w:rPr>
          <w:rFonts w:ascii="Malgun Gothic" w:cs="Malgun Gothic" w:eastAsia="Malgun Gothic" w:hAnsi="Malgun Gothic"/>
          <w:sz w:val="22"/>
          <w:szCs w:val="22"/>
        </w:rPr>
        <w:t xml:space="preserve">인프라와 에너지: AI 경쟁력은 전력 공급 능력과 직결되므로, 데이터센터 정책을 에너지·전력망 정책과 함께 설계해야 한다.</w:t>
      </w:r>
    </w:p>
    <w:p>
      <w:pPr>
        <w:pStyle w:val="ListParagraph"/>
        <w:numPr>
          <w:ilvl w:val="0"/>
          <w:numId w:val="2"/>
        </w:numPr>
        <w:spacing w:after="80" w:line="340"/>
      </w:pPr>
      <w:r>
        <w:rPr>
          <w:rFonts w:ascii="Malgun Gothic" w:cs="Malgun Gothic" w:eastAsia="Malgun Gothic" w:hAnsi="Malgun Gothic"/>
          <w:sz w:val="22"/>
          <w:szCs w:val="22"/>
        </w:rPr>
        <w:t xml:space="preserve">노동 전환 지원: 채용 감소의 영향을 가장 먼저 받는 청년·신입 계층을 중심으로 재교육과 직무 전환 지원을 강화해야 한다.</w:t>
      </w:r>
    </w:p>
    <w:p>
      <w:pPr>
        <w:pStyle w:val="ListParagraph"/>
        <w:numPr>
          <w:ilvl w:val="0"/>
          <w:numId w:val="2"/>
        </w:numPr>
        <w:spacing w:after="80" w:line="340"/>
      </w:pPr>
      <w:r>
        <w:rPr>
          <w:rFonts w:ascii="Malgun Gothic" w:cs="Malgun Gothic" w:eastAsia="Malgun Gothic" w:hAnsi="Malgun Gothic"/>
          <w:sz w:val="22"/>
          <w:szCs w:val="22"/>
        </w:rPr>
        <w:t xml:space="preserve">규제의 실효성: AI 기본법 시행령과 가이드라인을 구체화하되, 혁신을 막지 않도록 국제 규제와의 정합성을 확보해야 한다.</w:t>
      </w:r>
    </w:p>
    <w:p>
      <w:pPr>
        <w:pStyle w:val="ListParagraph"/>
        <w:numPr>
          <w:ilvl w:val="0"/>
          <w:numId w:val="2"/>
        </w:numPr>
        <w:spacing w:after="80" w:line="340"/>
      </w:pPr>
      <w:r>
        <w:rPr>
          <w:rFonts w:ascii="Malgun Gothic" w:cs="Malgun Gothic" w:eastAsia="Malgun Gothic" w:hAnsi="Malgun Gothic"/>
          <w:sz w:val="22"/>
          <w:szCs w:val="22"/>
        </w:rPr>
        <w:t xml:space="preserve">독자 역량 확보: GPU·모델·데이터를 아우르는 국가 AI 생태계를 꾸준히 지원해, 일회성 사업이 아닌 지속 가능한 경쟁력으로 이어지게 해야 한다.</w:t>
      </w:r>
    </w:p>
    <w:p>
      <w:pPr>
        <w:pStyle w:val="Heading2"/>
      </w:pPr>
      <w:r>
        <w:t xml:space="preserve">3. 맺음말</w:t>
      </w:r>
    </w:p>
    <w:p>
      <w:pPr>
        <w:spacing w:after="160" w:line="360"/>
        <w:jc w:val="both"/>
      </w:pPr>
      <w:r>
        <w:rPr>
          <w:rFonts w:ascii="Malgun Gothic" w:cs="Malgun Gothic" w:eastAsia="Malgun Gothic" w:hAnsi="Malgun Gothic"/>
          <w:sz w:val="22"/>
          <w:szCs w:val="22"/>
        </w:rPr>
        <w:t xml:space="preserve">AI는 더 이상 미래 기술이 아니라 현재의 경제·사회 구조를 바꾸고 있는 기반 기술이다. 발전의 속도를 따라잡는 것만큼이나, 그 혜택을 넓게 나누고 위험을 관리하는 제도와 역량을 함께 갖추는 것이 앞으로의 핵심 과제가 될 것이다.</w:t>
      </w:r>
    </w:p>
    <w:p>
      <w:pPr>
        <w:pStyle w:val="Heading1"/>
      </w:pPr>
      <w:r>
        <w:t xml:space="preserve">참고 자료</w:t>
      </w:r>
    </w:p>
    <w:p>
      <w:pPr>
        <w:pStyle w:val="ListParagraph"/>
        <w:numPr>
          <w:ilvl w:val="0"/>
          <w:numId w:val="2"/>
        </w:numPr>
        <w:spacing w:after="80" w:line="340"/>
      </w:pPr>
      <w:r>
        <w:rPr>
          <w:rFonts w:ascii="Malgun Gothic" w:cs="Malgun Gothic" w:eastAsia="Malgun Gothic" w:hAnsi="Malgun Gothic"/>
          <w:sz w:val="22"/>
          <w:szCs w:val="22"/>
        </w:rPr>
        <w:t xml:space="preserve">Stanford HAI, AI Index Report 2026 (hai.stanford.edu)</w:t>
      </w:r>
    </w:p>
    <w:p>
      <w:pPr>
        <w:pStyle w:val="ListParagraph"/>
        <w:numPr>
          <w:ilvl w:val="0"/>
          <w:numId w:val="2"/>
        </w:numPr>
        <w:spacing w:after="80" w:line="340"/>
      </w:pPr>
      <w:r>
        <w:rPr>
          <w:rFonts w:ascii="Malgun Gothic" w:cs="Malgun Gothic" w:eastAsia="Malgun Gothic" w:hAnsi="Malgun Gothic"/>
          <w:sz w:val="22"/>
          <w:szCs w:val="22"/>
        </w:rPr>
        <w:t xml:space="preserve">S&amp;P Global, The AI and Labor Landscape 2026 (2026.6)</w:t>
      </w:r>
    </w:p>
    <w:p>
      <w:pPr>
        <w:pStyle w:val="ListParagraph"/>
        <w:numPr>
          <w:ilvl w:val="0"/>
          <w:numId w:val="2"/>
        </w:numPr>
        <w:spacing w:after="80" w:line="340"/>
      </w:pPr>
      <w:r>
        <w:rPr>
          <w:rFonts w:ascii="Malgun Gothic" w:cs="Malgun Gothic" w:eastAsia="Malgun Gothic" w:hAnsi="Malgun Gothic"/>
          <w:sz w:val="22"/>
          <w:szCs w:val="22"/>
        </w:rPr>
        <w:t xml:space="preserve">International Energy Agency(IEA), 데이터센터 전력 수요 전망 관련 보도</w:t>
      </w:r>
    </w:p>
    <w:p>
      <w:pPr>
        <w:pStyle w:val="ListParagraph"/>
        <w:numPr>
          <w:ilvl w:val="0"/>
          <w:numId w:val="2"/>
        </w:numPr>
        <w:spacing w:after="80" w:line="340"/>
      </w:pPr>
      <w:r>
        <w:rPr>
          <w:rFonts w:ascii="Malgun Gothic" w:cs="Malgun Gothic" w:eastAsia="Malgun Gothic" w:hAnsi="Malgun Gothic"/>
          <w:sz w:val="22"/>
          <w:szCs w:val="22"/>
        </w:rPr>
        <w:t xml:space="preserve">World Economic Forum, Future of Jobs Report 2025</w:t>
      </w:r>
    </w:p>
    <w:p>
      <w:pPr>
        <w:pStyle w:val="ListParagraph"/>
        <w:numPr>
          <w:ilvl w:val="0"/>
          <w:numId w:val="2"/>
        </w:numPr>
        <w:spacing w:after="80" w:line="340"/>
      </w:pPr>
      <w:r>
        <w:rPr>
          <w:rFonts w:ascii="Malgun Gothic" w:cs="Malgun Gothic" w:eastAsia="Malgun Gothic" w:hAnsi="Malgun Gothic"/>
          <w:sz w:val="22"/>
          <w:szCs w:val="22"/>
        </w:rPr>
        <w:t xml:space="preserve">Cooley, South Korea's AI Basic Act: Overview and Key Takeaways (2026.1)</w:t>
      </w:r>
    </w:p>
    <w:p>
      <w:pPr>
        <w:pStyle w:val="ListParagraph"/>
        <w:numPr>
          <w:ilvl w:val="0"/>
          <w:numId w:val="2"/>
        </w:numPr>
        <w:spacing w:after="80" w:line="340"/>
      </w:pPr>
      <w:r>
        <w:rPr>
          <w:rFonts w:ascii="Malgun Gothic" w:cs="Malgun Gothic" w:eastAsia="Malgun Gothic" w:hAnsi="Malgun Gothic"/>
          <w:sz w:val="22"/>
          <w:szCs w:val="22"/>
        </w:rPr>
        <w:t xml:space="preserve">Burges Salmon, AI in 2026: What does Stanford's AI Index tell us</w:t>
      </w:r>
    </w:p>
    <w:p>
      <w:pPr>
        <w:pStyle w:val="ListParagraph"/>
        <w:numPr>
          <w:ilvl w:val="0"/>
          <w:numId w:val="2"/>
        </w:numPr>
        <w:spacing w:after="80" w:line="340"/>
      </w:pPr>
      <w:r>
        <w:rPr>
          <w:rFonts w:ascii="Malgun Gothic" w:cs="Malgun Gothic" w:eastAsia="Malgun Gothic" w:hAnsi="Malgun Gothic"/>
          <w:sz w:val="22"/>
          <w:szCs w:val="22"/>
        </w:rPr>
        <w:t xml:space="preserve">Goldman Sachs, How will AI affect the US labor market</w:t>
      </w:r>
    </w:p>
    <w:p>
      <w:pPr>
        <w:pStyle w:val="ListParagraph"/>
        <w:numPr>
          <w:ilvl w:val="0"/>
          <w:numId w:val="2"/>
        </w:numPr>
        <w:spacing w:after="80" w:line="340"/>
      </w:pPr>
      <w:r>
        <w:rPr>
          <w:rFonts w:ascii="Malgun Gothic" w:cs="Malgun Gothic" w:eastAsia="Malgun Gothic" w:hAnsi="Malgun Gothic"/>
          <w:sz w:val="22"/>
          <w:szCs w:val="22"/>
        </w:rPr>
        <w:t xml:space="preserve">뉴시스·뉴스토마토, 정부 AI 3대 강국 전략 및 독자 AI 파운데이션 모델 관련 보도 (2026)</w:t>
      </w:r>
    </w:p>
    <w:p>
      <w:pPr>
        <w:pStyle w:val="ListParagraph"/>
        <w:numPr>
          <w:ilvl w:val="0"/>
          <w:numId w:val="2"/>
        </w:numPr>
        <w:spacing w:after="80" w:line="340"/>
      </w:pPr>
      <w:r>
        <w:rPr>
          <w:rFonts w:ascii="Malgun Gothic" w:cs="Malgun Gothic" w:eastAsia="Malgun Gothic" w:hAnsi="Malgun Gothic"/>
          <w:sz w:val="22"/>
          <w:szCs w:val="22"/>
        </w:rPr>
        <w:t xml:space="preserve">상세 출처 URL: research/ai_development_research.md 참조</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color w:val="1F3864"/>
      <w:sz w:val="32"/>
      <w:szCs w:val="32"/>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E559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2026-10-04T06:37:36.377Z</dcterms:created>
  <dcterms:modified xsi:type="dcterms:W3CDTF">2026-10-04T06:37:36.377Z</dcterms:modified>
</cp:coreProperties>
</file>

<file path=docProps/custom.xml><?xml version="1.0" encoding="utf-8"?>
<Properties xmlns="http://schemas.openxmlformats.org/officeDocument/2006/custom-properties" xmlns:vt="http://schemas.openxmlformats.org/officeDocument/2006/docPropsVTypes"/>
</file>