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Joker 추가 요구사항과 구현 계획</w:t>
      </w:r>
    </w:p>
    <w:p>
      <w:pPr>
        <w:pStyle w:val="Subtitle"/>
      </w:pPr>
      <w:r>
        <w:t>회원가입 이메일 인증  피의 기록 정리  테스트 재화 충전</w:t>
      </w:r>
    </w:p>
    <w:p>
      <w:r>
        <w:t>작성일 2026년 9월 13일   문서 버전 2   사용자 범위 확정 반영</w:t>
      </w:r>
    </w:p>
    <w:p>
      <w:r>
        <w:t>회원가입 이메일 인증 정책을 확정하고, 마이페이지 피의 기록을 전체 판수·승률 두 항목으로 바꾼다. 명성은 사용자 화면에서 제거한다. 토스페이먼츠 테스트 결제로 다이아만 충전하고, 다이아로 골드를 구매할 수 있게 한다. 이 문서는 이전 초안의 삭제 범위와 재화 선택 미정안을 대체한다.</w:t>
      </w:r>
    </w:p>
    <w:p>
      <w:pPr>
        <w:pStyle w:val="Heading2"/>
      </w:pPr>
      <w:r>
        <w:t>요구사항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368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관리 ID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확정된 요구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기존 작업과 연결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ADD01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회원가입 시 이메일 인증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F02 회원가입 및 F05 소셜 계정, F29 메일 복구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ADD02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피의 기록은 전체 판수·승률만 표시하고 명성 제거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F10 전적과 랭킹, 마이페이지 및 공통 배너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ADD03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토스 테스트 다이아 충전 및 다이아로 골드 구매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F08 지갑과 원장, F09 상점, F28 통합 검증</w:t>
            </w:r>
          </w:p>
        </w:tc>
      </w:tr>
    </w:tbl>
    <w:p>
      <w:pPr>
        <w:pStyle w:val="Heading2"/>
      </w:pPr>
      <w:r>
        <w:t>착수 방향</w:t>
      </w:r>
    </w:p>
    <w:p>
      <w:r>
        <w:t>ADD ID는 이 문서의 관리 번호다. 기존 29개 배치에 등록된 번호가 아니다. 기존 작업을 이어가면서 적용 시점과 의존성을 정하고, 추가 작업도 계획 심사와 테스트 및 Chrome 검증을 거친다. 구현 순서는 ADD02 → ADD01 → ADD03을 제안한다.</w:t>
      </w:r>
    </w:p>
    <w:p>
      <w:pPr>
        <w:pStyle w:val="Heading2"/>
      </w:pPr>
      <w:r>
        <w:t>현행 코드에서 확인한 연결점</w:t>
      </w:r>
    </w:p>
    <w:p>
      <w:pPr>
        <w:pStyle w:val="ListBullet"/>
        <w:spacing w:after="80"/>
      </w:pPr>
      <w:r>
        <w:t>회원가입은 signup에서 계정과 통계 및 기본 지갑·장비 지급을 한 트랜잭션으로 처리한다. 이메일 인증 추가 후에도 이 원자성을 유지한다.</w:t>
      </w:r>
    </w:p>
    <w:p>
      <w:pPr>
        <w:pStyle w:val="ListBullet"/>
        <w:spacing w:after="80"/>
      </w:pPr>
      <w:r>
        <w:t>현재 피의 기록은 전체 판수·생존 횟수·단두대 처형 세 행이다. 이를 전체 판수·승률 두 행으로 교체한다. 별도 프로필 배너에 있는 명성도 제거한다.</w:t>
      </w:r>
    </w:p>
    <w:p>
      <w:pPr>
        <w:pStyle w:val="ListBullet"/>
        <w:spacing w:after="80"/>
      </w:pPr>
      <w:r>
        <w:t>경제 서비스에 지갑 조회와 거래 원장 기반 지급 경로가 존재한다. 충전은 별도 잔액 체계 대신 기존 지갑·원장의 트랜잭션 계약에 연결한다.</w:t>
      </w:r>
    </w:p>
    <w:p>
      <w:pPr>
        <w:pStyle w:val="Heading2"/>
      </w:pPr>
      <w:r>
        <w:t>공통 완료 기준</w:t>
      </w:r>
    </w:p>
    <w:p>
      <w:r>
        <w:t>기능별 인수 조건, 서버 상태 전이, 영향 파일, 실패 복구 시험을 먼저 확정한다. 구현 후 관련 테스트 → 승인된 격리 DB → 전체 시험과 빌드 → 독립 심사 → 실제 Chrome 순으로 검증하며, 수행하지 않은 검증은 미완료로 남긴다.</w:t>
      </w:r>
    </w:p>
    <w:p>
      <w:pPr>
        <w:pStyle w:val="Heading1"/>
        <w:pageBreakBefore/>
      </w:pPr>
      <w:r>
        <w:t>ADD01 회원가입 이메일 인증</w:t>
      </w:r>
    </w:p>
    <w:p>
      <w:r>
        <w:t>이메일 소유 확인을 통과한 주소로만 일반 이메일 회원가입을 완료한다. 화면의 인증 완료 표시를 조작하거나 가입 API를 직접 호출해도 서버 검증을 우회할 수 없어야 한다.</w:t>
      </w:r>
    </w:p>
    <w:p>
      <w:pPr>
        <w:pStyle w:val="Heading2"/>
      </w:pPr>
      <w:r>
        <w:t>사용자 흐름</w:t>
      </w:r>
    </w:p>
    <w:p>
      <w:r>
        <w:t>이메일 입력 → 인증번호 발송 → 메일 수신 → 번호 입력 및 확인 → 나머지 가입 정보 제출 → 가입 완료. 인증 후 이메일을 바꾸면 인증 상태를 해제하고 새 주소를 다시 확인한다. 재발송·만료·발송 실패는 화면에 구분해 표시한다.</w:t>
      </w:r>
    </w:p>
    <w:p>
      <w:pPr>
        <w:pStyle w:val="Heading2"/>
      </w:pPr>
      <w:r>
        <w:t>확정 정책과 운영 초깃값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적용 정책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인증 수단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메일로 받는 6자리 번호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유효 기간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10분, 재발송 간격 60초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시도 제한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인증 건당 오입력 5회 이후 새 인증 필요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재발송 처리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이전 번호 무효화. 이메일당 시간당 5회·하루 10회, IP당 시간당 30회·하루 100회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기존 계정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기존 계정은 추가 인증 강제 없이 유지. 실제 미인증 주소를 인증 완료로 허위 변경하지 않음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Google 및 Discord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서버가 제공자의 이메일 인증 사실을 확인하면 추가 인증 생략. 확인되지 않으면 메일 인증 적용</w:t>
            </w:r>
          </w:p>
        </w:tc>
      </w:tr>
    </w:tbl>
    <w:p>
      <w:r>
        <w:t>사용자가 제안 정책을 승인하고 초깃값 설정을 위임했다. 가입 증명 유효시간도 10분으로 시작하며 발송량 제한은 운영 설정으로 조절한다. 발송 서비스·발신 주소·테스트 수신함은 별도 준비한다.</w:t>
      </w:r>
    </w:p>
    <w:p>
      <w:pPr>
        <w:pStyle w:val="Heading2"/>
      </w:pPr>
      <w:r>
        <w:t>구현 계획</w:t>
      </w:r>
    </w:p>
    <w:p>
      <w:pPr>
        <w:pStyle w:val="ListBullet"/>
        <w:spacing w:after="80"/>
      </w:pPr>
      <w:r>
        <w:t>발송·확인 API와 인증 상태 저장소를 추가한다. 인증 목적, 정규화 이메일, 만료 시각, 시도 횟수, 사용 여부를 서버가 관리한다. 번호 원문은 저장하지 않고 서버 비밀값을 이용한 검증값을 저장한다.</w:t>
      </w:r>
    </w:p>
    <w:p>
      <w:pPr>
        <w:pStyle w:val="ListBullet"/>
        <w:spacing w:after="80"/>
      </w:pPr>
      <w:r>
        <w:t>인증 성공 시 짧은 수명의 가입 증명을 발급한다. 가입 제출 때 이메일·목적·유효 기간을 재검증하고, 계정 생성 및 기본 지급과 함께 증명을 한 번만 소비한다. 가입 실패 시 복구와 재시도가 가능해야 한다.</w:t>
      </w:r>
    </w:p>
    <w:p>
      <w:pPr>
        <w:pStyle w:val="ListBullet"/>
        <w:spacing w:after="80"/>
      </w:pPr>
      <w:r>
        <w:t>사용자가 보낸 email_verified 값은 신뢰하지 않는다. 발송 실패를 인증 성공으로 표시하지 않고, 번호와 가입 증명을 로그에 노출하지 않는다.</w:t>
      </w:r>
    </w:p>
    <w:p>
      <w:pPr>
        <w:pStyle w:val="ListBullet"/>
        <w:spacing w:after="80"/>
      </w:pPr>
      <w:r>
        <w:t>F29 비밀번호 찾기와 메일 전송 기반을 공유하되 인증 목적과 증명은 분리한다. 정확한 테이블·함수 이름은 실제 착수 시점의 코드와 대조해 결정한다.</w:t>
      </w:r>
    </w:p>
    <w:p>
      <w:pPr>
        <w:pStyle w:val="Heading2"/>
      </w:pPr>
      <w:r>
        <w:t>인수 기준</w:t>
      </w:r>
    </w:p>
    <w:p>
      <w:r>
        <w:t>정상 메일 수신 후 가입 성공, 인증 없이 직접 가입 거부, 번호 만료·오입력·재발송 처리, 인증 후 주소 변경 시 재인증, 같은 증명 동시 제출의 단일 가입을 검증한다. Chrome과 승인된 테스트 메일함에서 실제 발송·수신·가입까지 확인하고 기본 지급 및 중복 계정 방지 회귀 시험을 통과한다.</w:t>
      </w:r>
    </w:p>
    <w:p>
      <w:pPr>
        <w:pStyle w:val="Heading1"/>
        <w:pageBreakBefore/>
      </w:pPr>
      <w:r>
        <w:t>ADD02 피의 기록 두 항목과 명성 제거</w:t>
      </w:r>
    </w:p>
    <w:p>
      <w:r>
        <w:t>마이페이지의 피의 기록에는 전체 판수와 승률만 표시한다. 현재 세 행을 두 행으로 바꾸고, 생존 횟수·단두대 처형 행과 빈 구분선을 제거한다. 명성은 로비·마이페이지 공통 프로필 배너를 포함한 사용자 화면에서 제거한다.</w:t>
      </w:r>
    </w:p>
    <w:p>
      <w:pPr>
        <w:pStyle w:val="Heading2"/>
      </w:pPr>
      <w:r>
        <w:t>삭제 범위와 유지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적용 내용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피의 기록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전체 판수 유지 및 승률 추가. 생존 횟수와 단두대 처형 표시 삭제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명성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화면의 명성 이름·숫자·아이콘·빈 자리 및 전용 표시 가공 제거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집계 데이터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전체 판수·승수와 업적·랭킹에 필요한 생존·처형 원본 집계 보존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명성 저장값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미사용 계산·API 필드는 소비처 확인 후 정리. 기존 DB 컬럼의 물리 삭제는 보호 규칙에 따라 별도 이관 검토</w:t>
            </w:r>
          </w:p>
        </w:tc>
      </w:tr>
    </w:tbl>
    <w:p>
      <w:r>
        <w:t>승률은 특정 직업의 최고 승률이 아닌 계정 전체 전적 기준이다. 구현 기본안은 기존 서버의 유효 종료 판수·승리 판정을 재사용한 승수 ÷ 전체 판수 × 100이며, 소수 첫째 자리와 0판의 0.0%를 표시한다. 별도 게임 승패 규칙은 새로 만들지 않는다.</w:t>
      </w:r>
    </w:p>
    <w:p>
      <w:pPr>
        <w:pStyle w:val="Heading2"/>
      </w:pPr>
      <w:r>
        <w:t>구현 계획</w:t>
      </w:r>
    </w:p>
    <w:p>
      <w:pPr>
        <w:pStyle w:val="ListBullet"/>
        <w:spacing w:after="80"/>
      </w:pPr>
      <w:r>
        <w:t>useMyProfile과 myPageAssets의 통계 구성을 전체 판수·승률로 맞춘다. 서버가 전체 승수를 제공하지 않으면 기존 집계 계약을 확장하고, 브라우저가 다른 직업의 승률을 대신 쓰지 않게 한다.</w:t>
      </w:r>
    </w:p>
    <w:p>
      <w:pPr>
        <w:pStyle w:val="ListBullet"/>
        <w:spacing w:after="80"/>
      </w:pPr>
      <w:r>
        <w:t>BloodRecordFrame, BloodRecordStatsPanel, BloodRecordStatRow와 관련 스타일을 검토해 두 행에 맞게 간격을 조정한다. 이미지 자체에 삭제 문구가 포함됐는지도 확인한다.</w:t>
      </w:r>
    </w:p>
    <w:p>
      <w:pPr>
        <w:pStyle w:val="ListBullet"/>
        <w:spacing w:after="80"/>
      </w:pPr>
      <w:r>
        <w:t>프로필 데이터가 없을 때 다른 계정의 값이나 정적 예시 숫자를 실제 전적으로 보이지 않게 한다. 숫자가 0인 계정도 0을 정상 표시한다.</w:t>
      </w:r>
    </w:p>
    <w:p>
      <w:pPr>
        <w:pStyle w:val="ListBullet"/>
        <w:spacing w:after="80"/>
      </w:pPr>
      <w:r>
        <w:t>공통 프로필 배너의 명성 표시와 관련 속성·스타일을 제거한다. 닉네임·칭호·프로필 장비는 유지하고, 업적·랭킹·운명의 가면의 원본 집계를 훼손하지 않는다.</w:t>
      </w:r>
    </w:p>
    <w:p>
      <w:pPr>
        <w:pStyle w:val="Heading2"/>
      </w:pPr>
      <w:r>
        <w:t>인수 기준</w:t>
      </w:r>
    </w:p>
    <w:p>
      <w:r>
        <w:t>피의 기록은 항상 전체 판수·승률 두 항목으로 구성한다. 정상·0판·계정 전환·새로고침에서 값과 반올림이 정확하고 명성이 다시 나타나지 않아야 한다. 조회 실패를 실제 0판으로 위장하지 않는다. 확대 글자·좁은 화면의 배치를 확인하고 업적·랭킹·운명의 가면 회귀 시험을 통과한다.</w:t>
      </w:r>
    </w:p>
    <w:p>
      <w:pPr>
        <w:pStyle w:val="Heading2"/>
      </w:pPr>
      <w:r>
        <w:t>영향 파일 후보</w:t>
      </w:r>
    </w:p>
    <w:p>
      <w:r>
        <w:t>frontend/src/domains/user/hooks/useMyProfile.js</w:t>
        <w:br/>
        <w:t>frontend/src/domains/user/constants/myPageAssets.js</w:t>
        <w:br/>
        <w:t>frontend/src/domains/user/components/BloodRecordFrame.jsx 및 하위 컴포넌트</w:t>
        <w:br/>
        <w:t>frontend/src/domains/user/components/MyPageBannerButton/BannerTextPanel.jsx</w:t>
        <w:br/>
        <w:t>프로필 API의 전체 전적 집계와 공통 배너 소비처</w:t>
      </w:r>
    </w:p>
    <w:p>
      <w:pPr>
        <w:pStyle w:val="Heading1"/>
        <w:pageBreakBefore/>
      </w:pPr>
      <w:r>
        <w:t>ADD03 다이아 충전과 골드 구매</w:t>
      </w:r>
    </w:p>
    <w:p>
      <w:r>
        <w:t>토스페이먼츠 테스트 결제로 다이아만 충전한다. 충전된 다이아로 골드를 구매할 수 있다. 화면에 테스트 결제임을 표시하며 실제 결제수단에서는 금액이 차감되지 않는다. [1]</w:t>
      </w:r>
    </w:p>
    <w:p>
      <w:pPr>
        <w:pStyle w:val="Heading2"/>
      </w:pPr>
      <w:r>
        <w:t>범위와 상품 정책</w:t>
      </w:r>
    </w:p>
    <w:p>
      <w:r>
        <w:t>초기안은 카드·간편결제 통합결제창의 일회성 결제다. 결제 충전 대상은 DIAMOND로 고정하고, 골드는 다이아를 지불하는 상점 상품으로 제공한다. 다이아 상품의 원화 가격·지급량, 다이아 대 골드 환산율과 보너스는 미정이다. 서버 상품 목록을 기준으로 금액·수량 변조를 거부한다. [2]</w:t>
      </w:r>
    </w:p>
    <w:p>
      <w:pPr>
        <w:pStyle w:val="Heading2"/>
      </w:pPr>
      <w:r>
        <w:t>결제와 지급 흐름</w:t>
      </w:r>
    </w:p>
    <w:p>
      <w:r>
        <w:t>다이아 상품 선택 → 서버 주문 생성 → 토스 테스트 결제창 → 인증 복귀 → 주문자·금액 대조 및 서버 승인 → 다이아 지급 → 잔액 재조회. 이후 골드 상품 선택 → 다이아 차감과 골드 지급을 함께 확정한다. 성공 URL만으로 지급하지 않고 서버가 paymentKey·orderId·amount를 확인한다. [2][3]</w:t>
      </w:r>
    </w:p>
    <w:p>
      <w:pPr>
        <w:pStyle w:val="Heading2"/>
      </w:pPr>
      <w:r>
        <w:t>구현 계획</w:t>
      </w:r>
    </w:p>
    <w:p>
      <w:pPr>
        <w:pStyle w:val="ListBullet"/>
        <w:spacing w:after="80"/>
      </w:pPr>
      <w:r>
        <w:t>새 충전 주문에 소유 계정, 상품 버전, 금액, 지급량, 상태 및 고유 주문번호를 저장한다. 테스트 클라이언트 키와 시크릿 키는 같은 세트를 사용하며 시크릿은 서버에만 둔다. 라이브 키가 들어오면 테스트 실행을 차단한다. [1]</w:t>
      </w:r>
    </w:p>
    <w:p>
      <w:pPr>
        <w:pStyle w:val="ListBullet"/>
        <w:spacing w:after="80"/>
      </w:pPr>
      <w:r>
        <w:t>결제 승인과 로컬 DB 저장은 하나의 분산 트랜잭션이 될 수 없으므로, 승인 성공 후 지급 실패를 별도 상태로 남긴다. 외부 API 대기 동안 DB 행 잠금을 오래 유지하지 않는다.</w:t>
      </w:r>
    </w:p>
    <w:p>
      <w:pPr>
        <w:pStyle w:val="ListBullet"/>
        <w:spacing w:after="80"/>
      </w:pPr>
      <w:r>
        <w:t>결제 승인 응답을 잃으면 즉시 새 주문이나 새 지급을 만들지 않고 같은 주문의 결과를 조회·복구한다. 외부 API 멱등키와 내부 주문·결제키·원장 유일 제약을 함께 사용한다. [4]</w:t>
      </w:r>
    </w:p>
    <w:p>
      <w:pPr>
        <w:pStyle w:val="ListBullet"/>
        <w:spacing w:after="80"/>
      </w:pPr>
      <w:r>
        <w:t>지갑 증액·충전 원장 기록·지급 완료 표시를 로컬 트랜잭션으로 확정한다. 승인 후 서버 중단 또는 DB 실패 시 재처리로 정확히 한 번 지급되도록 한다. 취소된 결제는 지급 대상에서 제외한다.</w:t>
      </w:r>
    </w:p>
    <w:p>
      <w:pPr>
        <w:pStyle w:val="ListBullet"/>
        <w:spacing w:after="80"/>
      </w:pPr>
      <w:r>
        <w:t>골드 구매는 기존 상점·원장을 사용해 다이아 차감과 골드 증가를 같은 트랜잭션으로 처리한다. 잔액 부족은 전부 취소하고 재시도는 같은 구매 ID로 한 번만 반영한다. 골드로 다이아를 되사는 경로는 추가하지 않는다.</w:t>
      </w:r>
    </w:p>
    <w:p>
      <w:pPr>
        <w:pStyle w:val="Heading2"/>
      </w:pPr>
      <w:r>
        <w:t>인수 기준</w:t>
      </w:r>
    </w:p>
    <w:p>
      <w:r>
        <w:t>실제 테스트 결제 → 다이아 증가 → 다이아로 골드 구매 → 양쪽 잔액 및 원장 → 새로고침을 확인한다. 금액 변조·타인 주문·잔액 부족은 거부하고 중복 호출·응답 유실·DB 실패에도 한 번만 반영한다. 실패·취소 결제는 지급하지 않는다. 유료 운영 전환·정기결제·운영 환불은 별도 범위다.</w:t>
      </w:r>
    </w:p>
    <w:p>
      <w:pPr>
        <w:pStyle w:val="Heading1"/>
        <w:pageBreakBefore/>
      </w:pPr>
      <w:r>
        <w:t>작업 순서와 착수 전 결정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309"/>
        <w:gridCol w:w="4422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주요 작업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18"/>
              </w:rPr>
              <w:t>완료 산출물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외부 설정과 상품 정책 준비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메일 설정, 다이아 상품표, 골드 환산율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ADD02 표시 정리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두 행 화면 및 계정 전환 회귀 증거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ADD01 인증 기반과 가입 연결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메일 발송·수신·가입 및 증명 소비 검증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ADD03 다이아 충전과 골드 구매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테스트 승인 및 다이아 차감·골드 지급 검증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통합 검증과 정상 심사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인증 가입 → 다이아 충전 → 골드 구매 → 복원</w:t>
            </w:r>
          </w:p>
        </w:tc>
      </w:tr>
    </w:tbl>
    <w:p>
      <w:pPr>
        <w:pStyle w:val="Heading2"/>
      </w:pPr>
      <w:r>
        <w:t>확정된 범위와 남은 결정</w:t>
      </w:r>
    </w:p>
    <w:p>
      <w:pPr>
        <w:pStyle w:val="ListBullet"/>
        <w:spacing w:after="80"/>
      </w:pPr>
      <w:r>
        <w:t>확정: 새 이메일 가입 인증, 기존 계정 추가 인증 강제 없음, Google·Discord의 검증된 이메일 추가 인증 생략. 인증 제한 초깃값은 위임에 따라 문서에 설정했다.</w:t>
      </w:r>
    </w:p>
    <w:p>
      <w:pPr>
        <w:pStyle w:val="ListBullet"/>
        <w:spacing w:after="80"/>
      </w:pPr>
      <w:r>
        <w:t>확정: 마이페이지 피의 기록은 전체 판수·승률만 표시하고 명성은 제거한다. 토스 충전은 다이아만 제공하며 다이아로 골드를 구매할 수 있다.</w:t>
      </w:r>
    </w:p>
    <w:p>
      <w:pPr>
        <w:pStyle w:val="ListBullet"/>
        <w:spacing w:after="80"/>
      </w:pPr>
      <w:r>
        <w:t>남은 사업 정책: 원화별 다이아 상품 가격·지급량, 다이아 대 골드 환산율, 보너스 여부. 필요한 외부 설정: 메일 발신 환경·테스트 수신함·토스 테스트 상점 키. 키는 문서나 저장소에 기록하지 않는다.</w:t>
      </w:r>
    </w:p>
    <w:p>
      <w:pPr>
        <w:pStyle w:val="Heading2"/>
      </w:pPr>
      <w:r>
        <w:t>기존 작업과 검증 운영</w:t>
      </w:r>
    </w:p>
    <w:p>
      <w:r>
        <w:t>기존 F19 진행 중 소스를 덮어쓰지 않는다. ADD02는 마이페이지 변경이 안정된 뒤, ADD01은 F29 메일 공통 기반과 충돌 여부를 확인한 뒤, ADD03은 기존 지갑·상점 계약을 확인한 뒤 착수한다. 기존 29개 배치에 자동 삽입하지 않고 별도 추가 작업으로 편성하는 안이다.</w:t>
      </w:r>
    </w:p>
    <w:p>
      <w:r>
        <w:t>DB 검증은 승인된 pluto_f01_20260909_al 및 _restore_check에서만 수행한다. 구현·전체 DB 검사·Chrome QA를 동시에 실행하지 않는다. 관련 실패를 먼저 재현하고 전체 검사 및 독립 심사를 수행한다. 추가 세 건이 F28 이후 반영되면 추가 통합 인수를 별도로 수행한다. 기간은 외부 설정과 확정 범위가 정해진 후 산정한다.</w:t>
      </w:r>
    </w:p>
    <w:p>
      <w:pPr>
        <w:pStyle w:val="Heading2"/>
      </w:pPr>
      <w:r>
        <w:t>근거 자료</w:t>
      </w:r>
    </w:p>
    <w:p>
      <w:r>
        <w:t>프로젝트 기준: 2026년 9월 13일 메인 소스의 auth.service.js, economy.service.js, useMyProfile.js, myPageAssets.js, BloodRecordFrame 및 하위 컴포넌트. 실제 착수 시 병합된 최신 소스와 다시 대조한다.</w:t>
      </w:r>
    </w:p>
    <w:p>
      <w:pPr>
        <w:spacing w:after="60" w:line="220" w:lineRule="exact"/>
      </w:pPr>
      <w:r>
        <w:rPr>
          <w:b/>
          <w:sz w:val="17"/>
        </w:rPr>
        <w:t>[1] 토스페이먼츠 API 키</w:t>
        <w:br/>
      </w:r>
      <w:r>
        <w:rPr>
          <w:sz w:val="16"/>
        </w:rPr>
        <w:t>https://docs.tosspayments.com/reference/using-api/api-keys</w:t>
      </w:r>
    </w:p>
    <w:p>
      <w:pPr>
        <w:spacing w:after="60" w:line="220" w:lineRule="exact"/>
      </w:pPr>
      <w:r>
        <w:rPr>
          <w:b/>
          <w:sz w:val="17"/>
        </w:rPr>
        <w:t>[2] 카드 및 간편결제 통합결제창 연동</w:t>
        <w:br/>
      </w:r>
      <w:r>
        <w:rPr>
          <w:sz w:val="16"/>
        </w:rPr>
        <w:t>https://docs.tosspayments.com/guides/v2/payment-window/integration</w:t>
      </w:r>
    </w:p>
    <w:p>
      <w:pPr>
        <w:spacing w:after="60" w:line="220" w:lineRule="exact"/>
      </w:pPr>
      <w:r>
        <w:rPr>
          <w:b/>
          <w:sz w:val="17"/>
        </w:rPr>
        <w:t>[3] 결제 흐름 이해하기</w:t>
        <w:br/>
      </w:r>
      <w:r>
        <w:rPr>
          <w:sz w:val="16"/>
        </w:rPr>
        <w:t>https://docs.tosspayments.com/guides/v2/get-started/payment-flow</w:t>
      </w:r>
    </w:p>
    <w:p>
      <w:pPr>
        <w:spacing w:after="60" w:line="220" w:lineRule="exact"/>
      </w:pPr>
      <w:r>
        <w:rPr>
          <w:b/>
          <w:sz w:val="17"/>
        </w:rPr>
        <w:t>[4] 인증 및 기타 헤더 설정</w:t>
        <w:br/>
      </w:r>
      <w:r>
        <w:rPr>
          <w:sz w:val="16"/>
        </w:rPr>
        <w:t>https://docs.tosspayments.com/reference/using-api/authorization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  <w:widowControl/>
      <w:snapToGrid w:val="0"/>
    </w:pPr>
    <w:rPr>
      <w:rFonts w:ascii="맑은 고딕" w:hAnsi="맑은 고딕" w:eastAsia="맑은 고딕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2" w:lineRule="auto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2" w:lineRule="auto"/>
      <w:outlineLvl w:val="2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  <w:snapToGrid w:val="0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  <w:snapToGrid w:val="0"/>
    </w:pPr>
    <w:rPr>
      <w:rFonts w:ascii="맑은 고딕" w:hAnsi="맑은 고딕" w:eastAsia="맑은 고딕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Joker 추가 요구사항과 구현 계획</dc:title>
  <dc:subject>회원가입 이메일 인증 피의 기록 지표 정리 토스페이먼츠 테스트 충전</dc:subject>
  <dc:creator>Joker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