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47787" w14:textId="559146C7" w:rsidR="00907F44" w:rsidRPr="00995121" w:rsidRDefault="004F4C33" w:rsidP="004F4C33">
      <w:pPr>
        <w:jc w:val="center"/>
        <w:rPr>
          <w:rFonts w:ascii="Arial" w:hAnsi="Arial" w:cs="Arial"/>
          <w:b/>
          <w:bCs/>
          <w:sz w:val="36"/>
          <w:szCs w:val="36"/>
        </w:rPr>
      </w:pPr>
      <w:r w:rsidRPr="00995121">
        <w:rPr>
          <w:rFonts w:ascii="Arial" w:hAnsi="Arial" w:cs="Arial"/>
          <w:b/>
          <w:bCs/>
          <w:sz w:val="36"/>
          <w:szCs w:val="36"/>
        </w:rPr>
        <w:t xml:space="preserve">Combustion ME 5446 Project </w:t>
      </w:r>
      <w:r w:rsidR="00CE0913">
        <w:rPr>
          <w:rFonts w:ascii="Arial" w:hAnsi="Arial" w:cs="Arial"/>
          <w:b/>
          <w:bCs/>
          <w:sz w:val="36"/>
          <w:szCs w:val="36"/>
        </w:rPr>
        <w:t>3</w:t>
      </w:r>
    </w:p>
    <w:p w14:paraId="51777F3A" w14:textId="088F2BB0" w:rsidR="004F4C33" w:rsidRPr="00995121" w:rsidRDefault="004F4C33" w:rsidP="004F4C33">
      <w:pPr>
        <w:jc w:val="right"/>
        <w:rPr>
          <w:rFonts w:ascii="Arial" w:hAnsi="Arial" w:cs="Arial"/>
          <w:sz w:val="21"/>
          <w:szCs w:val="21"/>
        </w:rPr>
      </w:pPr>
      <w:r w:rsidRPr="00995121">
        <w:rPr>
          <w:rFonts w:ascii="Arial" w:hAnsi="Arial" w:cs="Arial"/>
          <w:sz w:val="21"/>
          <w:szCs w:val="21"/>
        </w:rPr>
        <w:t>Henry Dikeman</w:t>
      </w:r>
    </w:p>
    <w:p w14:paraId="778BC1FF" w14:textId="15DC14CD" w:rsidR="004F4C33" w:rsidRPr="00995121" w:rsidRDefault="004F4C33" w:rsidP="004F4C33">
      <w:pPr>
        <w:jc w:val="right"/>
        <w:rPr>
          <w:rFonts w:ascii="Arial" w:hAnsi="Arial" w:cs="Arial"/>
          <w:sz w:val="21"/>
          <w:szCs w:val="21"/>
        </w:rPr>
      </w:pPr>
      <w:r w:rsidRPr="00995121">
        <w:rPr>
          <w:rFonts w:ascii="Arial" w:hAnsi="Arial" w:cs="Arial"/>
          <w:sz w:val="21"/>
          <w:szCs w:val="21"/>
        </w:rPr>
        <w:t>Student ID: 5305384</w:t>
      </w:r>
    </w:p>
    <w:p w14:paraId="02760D76" w14:textId="47A3CE9A" w:rsidR="004F4C33" w:rsidRPr="00995121" w:rsidRDefault="00CE0913" w:rsidP="004F4C33">
      <w:pPr>
        <w:jc w:val="right"/>
        <w:rPr>
          <w:rFonts w:ascii="Arial" w:hAnsi="Arial" w:cs="Arial"/>
          <w:sz w:val="21"/>
          <w:szCs w:val="21"/>
        </w:rPr>
      </w:pPr>
      <w:r>
        <w:rPr>
          <w:rFonts w:ascii="Arial" w:hAnsi="Arial" w:cs="Arial"/>
          <w:sz w:val="21"/>
          <w:szCs w:val="21"/>
        </w:rPr>
        <w:t>March</w:t>
      </w:r>
      <w:r w:rsidR="00907F44">
        <w:rPr>
          <w:rFonts w:ascii="Arial" w:hAnsi="Arial" w:cs="Arial"/>
          <w:sz w:val="21"/>
          <w:szCs w:val="21"/>
        </w:rPr>
        <w:t xml:space="preserve"> 2</w:t>
      </w:r>
      <w:r w:rsidR="0037317C">
        <w:rPr>
          <w:rFonts w:ascii="Arial" w:hAnsi="Arial" w:cs="Arial"/>
          <w:sz w:val="21"/>
          <w:szCs w:val="21"/>
        </w:rPr>
        <w:t>6</w:t>
      </w:r>
      <w:r w:rsidR="00907F44" w:rsidRPr="00907F44">
        <w:rPr>
          <w:rFonts w:ascii="Arial" w:hAnsi="Arial" w:cs="Arial"/>
          <w:sz w:val="21"/>
          <w:szCs w:val="21"/>
          <w:vertAlign w:val="superscript"/>
        </w:rPr>
        <w:t>th</w:t>
      </w:r>
      <w:r w:rsidR="004F4C33" w:rsidRPr="00995121">
        <w:rPr>
          <w:rFonts w:ascii="Arial" w:hAnsi="Arial" w:cs="Arial"/>
          <w:sz w:val="21"/>
          <w:szCs w:val="21"/>
        </w:rPr>
        <w:t>, 2020</w:t>
      </w:r>
    </w:p>
    <w:p w14:paraId="2E32A8CE" w14:textId="5165C1CA" w:rsidR="004F4C33" w:rsidRPr="00995121" w:rsidRDefault="004F4C33" w:rsidP="004F4C33">
      <w:pPr>
        <w:rPr>
          <w:rFonts w:ascii="Arial" w:hAnsi="Arial" w:cs="Arial"/>
          <w:i/>
          <w:iCs/>
          <w:sz w:val="22"/>
          <w:szCs w:val="22"/>
          <w:u w:val="single"/>
        </w:rPr>
      </w:pPr>
      <w:r w:rsidRPr="00995121">
        <w:rPr>
          <w:rFonts w:ascii="Arial" w:hAnsi="Arial" w:cs="Arial"/>
          <w:i/>
          <w:iCs/>
          <w:sz w:val="22"/>
          <w:szCs w:val="22"/>
          <w:u w:val="single"/>
        </w:rPr>
        <w:t>A. Introduction</w:t>
      </w:r>
    </w:p>
    <w:p w14:paraId="7682CA92" w14:textId="3D7CEC10" w:rsidR="00CE0913" w:rsidRPr="00995121" w:rsidRDefault="00CE0913" w:rsidP="001F4C03">
      <w:pPr>
        <w:jc w:val="both"/>
        <w:rPr>
          <w:rFonts w:ascii="Arial" w:hAnsi="Arial" w:cs="Arial"/>
          <w:sz w:val="22"/>
          <w:szCs w:val="22"/>
        </w:rPr>
      </w:pPr>
      <w:r>
        <w:rPr>
          <w:rFonts w:ascii="Arial" w:hAnsi="Arial" w:cs="Arial"/>
          <w:sz w:val="22"/>
          <w:szCs w:val="22"/>
        </w:rPr>
        <w:t>The mechanics of hydrocarbon detonation shed light on many of the complex processes occurring during a combustion reaction. Modelling the structure and mechanics of detonation are also important in their own right, since hydrocarbon detonation has the potential to be an extremely dangerous event if unexpected. Understanding the detonation process at a microscopic and theoretical level enables researchers and industry engineers to properly understand the safety risk and physical phenomena present due to a hydrocarbon detonation. Additionally, the future of efficient combustive engine design is likely to be reliant upon detonation, and the success of future research is grounded upon a competent understanding of the backbone of detonation mechanism. This report determines the theoretical characteristics of propane-air combustion at a variety of initial conditions and mixing ratios, as well as simulating the induction period for propane-air mixtures at the detonation limits of the mixture.</w:t>
      </w:r>
    </w:p>
    <w:p w14:paraId="4D4F9DF5" w14:textId="026B9AAC" w:rsidR="004F4C33" w:rsidRPr="00995121" w:rsidRDefault="004F4C33" w:rsidP="004F4C33">
      <w:pPr>
        <w:rPr>
          <w:rFonts w:ascii="Arial" w:hAnsi="Arial" w:cs="Arial"/>
          <w:sz w:val="22"/>
          <w:szCs w:val="22"/>
        </w:rPr>
      </w:pPr>
    </w:p>
    <w:p w14:paraId="751963B7" w14:textId="26D3771B" w:rsidR="004F4C33" w:rsidRPr="00995121" w:rsidRDefault="004F4C33" w:rsidP="004F4C33">
      <w:pPr>
        <w:rPr>
          <w:rFonts w:ascii="Arial" w:hAnsi="Arial" w:cs="Arial"/>
          <w:i/>
          <w:iCs/>
          <w:sz w:val="22"/>
          <w:szCs w:val="22"/>
          <w:u w:val="single"/>
        </w:rPr>
      </w:pPr>
      <w:r w:rsidRPr="00995121">
        <w:rPr>
          <w:rFonts w:ascii="Arial" w:hAnsi="Arial" w:cs="Arial"/>
          <w:i/>
          <w:iCs/>
          <w:sz w:val="22"/>
          <w:szCs w:val="22"/>
          <w:u w:val="single"/>
        </w:rPr>
        <w:t>B. Methods</w:t>
      </w:r>
    </w:p>
    <w:p w14:paraId="198CFFFB" w14:textId="0874ACAC" w:rsidR="00446996" w:rsidRPr="00995121" w:rsidRDefault="00CE0913" w:rsidP="00E46216">
      <w:pPr>
        <w:jc w:val="both"/>
        <w:rPr>
          <w:rFonts w:ascii="Arial" w:hAnsi="Arial" w:cs="Arial"/>
          <w:sz w:val="22"/>
          <w:szCs w:val="22"/>
        </w:rPr>
      </w:pPr>
      <w:r>
        <w:rPr>
          <w:rFonts w:ascii="Arial" w:hAnsi="Arial" w:cs="Arial"/>
          <w:sz w:val="22"/>
          <w:szCs w:val="22"/>
        </w:rPr>
        <w:t xml:space="preserve">This report employs the Cantera combustion simulation library as a backbone for most major analysis, including induction time simulation and reaction kinetics simulations. </w:t>
      </w:r>
    </w:p>
    <w:p w14:paraId="3A33D9AB" w14:textId="723245E4" w:rsidR="00CC23B1" w:rsidRPr="00995121" w:rsidRDefault="00CC23B1" w:rsidP="004F4C33">
      <w:pPr>
        <w:rPr>
          <w:rFonts w:ascii="Arial" w:hAnsi="Arial" w:cs="Arial"/>
          <w:sz w:val="22"/>
          <w:szCs w:val="22"/>
        </w:rPr>
      </w:pPr>
    </w:p>
    <w:p w14:paraId="0DB034B1" w14:textId="2DE408DA" w:rsidR="00CC23B1" w:rsidRDefault="00CE0913" w:rsidP="00E46216">
      <w:pPr>
        <w:jc w:val="both"/>
        <w:rPr>
          <w:rFonts w:ascii="Arial" w:hAnsi="Arial" w:cs="Arial"/>
          <w:sz w:val="22"/>
          <w:szCs w:val="22"/>
        </w:rPr>
      </w:pPr>
      <w:r>
        <w:rPr>
          <w:rFonts w:ascii="Arial" w:hAnsi="Arial" w:cs="Arial"/>
          <w:sz w:val="22"/>
          <w:szCs w:val="22"/>
        </w:rPr>
        <w:t>Induction time was determined using a PFR reactor module within the Cantera library, with mechanics dictated by the coupled series of governing equations below:</w:t>
      </w:r>
    </w:p>
    <w:p w14:paraId="7CE73FF9" w14:textId="4E8E3947" w:rsidR="00CB46F8" w:rsidRDefault="00CB46F8" w:rsidP="004F4C33">
      <w:pPr>
        <w:rPr>
          <w:rFonts w:ascii="Arial" w:hAnsi="Arial" w:cs="Arial"/>
          <w:sz w:val="22"/>
          <w:szCs w:val="22"/>
        </w:rPr>
      </w:pPr>
    </w:p>
    <w:tbl>
      <w:tblPr>
        <w:tblStyle w:val="TableGrid"/>
        <w:tblW w:w="0" w:type="auto"/>
        <w:tblLook w:val="04A0" w:firstRow="1" w:lastRow="0" w:firstColumn="1" w:lastColumn="0" w:noHBand="0" w:noVBand="1"/>
      </w:tblPr>
      <w:tblGrid>
        <w:gridCol w:w="2155"/>
        <w:gridCol w:w="2970"/>
        <w:gridCol w:w="4225"/>
      </w:tblGrid>
      <w:tr w:rsidR="00CB46F8" w14:paraId="24825297" w14:textId="77777777" w:rsidTr="00E540A5">
        <w:tc>
          <w:tcPr>
            <w:tcW w:w="2155" w:type="dxa"/>
            <w:tcBorders>
              <w:top w:val="single" w:sz="18" w:space="0" w:color="auto"/>
              <w:left w:val="nil"/>
              <w:bottom w:val="single" w:sz="18" w:space="0" w:color="auto"/>
              <w:right w:val="nil"/>
            </w:tcBorders>
          </w:tcPr>
          <w:p w14:paraId="6C893CD2" w14:textId="74DC5654" w:rsidR="00CB46F8" w:rsidRPr="00A33463" w:rsidRDefault="00CB46F8" w:rsidP="00A33463">
            <w:pPr>
              <w:jc w:val="center"/>
              <w:rPr>
                <w:rFonts w:ascii="Arial" w:hAnsi="Arial" w:cs="Arial"/>
                <w:b/>
                <w:bCs/>
                <w:sz w:val="22"/>
                <w:szCs w:val="22"/>
              </w:rPr>
            </w:pPr>
            <w:r w:rsidRPr="00A33463">
              <w:rPr>
                <w:rFonts w:ascii="Arial" w:hAnsi="Arial" w:cs="Arial"/>
                <w:b/>
                <w:bCs/>
                <w:sz w:val="22"/>
                <w:szCs w:val="22"/>
              </w:rPr>
              <w:t>Balance Equation</w:t>
            </w:r>
          </w:p>
        </w:tc>
        <w:tc>
          <w:tcPr>
            <w:tcW w:w="2970" w:type="dxa"/>
            <w:tcBorders>
              <w:top w:val="single" w:sz="18" w:space="0" w:color="auto"/>
              <w:left w:val="nil"/>
              <w:bottom w:val="single" w:sz="18" w:space="0" w:color="auto"/>
              <w:right w:val="nil"/>
            </w:tcBorders>
          </w:tcPr>
          <w:p w14:paraId="67EF3CEC" w14:textId="211EDBDE" w:rsidR="00CB46F8" w:rsidRPr="00A33463" w:rsidRDefault="00CB46F8" w:rsidP="00A33463">
            <w:pPr>
              <w:jc w:val="center"/>
              <w:rPr>
                <w:rFonts w:ascii="Arial" w:hAnsi="Arial" w:cs="Arial"/>
                <w:b/>
                <w:bCs/>
                <w:sz w:val="22"/>
                <w:szCs w:val="22"/>
              </w:rPr>
            </w:pPr>
            <w:r w:rsidRPr="00A33463">
              <w:rPr>
                <w:rFonts w:ascii="Arial" w:hAnsi="Arial" w:cs="Arial"/>
                <w:b/>
                <w:bCs/>
                <w:sz w:val="22"/>
                <w:szCs w:val="22"/>
              </w:rPr>
              <w:t>PFR</w:t>
            </w:r>
          </w:p>
        </w:tc>
        <w:tc>
          <w:tcPr>
            <w:tcW w:w="4225" w:type="dxa"/>
            <w:tcBorders>
              <w:top w:val="single" w:sz="18" w:space="0" w:color="auto"/>
              <w:left w:val="nil"/>
              <w:bottom w:val="single" w:sz="18" w:space="0" w:color="auto"/>
              <w:right w:val="nil"/>
            </w:tcBorders>
          </w:tcPr>
          <w:p w14:paraId="600114A8" w14:textId="7986FC7F" w:rsidR="00CB46F8" w:rsidRPr="00A33463" w:rsidRDefault="00CB46F8" w:rsidP="00A33463">
            <w:pPr>
              <w:jc w:val="center"/>
              <w:rPr>
                <w:rFonts w:ascii="Arial" w:hAnsi="Arial" w:cs="Arial"/>
                <w:b/>
                <w:bCs/>
                <w:sz w:val="22"/>
                <w:szCs w:val="22"/>
              </w:rPr>
            </w:pPr>
            <w:r w:rsidRPr="00A33463">
              <w:rPr>
                <w:rFonts w:ascii="Arial" w:hAnsi="Arial" w:cs="Arial"/>
                <w:b/>
                <w:bCs/>
                <w:sz w:val="22"/>
                <w:szCs w:val="22"/>
              </w:rPr>
              <w:t>CSTR</w:t>
            </w:r>
          </w:p>
        </w:tc>
      </w:tr>
      <w:tr w:rsidR="00CB46F8" w14:paraId="38E9CEC4" w14:textId="77777777" w:rsidTr="00E540A5">
        <w:trPr>
          <w:trHeight w:val="782"/>
        </w:trPr>
        <w:tc>
          <w:tcPr>
            <w:tcW w:w="2155" w:type="dxa"/>
            <w:tcBorders>
              <w:top w:val="single" w:sz="18" w:space="0" w:color="auto"/>
              <w:left w:val="nil"/>
              <w:right w:val="nil"/>
            </w:tcBorders>
          </w:tcPr>
          <w:p w14:paraId="2A17A94F" w14:textId="77777777" w:rsidR="00797005" w:rsidRPr="00797005" w:rsidRDefault="00797005" w:rsidP="00A33463">
            <w:pPr>
              <w:jc w:val="center"/>
              <w:rPr>
                <w:rFonts w:ascii="Arial" w:hAnsi="Arial" w:cs="Arial"/>
                <w:sz w:val="18"/>
                <w:szCs w:val="18"/>
              </w:rPr>
            </w:pPr>
          </w:p>
          <w:p w14:paraId="36A7315D" w14:textId="35DAE889" w:rsidR="00CB46F8" w:rsidRDefault="00CB46F8" w:rsidP="00A33463">
            <w:pPr>
              <w:jc w:val="center"/>
              <w:rPr>
                <w:rFonts w:ascii="Arial" w:hAnsi="Arial" w:cs="Arial"/>
                <w:sz w:val="22"/>
                <w:szCs w:val="22"/>
              </w:rPr>
            </w:pPr>
            <w:r>
              <w:rPr>
                <w:rFonts w:ascii="Arial" w:hAnsi="Arial" w:cs="Arial"/>
                <w:sz w:val="22"/>
                <w:szCs w:val="22"/>
              </w:rPr>
              <w:t>Mass</w:t>
            </w:r>
          </w:p>
        </w:tc>
        <w:tc>
          <w:tcPr>
            <w:tcW w:w="2970" w:type="dxa"/>
            <w:tcBorders>
              <w:top w:val="single" w:sz="18" w:space="0" w:color="auto"/>
              <w:left w:val="nil"/>
              <w:right w:val="nil"/>
            </w:tcBorders>
          </w:tcPr>
          <w:p w14:paraId="73E1B763" w14:textId="77777777" w:rsidR="00797005" w:rsidRPr="00797005" w:rsidRDefault="00797005" w:rsidP="00A33463">
            <w:pPr>
              <w:jc w:val="center"/>
              <w:rPr>
                <w:rFonts w:ascii="Arial" w:hAnsi="Arial" w:cs="Arial"/>
                <w:sz w:val="11"/>
                <w:szCs w:val="11"/>
              </w:rPr>
            </w:pPr>
          </w:p>
          <w:p w14:paraId="471D93B4" w14:textId="5A4067FA" w:rsidR="00CB46F8" w:rsidRDefault="002149C1" w:rsidP="00A33463">
            <w:pPr>
              <w:jc w:val="center"/>
              <w:rPr>
                <w:rFonts w:ascii="Arial" w:hAnsi="Arial" w:cs="Arial"/>
                <w:sz w:val="22"/>
                <w:szCs w:val="22"/>
              </w:rPr>
            </w:pPr>
            <m:oMathPara>
              <m:oMath>
                <m:f>
                  <m:fPr>
                    <m:ctrlPr>
                      <w:rPr>
                        <w:rFonts w:ascii="Cambria Math" w:hAnsi="Cambria Math" w:cs="Arial"/>
                        <w:i/>
                        <w:sz w:val="22"/>
                        <w:szCs w:val="22"/>
                      </w:rPr>
                    </m:ctrlPr>
                  </m:fPr>
                  <m:num>
                    <m:r>
                      <w:rPr>
                        <w:rFonts w:ascii="Cambria Math" w:hAnsi="Cambria Math" w:cs="Arial"/>
                        <w:sz w:val="22"/>
                        <w:szCs w:val="22"/>
                      </w:rPr>
                      <m:t>d(ρ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r>
                      <w:rPr>
                        <w:rFonts w:ascii="Cambria Math" w:hAnsi="Cambria Math" w:cs="Arial"/>
                        <w:sz w:val="22"/>
                        <w:szCs w:val="22"/>
                      </w:rPr>
                      <m:t>A)</m:t>
                    </m:r>
                  </m:num>
                  <m:den>
                    <m:r>
                      <w:rPr>
                        <w:rFonts w:ascii="Cambria Math" w:hAnsi="Cambria Math" w:cs="Arial"/>
                        <w:sz w:val="22"/>
                        <w:szCs w:val="22"/>
                      </w:rPr>
                      <m:t>dx</m:t>
                    </m:r>
                  </m:den>
                </m:f>
                <m:r>
                  <w:rPr>
                    <w:rFonts w:ascii="Cambria Math" w:hAnsi="Cambria Math" w:cs="Arial"/>
                    <w:sz w:val="22"/>
                    <w:szCs w:val="22"/>
                  </w:rPr>
                  <m:t>=0</m:t>
                </m:r>
              </m:oMath>
            </m:oMathPara>
          </w:p>
        </w:tc>
        <w:tc>
          <w:tcPr>
            <w:tcW w:w="4225" w:type="dxa"/>
            <w:tcBorders>
              <w:top w:val="single" w:sz="18" w:space="0" w:color="auto"/>
              <w:left w:val="nil"/>
              <w:right w:val="nil"/>
            </w:tcBorders>
          </w:tcPr>
          <w:p w14:paraId="6A5B6111" w14:textId="77777777" w:rsidR="00D9154F" w:rsidRPr="00D9154F" w:rsidRDefault="00D9154F" w:rsidP="00D9154F">
            <w:pPr>
              <w:rPr>
                <w:rFonts w:ascii="Arial" w:hAnsi="Arial" w:cs="Arial"/>
                <w:sz w:val="15"/>
                <w:szCs w:val="15"/>
              </w:rPr>
            </w:pPr>
          </w:p>
          <w:p w14:paraId="54B82ED7" w14:textId="33CD69AA" w:rsidR="00CB46F8" w:rsidRDefault="00196CA0" w:rsidP="00A33463">
            <w:pPr>
              <w:jc w:val="center"/>
              <w:rPr>
                <w:rFonts w:ascii="Arial" w:hAnsi="Arial" w:cs="Arial"/>
                <w:sz w:val="22"/>
                <w:szCs w:val="22"/>
              </w:rPr>
            </w:pPr>
            <m:oMathPara>
              <m:oMath>
                <m:r>
                  <w:rPr>
                    <w:rFonts w:ascii="Cambria Math" w:hAnsi="Cambria Math" w:cs="Arial"/>
                    <w:sz w:val="22"/>
                    <w:szCs w:val="22"/>
                  </w:rPr>
                  <m:t>0=</m:t>
                </m:r>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m</m:t>
                        </m:r>
                      </m:e>
                    </m:acc>
                  </m:e>
                  <m:sub>
                    <m:r>
                      <w:rPr>
                        <w:rFonts w:ascii="Cambria Math" w:hAnsi="Cambria Math" w:cs="Arial"/>
                        <w:sz w:val="22"/>
                        <w:szCs w:val="22"/>
                      </w:rPr>
                      <m:t>in</m:t>
                    </m:r>
                  </m:sub>
                </m:sSub>
                <m:r>
                  <w:rPr>
                    <w:rFonts w:ascii="Cambria Math" w:hAnsi="Cambria Math" w:cs="Arial"/>
                    <w:sz w:val="22"/>
                    <w:szCs w:val="22"/>
                  </w:rPr>
                  <m:t>-</m:t>
                </m:r>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m</m:t>
                        </m:r>
                      </m:e>
                    </m:acc>
                  </m:e>
                  <m:sub>
                    <m:r>
                      <w:rPr>
                        <w:rFonts w:ascii="Cambria Math" w:hAnsi="Cambria Math" w:cs="Arial"/>
                        <w:sz w:val="22"/>
                        <w:szCs w:val="22"/>
                      </w:rPr>
                      <m:t>out</m:t>
                    </m:r>
                  </m:sub>
                </m:sSub>
              </m:oMath>
            </m:oMathPara>
          </w:p>
        </w:tc>
      </w:tr>
      <w:tr w:rsidR="00CB46F8" w14:paraId="290F77D9" w14:textId="77777777" w:rsidTr="00E540A5">
        <w:trPr>
          <w:trHeight w:val="890"/>
        </w:trPr>
        <w:tc>
          <w:tcPr>
            <w:tcW w:w="2155" w:type="dxa"/>
            <w:tcBorders>
              <w:left w:val="nil"/>
              <w:right w:val="nil"/>
            </w:tcBorders>
          </w:tcPr>
          <w:p w14:paraId="735F9B6F" w14:textId="77777777" w:rsidR="00797005" w:rsidRDefault="00797005" w:rsidP="00A33463">
            <w:pPr>
              <w:jc w:val="center"/>
              <w:rPr>
                <w:rFonts w:ascii="Arial" w:hAnsi="Arial" w:cs="Arial"/>
                <w:sz w:val="22"/>
                <w:szCs w:val="22"/>
              </w:rPr>
            </w:pPr>
          </w:p>
          <w:p w14:paraId="7CADF4D0" w14:textId="38000228" w:rsidR="00CB46F8" w:rsidRDefault="00A33463" w:rsidP="00A33463">
            <w:pPr>
              <w:jc w:val="center"/>
              <w:rPr>
                <w:rFonts w:ascii="Arial" w:hAnsi="Arial" w:cs="Arial"/>
                <w:sz w:val="22"/>
                <w:szCs w:val="22"/>
              </w:rPr>
            </w:pPr>
            <w:r>
              <w:rPr>
                <w:rFonts w:ascii="Arial" w:hAnsi="Arial" w:cs="Arial"/>
                <w:sz w:val="22"/>
                <w:szCs w:val="22"/>
              </w:rPr>
              <w:t>Species</w:t>
            </w:r>
          </w:p>
        </w:tc>
        <w:tc>
          <w:tcPr>
            <w:tcW w:w="2970" w:type="dxa"/>
            <w:tcBorders>
              <w:left w:val="nil"/>
              <w:right w:val="nil"/>
            </w:tcBorders>
          </w:tcPr>
          <w:p w14:paraId="2F26BA51" w14:textId="77777777" w:rsidR="00797005" w:rsidRPr="00797005" w:rsidRDefault="00797005" w:rsidP="00A33463">
            <w:pPr>
              <w:jc w:val="center"/>
              <w:rPr>
                <w:rFonts w:ascii="Arial" w:hAnsi="Arial" w:cs="Arial"/>
                <w:sz w:val="11"/>
                <w:szCs w:val="11"/>
              </w:rPr>
            </w:pPr>
          </w:p>
          <w:p w14:paraId="3895D7EF" w14:textId="458C36FF" w:rsidR="00CB46F8" w:rsidRDefault="00A33463" w:rsidP="00A33463">
            <w:pPr>
              <w:jc w:val="center"/>
              <w:rPr>
                <w:rFonts w:ascii="Arial" w:hAnsi="Arial" w:cs="Arial"/>
                <w:sz w:val="22"/>
                <w:szCs w:val="22"/>
              </w:rPr>
            </w:pPr>
            <m:oMathPara>
              <m:oMath>
                <m:r>
                  <w:rPr>
                    <w:rFonts w:ascii="Cambria Math" w:hAnsi="Cambria Math" w:cs="Arial"/>
                    <w:sz w:val="22"/>
                    <w:szCs w:val="22"/>
                  </w:rPr>
                  <m:t>(ρ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r>
                      <w:rPr>
                        <w:rFonts w:ascii="Cambria Math" w:hAnsi="Cambria Math" w:cs="Arial"/>
                        <w:sz w:val="22"/>
                        <w:szCs w:val="22"/>
                      </w:rPr>
                      <m:t>)</m:t>
                    </m:r>
                  </m:num>
                  <m:den>
                    <m:r>
                      <w:rPr>
                        <w:rFonts w:ascii="Cambria Math" w:hAnsi="Cambria Math" w:cs="Arial"/>
                        <w:sz w:val="22"/>
                        <w:szCs w:val="22"/>
                      </w:rPr>
                      <m:t>dx</m:t>
                    </m:r>
                  </m:den>
                </m:f>
                <m:r>
                  <w:rPr>
                    <w:rFonts w:ascii="Cambria Math" w:hAnsi="Cambria Math" w:cs="Arial"/>
                    <w:sz w:val="22"/>
                    <w:szCs w:val="22"/>
                  </w:rPr>
                  <m:t>=</m:t>
                </m:r>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oMath>
            </m:oMathPara>
          </w:p>
        </w:tc>
        <w:tc>
          <w:tcPr>
            <w:tcW w:w="4225" w:type="dxa"/>
            <w:tcBorders>
              <w:left w:val="nil"/>
              <w:right w:val="nil"/>
            </w:tcBorders>
          </w:tcPr>
          <w:p w14:paraId="2435F888" w14:textId="77777777" w:rsidR="00797005" w:rsidRPr="00797005" w:rsidRDefault="00797005" w:rsidP="00A33463">
            <w:pPr>
              <w:jc w:val="center"/>
              <w:rPr>
                <w:rFonts w:ascii="Arial" w:hAnsi="Arial" w:cs="Arial"/>
                <w:sz w:val="8"/>
                <w:szCs w:val="8"/>
              </w:rPr>
            </w:pPr>
          </w:p>
          <w:p w14:paraId="6789B5C7" w14:textId="2FE8295B" w:rsidR="00CB46F8" w:rsidRDefault="00196CA0" w:rsidP="00A33463">
            <w:pPr>
              <w:jc w:val="center"/>
              <w:rPr>
                <w:rFonts w:ascii="Arial" w:hAnsi="Arial" w:cs="Arial"/>
                <w:sz w:val="22"/>
                <w:szCs w:val="22"/>
              </w:rPr>
            </w:pPr>
            <m:oMathPara>
              <m:oMath>
                <m:r>
                  <w:rPr>
                    <w:rFonts w:ascii="Cambria Math" w:hAnsi="Cambria Math" w:cs="Arial"/>
                    <w:sz w:val="22"/>
                    <w:szCs w:val="22"/>
                  </w:rPr>
                  <m:t>0=</m:t>
                </m:r>
                <m:f>
                  <m:fPr>
                    <m:ctrlPr>
                      <w:rPr>
                        <w:rFonts w:ascii="Cambria Math" w:hAnsi="Cambria Math" w:cs="Arial"/>
                        <w:i/>
                        <w:sz w:val="22"/>
                        <w:szCs w:val="22"/>
                      </w:rPr>
                    </m:ctrlPr>
                  </m:fPr>
                  <m:num>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m</m:t>
                            </m:r>
                          </m:e>
                        </m:acc>
                      </m:e>
                      <m:sub>
                        <m:r>
                          <w:rPr>
                            <w:rFonts w:ascii="Cambria Math" w:hAnsi="Cambria Math" w:cs="Arial"/>
                            <w:sz w:val="22"/>
                            <w:szCs w:val="22"/>
                          </w:rPr>
                          <m:t>in</m:t>
                        </m:r>
                      </m:sub>
                    </m:sSub>
                  </m:num>
                  <m:den>
                    <m:r>
                      <w:rPr>
                        <w:rFonts w:ascii="Cambria Math" w:hAnsi="Cambria Math" w:cs="Arial"/>
                        <w:sz w:val="22"/>
                        <w:szCs w:val="22"/>
                      </w:rPr>
                      <m:t>ρV</m:t>
                    </m:r>
                  </m:den>
                </m:f>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i,in</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m:t>
                        </m:r>
                      </m:sub>
                    </m:sSub>
                  </m:e>
                </m:d>
                <m:r>
                  <w:rPr>
                    <w:rFonts w:ascii="Cambria Math" w:hAnsi="Cambria Math" w:cs="Arial"/>
                    <w:sz w:val="22"/>
                    <w:szCs w:val="22"/>
                  </w:rPr>
                  <m:t>+</m:t>
                </m:r>
                <m:f>
                  <m:fPr>
                    <m:ctrlPr>
                      <w:rPr>
                        <w:rFonts w:ascii="Cambria Math" w:hAnsi="Cambria Math" w:cs="Arial"/>
                        <w:i/>
                        <w:sz w:val="22"/>
                        <w:szCs w:val="22"/>
                      </w:rPr>
                    </m:ctrlPr>
                  </m:fPr>
                  <m:num>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num>
                  <m:den>
                    <m:r>
                      <w:rPr>
                        <w:rFonts w:ascii="Cambria Math" w:hAnsi="Cambria Math" w:cs="Arial"/>
                        <w:sz w:val="22"/>
                        <w:szCs w:val="22"/>
                      </w:rPr>
                      <m:t>ρ</m:t>
                    </m:r>
                  </m:den>
                </m:f>
              </m:oMath>
            </m:oMathPara>
          </w:p>
        </w:tc>
      </w:tr>
      <w:tr w:rsidR="00CB46F8" w14:paraId="73ED6338" w14:textId="77777777" w:rsidTr="00E540A5">
        <w:trPr>
          <w:trHeight w:val="1601"/>
        </w:trPr>
        <w:tc>
          <w:tcPr>
            <w:tcW w:w="2155" w:type="dxa"/>
            <w:tcBorders>
              <w:left w:val="nil"/>
              <w:right w:val="nil"/>
            </w:tcBorders>
          </w:tcPr>
          <w:p w14:paraId="284968FC" w14:textId="77777777" w:rsidR="00797005" w:rsidRDefault="00797005" w:rsidP="00A33463">
            <w:pPr>
              <w:jc w:val="center"/>
              <w:rPr>
                <w:rFonts w:ascii="Arial" w:hAnsi="Arial" w:cs="Arial"/>
                <w:sz w:val="22"/>
                <w:szCs w:val="22"/>
              </w:rPr>
            </w:pPr>
          </w:p>
          <w:p w14:paraId="6862F93A" w14:textId="77777777" w:rsidR="00797005" w:rsidRDefault="00797005" w:rsidP="00A33463">
            <w:pPr>
              <w:jc w:val="center"/>
              <w:rPr>
                <w:rFonts w:ascii="Arial" w:hAnsi="Arial" w:cs="Arial"/>
                <w:sz w:val="22"/>
                <w:szCs w:val="22"/>
              </w:rPr>
            </w:pPr>
          </w:p>
          <w:p w14:paraId="51759087" w14:textId="234D5282" w:rsidR="00CB46F8" w:rsidRDefault="00A33463" w:rsidP="00A33463">
            <w:pPr>
              <w:jc w:val="center"/>
              <w:rPr>
                <w:rFonts w:ascii="Arial" w:hAnsi="Arial" w:cs="Arial"/>
                <w:sz w:val="22"/>
                <w:szCs w:val="22"/>
              </w:rPr>
            </w:pPr>
            <w:r>
              <w:rPr>
                <w:rFonts w:ascii="Arial" w:hAnsi="Arial" w:cs="Arial"/>
                <w:sz w:val="22"/>
                <w:szCs w:val="22"/>
              </w:rPr>
              <w:t>Energy</w:t>
            </w:r>
          </w:p>
        </w:tc>
        <w:tc>
          <w:tcPr>
            <w:tcW w:w="2970" w:type="dxa"/>
            <w:tcBorders>
              <w:left w:val="nil"/>
              <w:right w:val="nil"/>
            </w:tcBorders>
          </w:tcPr>
          <w:p w14:paraId="087EF764" w14:textId="77777777" w:rsidR="00797005" w:rsidRPr="00797005" w:rsidRDefault="00797005" w:rsidP="00A33463">
            <w:pPr>
              <w:jc w:val="center"/>
              <w:rPr>
                <w:rFonts w:ascii="Arial" w:hAnsi="Arial" w:cs="Arial"/>
                <w:sz w:val="11"/>
                <w:szCs w:val="11"/>
              </w:rPr>
            </w:pPr>
          </w:p>
          <w:p w14:paraId="26367CF0" w14:textId="7BC67B8E" w:rsidR="00CB46F8" w:rsidRDefault="002149C1" w:rsidP="00A33463">
            <w:pPr>
              <w:jc w:val="center"/>
              <w:rPr>
                <w:rFonts w:ascii="Arial" w:hAnsi="Arial" w:cs="Arial"/>
                <w:sz w:val="22"/>
                <w:szCs w:val="22"/>
              </w:rPr>
            </w:pPr>
            <m:oMathPara>
              <m:oMath>
                <m:d>
                  <m:dPr>
                    <m:ctrlPr>
                      <w:rPr>
                        <w:rFonts w:ascii="Cambria Math" w:hAnsi="Cambria Math" w:cs="Arial"/>
                        <w:i/>
                        <w:sz w:val="22"/>
                        <w:szCs w:val="22"/>
                      </w:rPr>
                    </m:ctrlPr>
                  </m:dPr>
                  <m:e>
                    <m:r>
                      <w:rPr>
                        <w:rFonts w:ascii="Cambria Math" w:hAnsi="Cambria Math" w:cs="Arial"/>
                        <w:sz w:val="22"/>
                        <w:szCs w:val="22"/>
                      </w:rPr>
                      <m:t>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Pmix</m:t>
                        </m:r>
                      </m:sub>
                    </m:sSub>
                  </m:e>
                </m:d>
                <m:f>
                  <m:fPr>
                    <m:ctrlPr>
                      <w:rPr>
                        <w:rFonts w:ascii="Cambria Math" w:hAnsi="Cambria Math" w:cs="Arial"/>
                        <w:i/>
                        <w:sz w:val="22"/>
                        <w:szCs w:val="22"/>
                      </w:rPr>
                    </m:ctrlPr>
                  </m:fPr>
                  <m:num>
                    <m:r>
                      <w:rPr>
                        <w:rFonts w:ascii="Cambria Math" w:hAnsi="Cambria Math" w:cs="Arial"/>
                        <w:sz w:val="22"/>
                        <w:szCs w:val="22"/>
                      </w:rPr>
                      <m:t>dT</m:t>
                    </m:r>
                  </m:num>
                  <m:den>
                    <m:r>
                      <w:rPr>
                        <w:rFonts w:ascii="Cambria Math" w:hAnsi="Cambria Math" w:cs="Arial"/>
                        <w:sz w:val="22"/>
                        <w:szCs w:val="22"/>
                      </w:rPr>
                      <m:t>dx</m:t>
                    </m:r>
                  </m:den>
                </m:f>
                <m:r>
                  <w:rPr>
                    <w:rFonts w:ascii="Cambria Math" w:hAnsi="Cambria Math" w:cs="Arial"/>
                    <w:sz w:val="22"/>
                    <w:szCs w:val="22"/>
                  </w:rPr>
                  <m:t>=</m:t>
                </m:r>
                <m:sSubSup>
                  <m:sSubSupPr>
                    <m:ctrlPr>
                      <w:rPr>
                        <w:rFonts w:ascii="Cambria Math" w:hAnsi="Cambria Math" w:cs="Arial"/>
                        <w:i/>
                        <w:sz w:val="22"/>
                        <w:szCs w:val="22"/>
                      </w:rPr>
                    </m:ctrlPr>
                  </m:sSubSupPr>
                  <m:e>
                    <m:acc>
                      <m:accPr>
                        <m:chr m:val="̇"/>
                        <m:ctrlPr>
                          <w:rPr>
                            <w:rFonts w:ascii="Cambria Math" w:hAnsi="Cambria Math" w:cs="Arial"/>
                            <w:i/>
                            <w:sz w:val="22"/>
                            <w:szCs w:val="22"/>
                          </w:rPr>
                        </m:ctrlPr>
                      </m:accPr>
                      <m:e>
                        <m:r>
                          <w:rPr>
                            <w:rFonts w:ascii="Cambria Math" w:hAnsi="Cambria Math" w:cs="Arial"/>
                            <w:sz w:val="22"/>
                            <w:szCs w:val="22"/>
                          </w:rPr>
                          <m:t>q</m:t>
                        </m:r>
                      </m:e>
                    </m:acc>
                  </m:e>
                  <m:sub>
                    <m:r>
                      <w:rPr>
                        <w:rFonts w:ascii="Cambria Math" w:hAnsi="Cambria Math" w:cs="Arial"/>
                        <w:sz w:val="22"/>
                        <w:szCs w:val="22"/>
                      </w:rPr>
                      <m:t>i</m:t>
                    </m:r>
                  </m:sub>
                  <m:sup>
                    <m:r>
                      <w:rPr>
                        <w:rFonts w:ascii="Cambria Math" w:hAnsi="Cambria Math" w:cs="Arial"/>
                        <w:sz w:val="22"/>
                        <w:szCs w:val="22"/>
                      </w:rPr>
                      <m:t>'''</m:t>
                    </m:r>
                  </m:sup>
                </m:sSubSup>
                <m:r>
                  <w:rPr>
                    <w:rFonts w:ascii="Cambria Math" w:hAnsi="Cambria Math" w:cs="Arial"/>
                    <w:sz w:val="22"/>
                    <w:szCs w:val="22"/>
                  </w:rPr>
                  <m:t>-</m:t>
                </m:r>
                <m:nary>
                  <m:naryPr>
                    <m:chr m:val="∑"/>
                    <m:limLoc m:val="undOvr"/>
                    <m:supHide m:val="1"/>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e>
                </m:nary>
              </m:oMath>
            </m:oMathPara>
          </w:p>
        </w:tc>
        <w:tc>
          <w:tcPr>
            <w:tcW w:w="4225" w:type="dxa"/>
            <w:tcBorders>
              <w:left w:val="nil"/>
              <w:right w:val="nil"/>
            </w:tcBorders>
          </w:tcPr>
          <w:p w14:paraId="42A3A279" w14:textId="77777777" w:rsidR="00797005" w:rsidRPr="00797005" w:rsidRDefault="00797005" w:rsidP="00A33463">
            <w:pPr>
              <w:jc w:val="center"/>
              <w:rPr>
                <w:rFonts w:ascii="Arial" w:hAnsi="Arial" w:cs="Arial"/>
                <w:sz w:val="13"/>
                <w:szCs w:val="13"/>
              </w:rPr>
            </w:pPr>
          </w:p>
          <w:p w14:paraId="1363BA43" w14:textId="1747B0F2" w:rsidR="00CB46F8" w:rsidRDefault="00A6584E" w:rsidP="00A33463">
            <w:pPr>
              <w:jc w:val="center"/>
              <w:rPr>
                <w:rFonts w:ascii="Arial" w:hAnsi="Arial" w:cs="Arial"/>
                <w:sz w:val="22"/>
                <w:szCs w:val="22"/>
              </w:rPr>
            </w:pPr>
            <m:oMathPara>
              <m:oMath>
                <m:r>
                  <w:rPr>
                    <w:rFonts w:ascii="Cambria Math" w:hAnsi="Cambria Math" w:cs="Arial"/>
                    <w:sz w:val="22"/>
                    <w:szCs w:val="22"/>
                  </w:rPr>
                  <m:t>0=</m:t>
                </m:r>
                <m:f>
                  <m:fPr>
                    <m:ctrlPr>
                      <w:rPr>
                        <w:rFonts w:ascii="Cambria Math" w:hAnsi="Cambria Math" w:cs="Arial"/>
                        <w:i/>
                        <w:sz w:val="22"/>
                        <w:szCs w:val="22"/>
                      </w:rPr>
                    </m:ctrlPr>
                  </m:fPr>
                  <m:num>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m</m:t>
                            </m:r>
                          </m:e>
                        </m:acc>
                      </m:e>
                      <m:sub>
                        <m:r>
                          <w:rPr>
                            <w:rFonts w:ascii="Cambria Math" w:hAnsi="Cambria Math" w:cs="Arial"/>
                            <w:sz w:val="22"/>
                            <w:szCs w:val="22"/>
                          </w:rPr>
                          <m:t>in</m:t>
                        </m:r>
                      </m:sub>
                    </m:sSub>
                  </m:num>
                  <m:den>
                    <m:r>
                      <w:rPr>
                        <w:rFonts w:ascii="Cambria Math" w:hAnsi="Cambria Math" w:cs="Arial"/>
                        <w:sz w:val="22"/>
                        <w:szCs w:val="22"/>
                      </w:rPr>
                      <m:t>ρV</m:t>
                    </m:r>
                  </m:den>
                </m:f>
                <m:nary>
                  <m:naryPr>
                    <m:chr m:val="∑"/>
                    <m:limLoc m:val="undOvr"/>
                    <m:supHide m:val="1"/>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i,in</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i,in</m:t>
                        </m:r>
                      </m:sub>
                    </m:sSub>
                    <m:r>
                      <w:rPr>
                        <w:rFonts w:ascii="Cambria Math" w:hAnsi="Cambria Math" w:cs="Arial"/>
                        <w:sz w:val="22"/>
                        <w:szCs w:val="22"/>
                      </w:rPr>
                      <m:t>-h)</m:t>
                    </m:r>
                  </m:e>
                </m:nary>
                <m:r>
                  <w:rPr>
                    <w:rFonts w:ascii="Cambria Math" w:hAnsi="Cambria Math" w:cs="Arial"/>
                    <w:sz w:val="22"/>
                    <w:szCs w:val="22"/>
                  </w:rPr>
                  <m:t>-</m:t>
                </m:r>
                <m:f>
                  <m:fPr>
                    <m:ctrlPr>
                      <w:rPr>
                        <w:rFonts w:ascii="Cambria Math" w:hAnsi="Cambria Math" w:cs="Arial"/>
                        <w:i/>
                        <w:sz w:val="22"/>
                        <w:szCs w:val="22"/>
                      </w:rPr>
                    </m:ctrlPr>
                  </m:fPr>
                  <m:num>
                    <m:nary>
                      <m:naryPr>
                        <m:chr m:val="∑"/>
                        <m:limLoc m:val="undOvr"/>
                        <m:ctrlPr>
                          <w:rPr>
                            <w:rFonts w:ascii="Cambria Math" w:hAnsi="Cambria Math" w:cs="Arial"/>
                            <w:i/>
                            <w:sz w:val="22"/>
                            <w:szCs w:val="22"/>
                          </w:rPr>
                        </m:ctrlPr>
                      </m:naryPr>
                      <m:sub>
                        <m:r>
                          <w:rPr>
                            <w:rFonts w:ascii="Cambria Math" w:hAnsi="Cambria Math" w:cs="Arial"/>
                            <w:sz w:val="22"/>
                            <w:szCs w:val="22"/>
                          </w:rPr>
                          <m:t>i</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ω</m:t>
                                </m:r>
                              </m:e>
                            </m:acc>
                          </m:e>
                          <m:sub>
                            <m:r>
                              <w:rPr>
                                <w:rFonts w:ascii="Cambria Math" w:hAnsi="Cambria Math" w:cs="Arial"/>
                                <w:sz w:val="22"/>
                                <w:szCs w:val="22"/>
                              </w:rPr>
                              <m:t>i</m:t>
                            </m:r>
                          </m:sub>
                        </m:sSub>
                        <m:sSub>
                          <m:sSubPr>
                            <m:ctrlPr>
                              <w:rPr>
                                <w:rFonts w:ascii="Cambria Math" w:hAnsi="Cambria Math" w:cs="Arial"/>
                                <w:i/>
                                <w:sz w:val="22"/>
                                <w:szCs w:val="22"/>
                              </w:rPr>
                            </m:ctrlPr>
                          </m:sSubPr>
                          <m:e>
                            <m:acc>
                              <m:accPr>
                                <m:chr m:val="̅"/>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e>
                    </m:nary>
                  </m:num>
                  <m:den>
                    <m:r>
                      <w:rPr>
                        <w:rFonts w:ascii="Cambria Math" w:hAnsi="Cambria Math" w:cs="Arial"/>
                        <w:sz w:val="22"/>
                        <w:szCs w:val="22"/>
                      </w:rPr>
                      <m:t>ρ</m:t>
                    </m:r>
                  </m:den>
                </m:f>
                <m:r>
                  <w:rPr>
                    <w:rFonts w:ascii="Cambria Math" w:hAnsi="Cambria Math" w:cs="Arial"/>
                    <w:sz w:val="22"/>
                    <w:szCs w:val="22"/>
                  </w:rPr>
                  <m:t>+</m:t>
                </m:r>
                <m:f>
                  <m:fPr>
                    <m:ctrlPr>
                      <w:rPr>
                        <w:rFonts w:ascii="Cambria Math" w:hAnsi="Cambria Math" w:cs="Arial"/>
                        <w:i/>
                        <w:sz w:val="22"/>
                        <w:szCs w:val="22"/>
                      </w:rPr>
                    </m:ctrlPr>
                  </m:fPr>
                  <m:num>
                    <m:sSubSup>
                      <m:sSubSupPr>
                        <m:ctrlPr>
                          <w:rPr>
                            <w:rFonts w:ascii="Cambria Math" w:hAnsi="Cambria Math" w:cs="Arial"/>
                            <w:i/>
                            <w:sz w:val="22"/>
                            <w:szCs w:val="22"/>
                          </w:rPr>
                        </m:ctrlPr>
                      </m:sSubSupPr>
                      <m:e>
                        <m:acc>
                          <m:accPr>
                            <m:chr m:val="̇"/>
                            <m:ctrlPr>
                              <w:rPr>
                                <w:rFonts w:ascii="Cambria Math" w:hAnsi="Cambria Math" w:cs="Arial"/>
                                <w:i/>
                                <w:sz w:val="22"/>
                                <w:szCs w:val="22"/>
                              </w:rPr>
                            </m:ctrlPr>
                          </m:accPr>
                          <m:e>
                            <m:r>
                              <w:rPr>
                                <w:rFonts w:ascii="Cambria Math" w:hAnsi="Cambria Math" w:cs="Arial"/>
                                <w:sz w:val="22"/>
                                <w:szCs w:val="22"/>
                              </w:rPr>
                              <m:t>q</m:t>
                            </m:r>
                          </m:e>
                        </m:acc>
                      </m:e>
                      <m:sub>
                        <m:r>
                          <w:rPr>
                            <w:rFonts w:ascii="Cambria Math" w:hAnsi="Cambria Math" w:cs="Arial"/>
                            <w:sz w:val="22"/>
                            <w:szCs w:val="22"/>
                          </w:rPr>
                          <m:t>i</m:t>
                        </m:r>
                      </m:sub>
                      <m:sup>
                        <m:r>
                          <w:rPr>
                            <w:rFonts w:ascii="Cambria Math" w:hAnsi="Cambria Math" w:cs="Arial"/>
                            <w:sz w:val="22"/>
                            <w:szCs w:val="22"/>
                          </w:rPr>
                          <m:t>'''</m:t>
                        </m:r>
                      </m:sup>
                    </m:sSubSup>
                  </m:num>
                  <m:den>
                    <m:r>
                      <w:rPr>
                        <w:rFonts w:ascii="Cambria Math" w:hAnsi="Cambria Math" w:cs="Arial"/>
                        <w:sz w:val="22"/>
                        <w:szCs w:val="22"/>
                      </w:rPr>
                      <m:t>ρ</m:t>
                    </m:r>
                  </m:den>
                </m:f>
              </m:oMath>
            </m:oMathPara>
          </w:p>
        </w:tc>
      </w:tr>
      <w:tr w:rsidR="002F520C" w14:paraId="4249BA08" w14:textId="77777777" w:rsidTr="00E540A5">
        <w:trPr>
          <w:trHeight w:val="989"/>
        </w:trPr>
        <w:tc>
          <w:tcPr>
            <w:tcW w:w="2155" w:type="dxa"/>
            <w:tcBorders>
              <w:left w:val="nil"/>
              <w:right w:val="nil"/>
            </w:tcBorders>
          </w:tcPr>
          <w:p w14:paraId="15453F70" w14:textId="77777777" w:rsidR="00797005" w:rsidRDefault="00797005" w:rsidP="00A33463">
            <w:pPr>
              <w:jc w:val="center"/>
              <w:rPr>
                <w:rFonts w:ascii="Arial" w:hAnsi="Arial" w:cs="Arial"/>
                <w:sz w:val="22"/>
                <w:szCs w:val="22"/>
              </w:rPr>
            </w:pPr>
          </w:p>
          <w:p w14:paraId="33D65D12" w14:textId="15A926E1" w:rsidR="002F520C" w:rsidRDefault="002F520C" w:rsidP="00A33463">
            <w:pPr>
              <w:jc w:val="center"/>
              <w:rPr>
                <w:rFonts w:ascii="Arial" w:hAnsi="Arial" w:cs="Arial"/>
                <w:sz w:val="22"/>
                <w:szCs w:val="22"/>
              </w:rPr>
            </w:pPr>
            <w:r>
              <w:rPr>
                <w:rFonts w:ascii="Arial" w:hAnsi="Arial" w:cs="Arial"/>
                <w:sz w:val="22"/>
                <w:szCs w:val="22"/>
              </w:rPr>
              <w:t>Momentum</w:t>
            </w:r>
          </w:p>
        </w:tc>
        <w:tc>
          <w:tcPr>
            <w:tcW w:w="2970" w:type="dxa"/>
            <w:tcBorders>
              <w:left w:val="nil"/>
              <w:right w:val="nil"/>
            </w:tcBorders>
          </w:tcPr>
          <w:p w14:paraId="457431D9" w14:textId="77777777" w:rsidR="00797005" w:rsidRPr="00797005" w:rsidRDefault="00797005" w:rsidP="00A33463">
            <w:pPr>
              <w:jc w:val="center"/>
              <w:rPr>
                <w:rFonts w:ascii="Arial" w:hAnsi="Arial" w:cs="Arial"/>
                <w:sz w:val="15"/>
                <w:szCs w:val="15"/>
              </w:rPr>
            </w:pPr>
          </w:p>
          <w:p w14:paraId="41BD5095" w14:textId="7A024DEB" w:rsidR="002F520C" w:rsidRDefault="002149C1" w:rsidP="00A33463">
            <w:pPr>
              <w:jc w:val="center"/>
              <w:rPr>
                <w:rFonts w:ascii="Arial" w:hAnsi="Arial" w:cs="Arial"/>
                <w:sz w:val="22"/>
                <w:szCs w:val="22"/>
              </w:rPr>
            </w:pPr>
            <m:oMathPara>
              <m:oMath>
                <m:d>
                  <m:dPr>
                    <m:ctrlPr>
                      <w:rPr>
                        <w:rFonts w:ascii="Cambria Math" w:hAnsi="Cambria Math" w:cs="Arial"/>
                        <w:i/>
                        <w:sz w:val="22"/>
                        <w:szCs w:val="22"/>
                      </w:rPr>
                    </m:ctrlPr>
                  </m:dPr>
                  <m:e>
                    <m:r>
                      <w:rPr>
                        <w:rFonts w:ascii="Cambria Math" w:hAnsi="Cambria Math" w:cs="Arial"/>
                        <w:sz w:val="22"/>
                        <w:szCs w:val="22"/>
                      </w:rPr>
                      <m:t>ρ</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r>
                      <w:rPr>
                        <w:rFonts w:ascii="Cambria Math" w:hAnsi="Cambria Math" w:cs="Arial"/>
                        <w:sz w:val="22"/>
                        <w:szCs w:val="22"/>
                      </w:rPr>
                      <m:t>A</m:t>
                    </m:r>
                  </m:e>
                </m:d>
                <m:f>
                  <m:fPr>
                    <m:ctrlPr>
                      <w:rPr>
                        <w:rFonts w:ascii="Cambria Math" w:hAnsi="Cambria Math" w:cs="Arial"/>
                        <w:i/>
                        <w:sz w:val="22"/>
                        <w:szCs w:val="22"/>
                      </w:rPr>
                    </m:ctrlPr>
                  </m:fPr>
                  <m:num>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x</m:t>
                        </m:r>
                      </m:sub>
                    </m:sSub>
                  </m:num>
                  <m:den>
                    <m:r>
                      <w:rPr>
                        <w:rFonts w:ascii="Cambria Math" w:hAnsi="Cambria Math" w:cs="Arial"/>
                        <w:sz w:val="22"/>
                        <w:szCs w:val="22"/>
                      </w:rPr>
                      <m:t>dx</m:t>
                    </m:r>
                  </m:den>
                </m:f>
                <m:r>
                  <w:rPr>
                    <w:rFonts w:ascii="Cambria Math" w:hAnsi="Cambria Math" w:cs="Arial"/>
                    <w:sz w:val="22"/>
                    <w:szCs w:val="22"/>
                  </w:rPr>
                  <m:t>=-A</m:t>
                </m:r>
                <m:f>
                  <m:fPr>
                    <m:ctrlPr>
                      <w:rPr>
                        <w:rFonts w:ascii="Cambria Math" w:hAnsi="Cambria Math" w:cs="Arial"/>
                        <w:i/>
                        <w:sz w:val="22"/>
                        <w:szCs w:val="22"/>
                      </w:rPr>
                    </m:ctrlPr>
                  </m:fPr>
                  <m:num>
                    <m:r>
                      <w:rPr>
                        <w:rFonts w:ascii="Cambria Math" w:hAnsi="Cambria Math" w:cs="Arial"/>
                        <w:sz w:val="22"/>
                        <w:szCs w:val="22"/>
                      </w:rPr>
                      <m:t>dp</m:t>
                    </m:r>
                  </m:num>
                  <m:den>
                    <m:r>
                      <w:rPr>
                        <w:rFonts w:ascii="Cambria Math" w:hAnsi="Cambria Math" w:cs="Arial"/>
                        <w:sz w:val="22"/>
                        <w:szCs w:val="22"/>
                      </w:rPr>
                      <m:t>dx</m:t>
                    </m:r>
                  </m:den>
                </m:f>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w</m:t>
                    </m:r>
                  </m:sub>
                </m:sSub>
                <m:r>
                  <w:rPr>
                    <w:rFonts w:ascii="Cambria Math" w:hAnsi="Cambria Math" w:cs="Arial"/>
                    <w:sz w:val="22"/>
                    <w:szCs w:val="22"/>
                  </w:rPr>
                  <m:t>P</m:t>
                </m:r>
              </m:oMath>
            </m:oMathPara>
          </w:p>
        </w:tc>
        <w:tc>
          <w:tcPr>
            <w:tcW w:w="4225" w:type="dxa"/>
            <w:tcBorders>
              <w:left w:val="nil"/>
              <w:right w:val="nil"/>
            </w:tcBorders>
          </w:tcPr>
          <w:p w14:paraId="57D35836" w14:textId="77777777" w:rsidR="004003AA" w:rsidRDefault="004003AA" w:rsidP="00A33463">
            <w:pPr>
              <w:jc w:val="center"/>
              <w:rPr>
                <w:rFonts w:ascii="Arial" w:hAnsi="Arial" w:cs="Arial"/>
                <w:sz w:val="22"/>
                <w:szCs w:val="22"/>
              </w:rPr>
            </w:pPr>
          </w:p>
          <w:p w14:paraId="16C94431" w14:textId="38F98796" w:rsidR="002F520C" w:rsidRDefault="00797005" w:rsidP="00A33463">
            <w:pPr>
              <w:jc w:val="center"/>
              <w:rPr>
                <w:rFonts w:ascii="Arial" w:hAnsi="Arial" w:cs="Arial"/>
                <w:sz w:val="22"/>
                <w:szCs w:val="22"/>
              </w:rPr>
            </w:pPr>
            <w:r>
              <w:rPr>
                <w:rFonts w:ascii="Arial" w:hAnsi="Arial" w:cs="Arial"/>
                <w:sz w:val="22"/>
                <w:szCs w:val="22"/>
              </w:rPr>
              <w:t>[</w:t>
            </w:r>
            <w:r w:rsidR="004466F7">
              <w:rPr>
                <w:rFonts w:ascii="Arial" w:hAnsi="Arial" w:cs="Arial"/>
                <w:sz w:val="22"/>
                <w:szCs w:val="22"/>
              </w:rPr>
              <w:t>--</w:t>
            </w:r>
            <w:r>
              <w:rPr>
                <w:rFonts w:ascii="Arial" w:hAnsi="Arial" w:cs="Arial"/>
                <w:sz w:val="22"/>
                <w:szCs w:val="22"/>
              </w:rPr>
              <w:t>]</w:t>
            </w:r>
          </w:p>
        </w:tc>
      </w:tr>
    </w:tbl>
    <w:p w14:paraId="4233E040" w14:textId="5E27FDAD" w:rsidR="00CB46F8" w:rsidRPr="00995121" w:rsidRDefault="00CB46F8" w:rsidP="004F4C33">
      <w:pPr>
        <w:rPr>
          <w:rFonts w:ascii="Arial" w:hAnsi="Arial" w:cs="Arial"/>
          <w:sz w:val="22"/>
          <w:szCs w:val="22"/>
        </w:rPr>
      </w:pPr>
    </w:p>
    <w:p w14:paraId="4C80237A" w14:textId="77902187" w:rsidR="00924139" w:rsidRDefault="00924139" w:rsidP="009534F8">
      <w:pPr>
        <w:jc w:val="both"/>
        <w:rPr>
          <w:rFonts w:ascii="Arial" w:hAnsi="Arial" w:cs="Arial"/>
          <w:sz w:val="22"/>
          <w:szCs w:val="22"/>
        </w:rPr>
      </w:pPr>
      <w:r>
        <w:rPr>
          <w:rFonts w:ascii="Arial" w:hAnsi="Arial" w:cs="Arial"/>
          <w:sz w:val="22"/>
          <w:szCs w:val="22"/>
        </w:rPr>
        <w:t>This sets of equations are integrated with respect to time to yield an estimation of the progression of the reaction as a function of residence time. This residence time is used as a proxy for the autoinduction time for the gas mixture used as the entry mixture, since this ideal reactor model neglects axial mixing and assumes uniform plug flow.</w:t>
      </w:r>
      <w:r w:rsidR="00386133">
        <w:rPr>
          <w:rFonts w:ascii="Arial" w:hAnsi="Arial" w:cs="Arial"/>
          <w:sz w:val="22"/>
          <w:szCs w:val="22"/>
        </w:rPr>
        <w:t xml:space="preserve"> Autoinduction period, for the purposes of this report, is considered a rise in temperature of 150 K from the PFR entrance condition of the gas mixture.</w:t>
      </w:r>
    </w:p>
    <w:p w14:paraId="5B70B09C" w14:textId="77777777" w:rsidR="00924139" w:rsidRDefault="00924139" w:rsidP="009534F8">
      <w:pPr>
        <w:jc w:val="both"/>
        <w:rPr>
          <w:rFonts w:ascii="Arial" w:hAnsi="Arial" w:cs="Arial"/>
          <w:sz w:val="22"/>
          <w:szCs w:val="22"/>
        </w:rPr>
      </w:pPr>
    </w:p>
    <w:p w14:paraId="55C393FA" w14:textId="6A5B50E2" w:rsidR="00DF1361" w:rsidRDefault="00CE0913" w:rsidP="009534F8">
      <w:pPr>
        <w:jc w:val="both"/>
        <w:rPr>
          <w:rFonts w:ascii="Arial" w:hAnsi="Arial" w:cs="Arial"/>
          <w:sz w:val="22"/>
          <w:szCs w:val="22"/>
        </w:rPr>
      </w:pPr>
      <w:r>
        <w:rPr>
          <w:rFonts w:ascii="Arial" w:hAnsi="Arial" w:cs="Arial"/>
          <w:sz w:val="22"/>
          <w:szCs w:val="22"/>
        </w:rPr>
        <w:lastRenderedPageBreak/>
        <w:t xml:space="preserve">To </w:t>
      </w:r>
      <w:r w:rsidR="00924139">
        <w:rPr>
          <w:rFonts w:ascii="Arial" w:hAnsi="Arial" w:cs="Arial"/>
          <w:sz w:val="22"/>
          <w:szCs w:val="22"/>
        </w:rPr>
        <w:t xml:space="preserve">construct the chemical source term estimation for this simulation, the </w:t>
      </w:r>
      <w:hyperlink r:id="rId5" w:history="1">
        <w:r w:rsidR="00924139" w:rsidRPr="009534F8">
          <w:rPr>
            <w:rStyle w:val="Hyperlink"/>
            <w:rFonts w:ascii="Arial" w:hAnsi="Arial" w:cs="Arial"/>
            <w:sz w:val="22"/>
            <w:szCs w:val="22"/>
          </w:rPr>
          <w:t>GRI-30 reaction mechanism from UC-Berkeley</w:t>
        </w:r>
      </w:hyperlink>
      <w:r w:rsidR="00924139">
        <w:rPr>
          <w:rFonts w:ascii="Arial" w:hAnsi="Arial" w:cs="Arial"/>
          <w:sz w:val="22"/>
          <w:szCs w:val="22"/>
        </w:rPr>
        <w:t xml:space="preserve"> was used to evaluate hydrocarbon combustion. </w:t>
      </w:r>
    </w:p>
    <w:p w14:paraId="4C3ADB92" w14:textId="6A972146" w:rsidR="00924139" w:rsidRDefault="00924139" w:rsidP="009534F8">
      <w:pPr>
        <w:jc w:val="both"/>
        <w:rPr>
          <w:rFonts w:ascii="Arial" w:hAnsi="Arial" w:cs="Arial"/>
          <w:sz w:val="22"/>
          <w:szCs w:val="22"/>
        </w:rPr>
      </w:pPr>
      <w:r>
        <w:rPr>
          <w:rFonts w:ascii="Arial" w:hAnsi="Arial" w:cs="Arial"/>
          <w:sz w:val="22"/>
          <w:szCs w:val="22"/>
        </w:rPr>
        <w:t xml:space="preserve">In addition to the core Cantera package, the </w:t>
      </w:r>
      <w:proofErr w:type="spellStart"/>
      <w:r>
        <w:rPr>
          <w:rFonts w:ascii="Arial" w:hAnsi="Arial" w:cs="Arial"/>
          <w:sz w:val="22"/>
          <w:szCs w:val="22"/>
        </w:rPr>
        <w:t>SDToolbox</w:t>
      </w:r>
      <w:proofErr w:type="spellEnd"/>
      <w:r>
        <w:rPr>
          <w:rFonts w:ascii="Arial" w:hAnsi="Arial" w:cs="Arial"/>
          <w:sz w:val="22"/>
          <w:szCs w:val="22"/>
        </w:rPr>
        <w:t xml:space="preserve"> module from </w:t>
      </w:r>
      <w:proofErr w:type="spellStart"/>
      <w:r>
        <w:rPr>
          <w:rFonts w:ascii="Arial" w:hAnsi="Arial" w:cs="Arial"/>
          <w:sz w:val="22"/>
          <w:szCs w:val="22"/>
        </w:rPr>
        <w:t>CalTech</w:t>
      </w:r>
      <w:proofErr w:type="spellEnd"/>
      <w:r>
        <w:rPr>
          <w:rFonts w:ascii="Arial" w:hAnsi="Arial" w:cs="Arial"/>
          <w:sz w:val="22"/>
          <w:szCs w:val="22"/>
        </w:rPr>
        <w:t xml:space="preserve"> was used to determine the gas condition after the detonation shock and subsequent reaction. This toolbox contains several useful functions for detonation analysis, all of which were implemented in Python using the robust Cantera equilibrium and kinetics solvers as a structural backbone with the SciPy package performing much of the nonlinear optimizations necessary.</w:t>
      </w:r>
    </w:p>
    <w:p w14:paraId="42E468E0" w14:textId="4F98292C" w:rsidR="00924139" w:rsidRDefault="00924139" w:rsidP="009534F8">
      <w:pPr>
        <w:jc w:val="both"/>
        <w:rPr>
          <w:rFonts w:ascii="Arial" w:hAnsi="Arial" w:cs="Arial"/>
          <w:sz w:val="22"/>
          <w:szCs w:val="22"/>
        </w:rPr>
      </w:pPr>
    </w:p>
    <w:p w14:paraId="768A186F" w14:textId="69AF8EA4" w:rsidR="00386133" w:rsidRDefault="00924139" w:rsidP="009534F8">
      <w:pPr>
        <w:jc w:val="both"/>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SDToolbox</w:t>
      </w:r>
      <w:proofErr w:type="spellEnd"/>
      <w:r>
        <w:rPr>
          <w:rFonts w:ascii="Arial" w:hAnsi="Arial" w:cs="Arial"/>
          <w:sz w:val="22"/>
          <w:szCs w:val="22"/>
        </w:rPr>
        <w:t xml:space="preserve"> library includes functions for solution of the C</w:t>
      </w:r>
      <w:r w:rsidR="00386133">
        <w:rPr>
          <w:rFonts w:ascii="Arial" w:hAnsi="Arial" w:cs="Arial"/>
          <w:sz w:val="22"/>
          <w:szCs w:val="22"/>
        </w:rPr>
        <w:t>hapman-</w:t>
      </w:r>
      <w:proofErr w:type="spellStart"/>
      <w:r w:rsidR="00386133">
        <w:rPr>
          <w:rFonts w:ascii="Arial" w:hAnsi="Arial" w:cs="Arial"/>
          <w:sz w:val="22"/>
          <w:szCs w:val="22"/>
        </w:rPr>
        <w:t>Jouget</w:t>
      </w:r>
      <w:proofErr w:type="spellEnd"/>
      <w:r>
        <w:rPr>
          <w:rFonts w:ascii="Arial" w:hAnsi="Arial" w:cs="Arial"/>
          <w:sz w:val="22"/>
          <w:szCs w:val="22"/>
        </w:rPr>
        <w:t xml:space="preserve"> </w:t>
      </w:r>
      <w:r w:rsidR="00386133">
        <w:rPr>
          <w:rFonts w:ascii="Arial" w:hAnsi="Arial" w:cs="Arial"/>
          <w:sz w:val="22"/>
          <w:szCs w:val="22"/>
        </w:rPr>
        <w:t xml:space="preserve">(CJ) </w:t>
      </w:r>
      <w:r>
        <w:rPr>
          <w:rFonts w:ascii="Arial" w:hAnsi="Arial" w:cs="Arial"/>
          <w:sz w:val="22"/>
          <w:szCs w:val="22"/>
        </w:rPr>
        <w:t xml:space="preserve">detonation speed, calculation of the speed of sound at any gas condition, and physical gas conditions following a </w:t>
      </w:r>
      <w:r w:rsidR="00386133">
        <w:rPr>
          <w:rFonts w:ascii="Arial" w:hAnsi="Arial" w:cs="Arial"/>
          <w:sz w:val="22"/>
          <w:szCs w:val="22"/>
        </w:rPr>
        <w:t xml:space="preserve">pressure </w:t>
      </w:r>
      <w:r>
        <w:rPr>
          <w:rFonts w:ascii="Arial" w:hAnsi="Arial" w:cs="Arial"/>
          <w:sz w:val="22"/>
          <w:szCs w:val="22"/>
        </w:rPr>
        <w:t xml:space="preserve">shock. While the Python implementation of these utilities is less robust than their Cantera counterparts, the ability to seamlessly integrate detonation analysis with standard Cantera equilibrium and reaction kinetics simulations is </w:t>
      </w:r>
      <w:r w:rsidR="00386133">
        <w:rPr>
          <w:rFonts w:ascii="Arial" w:hAnsi="Arial" w:cs="Arial"/>
          <w:sz w:val="22"/>
          <w:szCs w:val="22"/>
        </w:rPr>
        <w:t>extremely practical for detonation analysis.</w:t>
      </w:r>
    </w:p>
    <w:p w14:paraId="1D83F195" w14:textId="69D7AFE0" w:rsidR="00386133" w:rsidRDefault="00386133" w:rsidP="009534F8">
      <w:pPr>
        <w:jc w:val="both"/>
        <w:rPr>
          <w:rFonts w:ascii="Arial" w:hAnsi="Arial" w:cs="Arial"/>
          <w:sz w:val="22"/>
          <w:szCs w:val="22"/>
        </w:rPr>
      </w:pPr>
    </w:p>
    <w:p w14:paraId="128320E9" w14:textId="2EBD9A06" w:rsidR="00386133" w:rsidRDefault="00164CE9" w:rsidP="009534F8">
      <w:pPr>
        <w:jc w:val="both"/>
        <w:rPr>
          <w:rFonts w:ascii="Arial" w:hAnsi="Arial" w:cs="Arial"/>
          <w:sz w:val="22"/>
          <w:szCs w:val="22"/>
        </w:rPr>
      </w:pPr>
      <w:r>
        <w:rPr>
          <w:rFonts w:ascii="Arial" w:hAnsi="Arial" w:cs="Arial"/>
          <w:sz w:val="22"/>
          <w:szCs w:val="22"/>
        </w:rPr>
        <w:t xml:space="preserve">Detonation can be considered an equilibrium process between heat released upon combustion and the pressure wave that this reaction generates and is sustained by. </w:t>
      </w:r>
      <w:r w:rsidR="00386133">
        <w:rPr>
          <w:rFonts w:ascii="Arial" w:hAnsi="Arial" w:cs="Arial"/>
          <w:sz w:val="22"/>
          <w:szCs w:val="22"/>
        </w:rPr>
        <w:t>Calculation of the detonation speed is reliant upon the simultaneous solution of the following sets of equations:</w:t>
      </w:r>
    </w:p>
    <w:p w14:paraId="49CEB6DB" w14:textId="1A49C7D4" w:rsidR="00386133" w:rsidRDefault="00386133" w:rsidP="009534F8">
      <w:pPr>
        <w:jc w:val="both"/>
        <w:rPr>
          <w:rFonts w:ascii="Arial" w:hAnsi="Arial" w:cs="Arial"/>
          <w:sz w:val="22"/>
          <w:szCs w:val="22"/>
        </w:rPr>
      </w:pPr>
    </w:p>
    <w:p w14:paraId="1B83C272" w14:textId="28C74C42" w:rsidR="00386133" w:rsidRDefault="00386133" w:rsidP="009534F8">
      <w:pPr>
        <w:jc w:val="both"/>
        <w:rPr>
          <w:rFonts w:ascii="Arial" w:hAnsi="Arial" w:cs="Arial"/>
          <w:sz w:val="22"/>
          <w:szCs w:val="22"/>
        </w:rPr>
      </w:pPr>
    </w:p>
    <w:p w14:paraId="00C54657" w14:textId="27F7558C" w:rsidR="00386133" w:rsidRDefault="00386133" w:rsidP="009534F8">
      <w:pPr>
        <w:jc w:val="both"/>
        <w:rPr>
          <w:rFonts w:ascii="Arial" w:hAnsi="Arial" w:cs="Arial"/>
          <w:sz w:val="22"/>
          <w:szCs w:val="22"/>
        </w:rPr>
      </w:pPr>
      <w:r>
        <w:rPr>
          <w:rFonts w:ascii="Arial" w:hAnsi="Arial" w:cs="Arial"/>
          <w:sz w:val="22"/>
          <w:szCs w:val="22"/>
        </w:rPr>
        <w:t xml:space="preserve">However, since there exist in this set of equations 6 unknowns and only 5 equations, a final specification must be made that the product flowrate downstream of the detonation zone has a Mach number equal to 1. This condition generates a unique solution for detonation, which is referred to as the upper CJ point. This point is also the unique point where the Rayleigh mass transfer relationship is tangent to the </w:t>
      </w:r>
      <w:proofErr w:type="spellStart"/>
      <w:r>
        <w:rPr>
          <w:rFonts w:ascii="Arial" w:hAnsi="Arial" w:cs="Arial"/>
          <w:sz w:val="22"/>
          <w:szCs w:val="22"/>
        </w:rPr>
        <w:t>Hugoniot</w:t>
      </w:r>
      <w:proofErr w:type="spellEnd"/>
      <w:r>
        <w:rPr>
          <w:rFonts w:ascii="Arial" w:hAnsi="Arial" w:cs="Arial"/>
          <w:sz w:val="22"/>
          <w:szCs w:val="22"/>
        </w:rPr>
        <w:t xml:space="preserve"> heat release relationship.</w:t>
      </w:r>
    </w:p>
    <w:p w14:paraId="5699AE81" w14:textId="60C8721D" w:rsidR="00386133" w:rsidRDefault="00386133" w:rsidP="009534F8">
      <w:pPr>
        <w:jc w:val="both"/>
        <w:rPr>
          <w:rFonts w:ascii="Arial" w:hAnsi="Arial" w:cs="Arial"/>
          <w:sz w:val="22"/>
          <w:szCs w:val="22"/>
        </w:rPr>
      </w:pPr>
    </w:p>
    <w:p w14:paraId="04CEA7EB" w14:textId="61803C11" w:rsidR="00386133" w:rsidRDefault="00386133" w:rsidP="009534F8">
      <w:pPr>
        <w:jc w:val="both"/>
        <w:rPr>
          <w:rFonts w:ascii="Arial" w:hAnsi="Arial" w:cs="Arial"/>
          <w:sz w:val="22"/>
          <w:szCs w:val="22"/>
        </w:rPr>
      </w:pPr>
      <w:r>
        <w:rPr>
          <w:rFonts w:ascii="Arial" w:hAnsi="Arial" w:cs="Arial"/>
          <w:sz w:val="22"/>
          <w:szCs w:val="22"/>
        </w:rPr>
        <w:t xml:space="preserve">Solution of this set of now 6 equations and 6 unknowns is performed by the </w:t>
      </w:r>
      <w:proofErr w:type="spellStart"/>
      <w:r>
        <w:rPr>
          <w:rFonts w:ascii="Arial" w:hAnsi="Arial" w:cs="Arial"/>
          <w:sz w:val="22"/>
          <w:szCs w:val="22"/>
        </w:rPr>
        <w:t>SDToolbox</w:t>
      </w:r>
      <w:proofErr w:type="spellEnd"/>
      <w:r>
        <w:rPr>
          <w:rFonts w:ascii="Arial" w:hAnsi="Arial" w:cs="Arial"/>
          <w:sz w:val="22"/>
          <w:szCs w:val="22"/>
        </w:rPr>
        <w:t xml:space="preserve"> </w:t>
      </w:r>
      <w:r w:rsidR="00C82D3C">
        <w:rPr>
          <w:rFonts w:ascii="Arial" w:hAnsi="Arial" w:cs="Arial"/>
          <w:sz w:val="22"/>
          <w:szCs w:val="22"/>
        </w:rPr>
        <w:t>library and</w:t>
      </w:r>
      <w:r>
        <w:rPr>
          <w:rFonts w:ascii="Arial" w:hAnsi="Arial" w:cs="Arial"/>
          <w:sz w:val="22"/>
          <w:szCs w:val="22"/>
        </w:rPr>
        <w:t xml:space="preserve"> yields a detonation condition considered to be the </w:t>
      </w:r>
      <w:r w:rsidR="00C82D3C">
        <w:rPr>
          <w:rFonts w:ascii="Arial" w:hAnsi="Arial" w:cs="Arial"/>
          <w:sz w:val="22"/>
          <w:szCs w:val="22"/>
        </w:rPr>
        <w:t>minimum and equilibrium</w:t>
      </w:r>
      <w:r>
        <w:rPr>
          <w:rFonts w:ascii="Arial" w:hAnsi="Arial" w:cs="Arial"/>
          <w:sz w:val="22"/>
          <w:szCs w:val="22"/>
        </w:rPr>
        <w:t xml:space="preserve"> detonation speed at a given initial condition</w:t>
      </w:r>
      <w:r w:rsidR="00C82D3C">
        <w:rPr>
          <w:rFonts w:ascii="Arial" w:hAnsi="Arial" w:cs="Arial"/>
          <w:sz w:val="22"/>
          <w:szCs w:val="22"/>
        </w:rPr>
        <w:t>.</w:t>
      </w:r>
    </w:p>
    <w:p w14:paraId="5DDDE37C" w14:textId="77777777" w:rsidR="00DF1361" w:rsidRDefault="00DF1361" w:rsidP="009534F8">
      <w:pPr>
        <w:jc w:val="both"/>
        <w:rPr>
          <w:rFonts w:ascii="Arial" w:hAnsi="Arial" w:cs="Arial"/>
          <w:sz w:val="22"/>
          <w:szCs w:val="22"/>
        </w:rPr>
      </w:pPr>
    </w:p>
    <w:p w14:paraId="59C20B17" w14:textId="66BA7CDF" w:rsidR="001C1805" w:rsidRPr="00924139" w:rsidRDefault="009534F8" w:rsidP="009534F8">
      <w:pPr>
        <w:jc w:val="both"/>
        <w:rPr>
          <w:rFonts w:ascii="Arial" w:hAnsi="Arial" w:cs="Arial"/>
          <w:color w:val="000000" w:themeColor="text1"/>
          <w:sz w:val="22"/>
          <w:szCs w:val="22"/>
          <w:highlight w:val="yellow"/>
        </w:rPr>
      </w:pPr>
      <w:r w:rsidRPr="00924139">
        <w:rPr>
          <w:rFonts w:ascii="Arial" w:hAnsi="Arial" w:cs="Arial"/>
          <w:color w:val="000000" w:themeColor="text1"/>
          <w:sz w:val="22"/>
          <w:szCs w:val="22"/>
          <w:highlight w:val="yellow"/>
        </w:rPr>
        <w:t xml:space="preserve">To determine the solution of these sets of coupled nonlinear </w:t>
      </w:r>
      <w:r w:rsidR="00592639" w:rsidRPr="00924139">
        <w:rPr>
          <w:rFonts w:ascii="Arial" w:hAnsi="Arial" w:cs="Arial"/>
          <w:color w:val="000000" w:themeColor="text1"/>
          <w:sz w:val="22"/>
          <w:szCs w:val="22"/>
          <w:highlight w:val="yellow"/>
        </w:rPr>
        <w:t xml:space="preserve">differential </w:t>
      </w:r>
      <w:r w:rsidRPr="00924139">
        <w:rPr>
          <w:rFonts w:ascii="Arial" w:hAnsi="Arial" w:cs="Arial"/>
          <w:color w:val="000000" w:themeColor="text1"/>
          <w:sz w:val="22"/>
          <w:szCs w:val="22"/>
          <w:highlight w:val="yellow"/>
        </w:rPr>
        <w:t xml:space="preserve">equations, Cantera </w:t>
      </w:r>
      <w:r w:rsidR="007F3999" w:rsidRPr="00924139">
        <w:rPr>
          <w:rFonts w:ascii="Arial" w:hAnsi="Arial" w:cs="Arial"/>
          <w:color w:val="000000" w:themeColor="text1"/>
          <w:sz w:val="22"/>
          <w:szCs w:val="22"/>
          <w:highlight w:val="yellow"/>
        </w:rPr>
        <w:t>uses the CVODES solver from the SUNDIALS package, implemented in C++, to integrate the system of stiff ODEs above</w:t>
      </w:r>
      <w:r w:rsidRPr="00924139">
        <w:rPr>
          <w:rFonts w:ascii="Arial" w:hAnsi="Arial" w:cs="Arial"/>
          <w:color w:val="000000" w:themeColor="text1"/>
          <w:sz w:val="22"/>
          <w:szCs w:val="22"/>
          <w:highlight w:val="yellow"/>
        </w:rPr>
        <w:t xml:space="preserve">. Cantera </w:t>
      </w:r>
      <w:r w:rsidR="007F3999" w:rsidRPr="00924139">
        <w:rPr>
          <w:rFonts w:ascii="Arial" w:hAnsi="Arial" w:cs="Arial"/>
          <w:color w:val="000000" w:themeColor="text1"/>
          <w:sz w:val="22"/>
          <w:szCs w:val="22"/>
          <w:highlight w:val="yellow"/>
        </w:rPr>
        <w:t xml:space="preserve">also </w:t>
      </w:r>
      <w:r w:rsidRPr="00924139">
        <w:rPr>
          <w:rFonts w:ascii="Arial" w:hAnsi="Arial" w:cs="Arial"/>
          <w:color w:val="000000" w:themeColor="text1"/>
          <w:sz w:val="22"/>
          <w:szCs w:val="22"/>
          <w:highlight w:val="yellow"/>
        </w:rPr>
        <w:t xml:space="preserve">provides tools to convert experimental mechanism and thermodynamic files of many formats to a Cantera-compatible file format. In this report, PFR modelling utilized the most recent </w:t>
      </w:r>
      <w:hyperlink r:id="rId6" w:history="1">
        <w:r w:rsidRPr="00924139">
          <w:rPr>
            <w:rStyle w:val="Hyperlink"/>
            <w:rFonts w:ascii="Arial" w:hAnsi="Arial" w:cs="Arial"/>
            <w:color w:val="000000" w:themeColor="text1"/>
            <w:sz w:val="22"/>
            <w:szCs w:val="22"/>
            <w:highlight w:val="yellow"/>
          </w:rPr>
          <w:t>University of California-San Diego (UCSD) combustion mechanism</w:t>
        </w:r>
      </w:hyperlink>
      <w:r w:rsidRPr="00924139">
        <w:rPr>
          <w:rFonts w:ascii="Arial" w:hAnsi="Arial" w:cs="Arial"/>
          <w:color w:val="000000" w:themeColor="text1"/>
          <w:sz w:val="22"/>
          <w:szCs w:val="22"/>
          <w:highlight w:val="yellow"/>
        </w:rPr>
        <w:t xml:space="preserve"> while CSTR modelling was performed using the traditional </w:t>
      </w:r>
      <w:hyperlink r:id="rId7" w:history="1">
        <w:r w:rsidRPr="00924139">
          <w:rPr>
            <w:rStyle w:val="Hyperlink"/>
            <w:rFonts w:ascii="Arial" w:hAnsi="Arial" w:cs="Arial"/>
            <w:color w:val="000000" w:themeColor="text1"/>
            <w:sz w:val="22"/>
            <w:szCs w:val="22"/>
            <w:highlight w:val="yellow"/>
          </w:rPr>
          <w:t>GRI-30 reaction mechanism from UC-Berkeley</w:t>
        </w:r>
      </w:hyperlink>
      <w:r w:rsidRPr="00924139">
        <w:rPr>
          <w:rFonts w:ascii="Arial" w:hAnsi="Arial" w:cs="Arial"/>
          <w:color w:val="000000" w:themeColor="text1"/>
          <w:sz w:val="22"/>
          <w:szCs w:val="22"/>
          <w:highlight w:val="yellow"/>
        </w:rPr>
        <w:t xml:space="preserve">. </w:t>
      </w:r>
    </w:p>
    <w:p w14:paraId="655643ED" w14:textId="3978CF16" w:rsidR="00657F16" w:rsidRPr="00924139" w:rsidRDefault="00657F16" w:rsidP="009534F8">
      <w:pPr>
        <w:jc w:val="both"/>
        <w:rPr>
          <w:rFonts w:ascii="Arial" w:hAnsi="Arial" w:cs="Arial"/>
          <w:color w:val="000000" w:themeColor="text1"/>
          <w:sz w:val="22"/>
          <w:szCs w:val="22"/>
          <w:highlight w:val="yellow"/>
        </w:rPr>
      </w:pPr>
    </w:p>
    <w:p w14:paraId="6AAD5FB9" w14:textId="142BFA55" w:rsidR="00657F16" w:rsidRPr="00924139" w:rsidRDefault="00657F16" w:rsidP="009534F8">
      <w:pPr>
        <w:jc w:val="both"/>
        <w:rPr>
          <w:rFonts w:ascii="Arial" w:hAnsi="Arial" w:cs="Arial"/>
          <w:color w:val="000000" w:themeColor="text1"/>
          <w:sz w:val="22"/>
          <w:szCs w:val="22"/>
          <w:highlight w:val="yellow"/>
        </w:rPr>
      </w:pPr>
      <w:r w:rsidRPr="00924139">
        <w:rPr>
          <w:rFonts w:ascii="Arial" w:hAnsi="Arial" w:cs="Arial"/>
          <w:color w:val="000000" w:themeColor="text1"/>
          <w:sz w:val="22"/>
          <w:szCs w:val="22"/>
          <w:highlight w:val="yellow"/>
        </w:rPr>
        <w:t>To implement these reactor models, a reaction network is generated and initialized with a gas of the desired composition, temperature, and pressure</w:t>
      </w:r>
      <w:r w:rsidR="00B344E1" w:rsidRPr="00924139">
        <w:rPr>
          <w:rFonts w:ascii="Arial" w:hAnsi="Arial" w:cs="Arial"/>
          <w:color w:val="000000" w:themeColor="text1"/>
          <w:sz w:val="22"/>
          <w:szCs w:val="22"/>
          <w:highlight w:val="yellow"/>
        </w:rPr>
        <w:t xml:space="preserve"> using the Cantera </w:t>
      </w:r>
      <w:proofErr w:type="spellStart"/>
      <w:r w:rsidR="00B344E1" w:rsidRPr="00924139">
        <w:rPr>
          <w:rFonts w:ascii="Arial" w:hAnsi="Arial" w:cs="Arial"/>
          <w:i/>
          <w:iCs/>
          <w:color w:val="000000" w:themeColor="text1"/>
          <w:sz w:val="22"/>
          <w:szCs w:val="22"/>
          <w:highlight w:val="yellow"/>
        </w:rPr>
        <w:t>ReactorNetwork</w:t>
      </w:r>
      <w:proofErr w:type="spellEnd"/>
      <w:r w:rsidR="00B344E1" w:rsidRPr="00924139">
        <w:rPr>
          <w:rFonts w:ascii="Arial" w:hAnsi="Arial" w:cs="Arial"/>
          <w:color w:val="000000" w:themeColor="text1"/>
          <w:sz w:val="22"/>
          <w:szCs w:val="22"/>
          <w:highlight w:val="yellow"/>
        </w:rPr>
        <w:t xml:space="preserve"> object.</w:t>
      </w:r>
    </w:p>
    <w:p w14:paraId="4E39F262" w14:textId="77777777" w:rsidR="001C1805" w:rsidRPr="00924139" w:rsidRDefault="001C1805" w:rsidP="004F4C33">
      <w:pPr>
        <w:rPr>
          <w:rFonts w:ascii="Arial" w:hAnsi="Arial" w:cs="Arial"/>
          <w:color w:val="000000" w:themeColor="text1"/>
          <w:sz w:val="22"/>
          <w:szCs w:val="22"/>
          <w:highlight w:val="yellow"/>
        </w:rPr>
      </w:pPr>
    </w:p>
    <w:p w14:paraId="42ED5A54" w14:textId="6F2BC7E2" w:rsidR="002C30FE" w:rsidRPr="00924139" w:rsidRDefault="003660A1" w:rsidP="00ED4047">
      <w:pPr>
        <w:jc w:val="both"/>
        <w:rPr>
          <w:rFonts w:ascii="Arial" w:hAnsi="Arial" w:cs="Arial"/>
          <w:color w:val="000000" w:themeColor="text1"/>
          <w:sz w:val="22"/>
          <w:szCs w:val="22"/>
          <w:highlight w:val="yellow"/>
        </w:rPr>
      </w:pPr>
      <w:r w:rsidRPr="00924139">
        <w:rPr>
          <w:rFonts w:ascii="Arial" w:hAnsi="Arial" w:cs="Arial"/>
          <w:color w:val="000000" w:themeColor="text1"/>
          <w:sz w:val="22"/>
          <w:szCs w:val="22"/>
          <w:highlight w:val="yellow"/>
        </w:rPr>
        <w:t>PFR and CSTR models are assumed to be ideal</w:t>
      </w:r>
      <w:r w:rsidR="002C040C" w:rsidRPr="00924139">
        <w:rPr>
          <w:rFonts w:ascii="Arial" w:hAnsi="Arial" w:cs="Arial"/>
          <w:color w:val="000000" w:themeColor="text1"/>
          <w:sz w:val="22"/>
          <w:szCs w:val="22"/>
          <w:highlight w:val="yellow"/>
        </w:rPr>
        <w:t xml:space="preserve"> and adiabatic</w:t>
      </w:r>
      <w:r w:rsidRPr="00924139">
        <w:rPr>
          <w:rFonts w:ascii="Arial" w:hAnsi="Arial" w:cs="Arial"/>
          <w:color w:val="000000" w:themeColor="text1"/>
          <w:sz w:val="22"/>
          <w:szCs w:val="22"/>
          <w:highlight w:val="yellow"/>
        </w:rPr>
        <w:t xml:space="preserve">, which involves different assumptions for each type of reactor; </w:t>
      </w:r>
      <w:r w:rsidR="00B344E1" w:rsidRPr="00924139">
        <w:rPr>
          <w:rFonts w:ascii="Arial" w:hAnsi="Arial" w:cs="Arial"/>
          <w:color w:val="000000" w:themeColor="text1"/>
          <w:sz w:val="22"/>
          <w:szCs w:val="22"/>
          <w:highlight w:val="yellow"/>
        </w:rPr>
        <w:t xml:space="preserve">in the PFR, </w:t>
      </w:r>
      <w:r w:rsidRPr="00924139">
        <w:rPr>
          <w:rFonts w:ascii="Arial" w:hAnsi="Arial" w:cs="Arial"/>
          <w:color w:val="000000" w:themeColor="text1"/>
          <w:sz w:val="22"/>
          <w:szCs w:val="22"/>
          <w:highlight w:val="yellow"/>
        </w:rPr>
        <w:t xml:space="preserve">axial mixing, </w:t>
      </w:r>
      <w:r w:rsidR="00592639" w:rsidRPr="00924139">
        <w:rPr>
          <w:rFonts w:ascii="Arial" w:hAnsi="Arial" w:cs="Arial"/>
          <w:color w:val="000000" w:themeColor="text1"/>
          <w:sz w:val="22"/>
          <w:szCs w:val="22"/>
          <w:highlight w:val="yellow"/>
        </w:rPr>
        <w:t>flow</w:t>
      </w:r>
      <w:r w:rsidRPr="00924139">
        <w:rPr>
          <w:rFonts w:ascii="Arial" w:hAnsi="Arial" w:cs="Arial"/>
          <w:color w:val="000000" w:themeColor="text1"/>
          <w:sz w:val="22"/>
          <w:szCs w:val="22"/>
          <w:highlight w:val="yellow"/>
        </w:rPr>
        <w:t xml:space="preserve"> velocity gradients, and heat loss to environment are assumed to be negligible, and CSTR reactors are assumed to be homogen</w:t>
      </w:r>
      <w:r w:rsidR="00D63B0F" w:rsidRPr="00924139">
        <w:rPr>
          <w:rFonts w:ascii="Arial" w:hAnsi="Arial" w:cs="Arial"/>
          <w:color w:val="000000" w:themeColor="text1"/>
          <w:sz w:val="22"/>
          <w:szCs w:val="22"/>
          <w:highlight w:val="yellow"/>
        </w:rPr>
        <w:t>e</w:t>
      </w:r>
      <w:r w:rsidRPr="00924139">
        <w:rPr>
          <w:rFonts w:ascii="Arial" w:hAnsi="Arial" w:cs="Arial"/>
          <w:color w:val="000000" w:themeColor="text1"/>
          <w:sz w:val="22"/>
          <w:szCs w:val="22"/>
          <w:highlight w:val="yellow"/>
        </w:rPr>
        <w:t>ous with respect to temperature and composition as well as adiabatic</w:t>
      </w:r>
      <w:r w:rsidR="006569F7" w:rsidRPr="00924139">
        <w:rPr>
          <w:rFonts w:ascii="Arial" w:hAnsi="Arial" w:cs="Arial"/>
          <w:color w:val="000000" w:themeColor="text1"/>
          <w:sz w:val="22"/>
          <w:szCs w:val="22"/>
          <w:highlight w:val="yellow"/>
        </w:rPr>
        <w:t xml:space="preserve"> with no heat loss to the environment</w:t>
      </w:r>
      <w:r w:rsidRPr="00924139">
        <w:rPr>
          <w:rFonts w:ascii="Arial" w:hAnsi="Arial" w:cs="Arial"/>
          <w:color w:val="000000" w:themeColor="text1"/>
          <w:sz w:val="22"/>
          <w:szCs w:val="22"/>
          <w:highlight w:val="yellow"/>
        </w:rPr>
        <w:t xml:space="preserve">. For the purposes of this report, all CSTRs were </w:t>
      </w:r>
      <w:r w:rsidR="00592639" w:rsidRPr="00924139">
        <w:rPr>
          <w:rFonts w:ascii="Arial" w:hAnsi="Arial" w:cs="Arial"/>
          <w:color w:val="000000" w:themeColor="text1"/>
          <w:sz w:val="22"/>
          <w:szCs w:val="22"/>
          <w:highlight w:val="yellow"/>
        </w:rPr>
        <w:t>evaluate</w:t>
      </w:r>
      <w:r w:rsidRPr="00924139">
        <w:rPr>
          <w:rFonts w:ascii="Arial" w:hAnsi="Arial" w:cs="Arial"/>
          <w:color w:val="000000" w:themeColor="text1"/>
          <w:sz w:val="22"/>
          <w:szCs w:val="22"/>
          <w:highlight w:val="yellow"/>
        </w:rPr>
        <w:t>d at steady state condition</w:t>
      </w:r>
      <w:r w:rsidR="00D74494" w:rsidRPr="00924139">
        <w:rPr>
          <w:rFonts w:ascii="Arial" w:hAnsi="Arial" w:cs="Arial"/>
          <w:color w:val="000000" w:themeColor="text1"/>
          <w:sz w:val="22"/>
          <w:szCs w:val="22"/>
          <w:highlight w:val="yellow"/>
        </w:rPr>
        <w:t xml:space="preserve">, meaning that </w:t>
      </w:r>
      <w:r w:rsidR="001D5CD7" w:rsidRPr="00924139">
        <w:rPr>
          <w:rFonts w:ascii="Arial" w:hAnsi="Arial" w:cs="Arial"/>
          <w:color w:val="000000" w:themeColor="text1"/>
          <w:sz w:val="22"/>
          <w:szCs w:val="22"/>
          <w:highlight w:val="yellow"/>
        </w:rPr>
        <w:t xml:space="preserve">the </w:t>
      </w:r>
      <w:r w:rsidR="00D74494" w:rsidRPr="00924139">
        <w:rPr>
          <w:rFonts w:ascii="Arial" w:hAnsi="Arial" w:cs="Arial"/>
          <w:color w:val="000000" w:themeColor="text1"/>
          <w:sz w:val="22"/>
          <w:szCs w:val="22"/>
          <w:highlight w:val="yellow"/>
        </w:rPr>
        <w:t>outlet conditions of the reactor have no time dependence</w:t>
      </w:r>
      <w:r w:rsidRPr="00924139">
        <w:rPr>
          <w:rFonts w:ascii="Arial" w:hAnsi="Arial" w:cs="Arial"/>
          <w:color w:val="000000" w:themeColor="text1"/>
          <w:sz w:val="22"/>
          <w:szCs w:val="22"/>
          <w:highlight w:val="yellow"/>
        </w:rPr>
        <w:t>.</w:t>
      </w:r>
      <w:r w:rsidR="00657F16" w:rsidRPr="00924139">
        <w:rPr>
          <w:rFonts w:ascii="Arial" w:hAnsi="Arial" w:cs="Arial"/>
          <w:color w:val="000000" w:themeColor="text1"/>
          <w:sz w:val="22"/>
          <w:szCs w:val="22"/>
          <w:highlight w:val="yellow"/>
        </w:rPr>
        <w:t xml:space="preserve"> All gas mixtures were assumed to be ideal</w:t>
      </w:r>
      <w:r w:rsidR="007E66FF" w:rsidRPr="00924139">
        <w:rPr>
          <w:rFonts w:ascii="Arial" w:hAnsi="Arial" w:cs="Arial"/>
          <w:color w:val="000000" w:themeColor="text1"/>
          <w:sz w:val="22"/>
          <w:szCs w:val="22"/>
          <w:highlight w:val="yellow"/>
        </w:rPr>
        <w:t xml:space="preserve"> given the elevated temperatures and moderate pressures present in reactor models</w:t>
      </w:r>
      <w:r w:rsidR="00830952" w:rsidRPr="00924139">
        <w:rPr>
          <w:rFonts w:ascii="Arial" w:hAnsi="Arial" w:cs="Arial"/>
          <w:color w:val="000000" w:themeColor="text1"/>
          <w:sz w:val="22"/>
          <w:szCs w:val="22"/>
          <w:highlight w:val="yellow"/>
        </w:rPr>
        <w:t xml:space="preserve"> and for simplicity.</w:t>
      </w:r>
    </w:p>
    <w:p w14:paraId="59D98454" w14:textId="08B6712C" w:rsidR="00CE5705" w:rsidRPr="00924139" w:rsidRDefault="00CE5705" w:rsidP="004F4C33">
      <w:pPr>
        <w:rPr>
          <w:rFonts w:ascii="Arial" w:hAnsi="Arial" w:cs="Arial"/>
          <w:color w:val="000000" w:themeColor="text1"/>
          <w:sz w:val="22"/>
          <w:szCs w:val="22"/>
          <w:highlight w:val="yellow"/>
        </w:rPr>
      </w:pPr>
    </w:p>
    <w:p w14:paraId="5A20529D" w14:textId="62F8CAA6" w:rsidR="00CE5705" w:rsidRPr="00924139" w:rsidRDefault="006478FF" w:rsidP="003660A1">
      <w:pPr>
        <w:jc w:val="both"/>
        <w:rPr>
          <w:rFonts w:ascii="Arial" w:hAnsi="Arial" w:cs="Arial"/>
          <w:color w:val="000000" w:themeColor="text1"/>
          <w:sz w:val="22"/>
          <w:szCs w:val="22"/>
          <w:highlight w:val="yellow"/>
        </w:rPr>
      </w:pPr>
      <w:r w:rsidRPr="00924139">
        <w:rPr>
          <w:rFonts w:ascii="Arial" w:hAnsi="Arial" w:cs="Arial"/>
          <w:color w:val="000000" w:themeColor="text1"/>
          <w:sz w:val="22"/>
          <w:szCs w:val="22"/>
          <w:highlight w:val="yellow"/>
        </w:rPr>
        <w:lastRenderedPageBreak/>
        <w:t>Auto-ignition delay</w:t>
      </w:r>
      <w:r w:rsidR="009D6CE6" w:rsidRPr="00924139">
        <w:rPr>
          <w:rFonts w:ascii="Arial" w:hAnsi="Arial" w:cs="Arial"/>
          <w:color w:val="000000" w:themeColor="text1"/>
          <w:sz w:val="22"/>
          <w:szCs w:val="22"/>
          <w:highlight w:val="yellow"/>
        </w:rPr>
        <w:t>, for the purpose</w:t>
      </w:r>
      <w:r w:rsidR="00481F77" w:rsidRPr="00924139">
        <w:rPr>
          <w:rFonts w:ascii="Arial" w:hAnsi="Arial" w:cs="Arial"/>
          <w:color w:val="000000" w:themeColor="text1"/>
          <w:sz w:val="22"/>
          <w:szCs w:val="22"/>
          <w:highlight w:val="yellow"/>
        </w:rPr>
        <w:t>s</w:t>
      </w:r>
      <w:r w:rsidR="009D6CE6" w:rsidRPr="00924139">
        <w:rPr>
          <w:rFonts w:ascii="Arial" w:hAnsi="Arial" w:cs="Arial"/>
          <w:color w:val="000000" w:themeColor="text1"/>
          <w:sz w:val="22"/>
          <w:szCs w:val="22"/>
          <w:highlight w:val="yellow"/>
        </w:rPr>
        <w:t xml:space="preserve"> of this report, is </w:t>
      </w:r>
      <w:r w:rsidR="003660A1" w:rsidRPr="00924139">
        <w:rPr>
          <w:rFonts w:ascii="Arial" w:hAnsi="Arial" w:cs="Arial"/>
          <w:color w:val="000000" w:themeColor="text1"/>
          <w:sz w:val="22"/>
          <w:szCs w:val="22"/>
          <w:highlight w:val="yellow"/>
        </w:rPr>
        <w:t>defined as the time required to generate a temperature rise of 150 K from i</w:t>
      </w:r>
      <w:r w:rsidR="00481F77" w:rsidRPr="00924139">
        <w:rPr>
          <w:rFonts w:ascii="Arial" w:hAnsi="Arial" w:cs="Arial"/>
          <w:color w:val="000000" w:themeColor="text1"/>
          <w:sz w:val="22"/>
          <w:szCs w:val="22"/>
          <w:highlight w:val="yellow"/>
        </w:rPr>
        <w:t>nlet</w:t>
      </w:r>
      <w:r w:rsidR="003660A1" w:rsidRPr="00924139">
        <w:rPr>
          <w:rFonts w:ascii="Arial" w:hAnsi="Arial" w:cs="Arial"/>
          <w:color w:val="000000" w:themeColor="text1"/>
          <w:sz w:val="22"/>
          <w:szCs w:val="22"/>
          <w:highlight w:val="yellow"/>
        </w:rPr>
        <w:t xml:space="preserve"> temperature</w:t>
      </w:r>
      <w:r w:rsidR="00481F77" w:rsidRPr="00924139">
        <w:rPr>
          <w:rFonts w:ascii="Arial" w:hAnsi="Arial" w:cs="Arial"/>
          <w:color w:val="000000" w:themeColor="text1"/>
          <w:sz w:val="22"/>
          <w:szCs w:val="22"/>
          <w:highlight w:val="yellow"/>
        </w:rPr>
        <w:t>s</w:t>
      </w:r>
      <w:r w:rsidR="003660A1" w:rsidRPr="00924139">
        <w:rPr>
          <w:rFonts w:ascii="Arial" w:hAnsi="Arial" w:cs="Arial"/>
          <w:color w:val="000000" w:themeColor="text1"/>
          <w:sz w:val="22"/>
          <w:szCs w:val="22"/>
          <w:highlight w:val="yellow"/>
        </w:rPr>
        <w:t xml:space="preserve">. </w:t>
      </w:r>
      <w:r w:rsidR="008B5565" w:rsidRPr="00924139">
        <w:rPr>
          <w:rFonts w:ascii="Arial" w:hAnsi="Arial" w:cs="Arial"/>
          <w:color w:val="000000" w:themeColor="text1"/>
          <w:sz w:val="22"/>
          <w:szCs w:val="22"/>
          <w:highlight w:val="yellow"/>
        </w:rPr>
        <w:t xml:space="preserve">Auto-ignition delay </w:t>
      </w:r>
      <w:r w:rsidRPr="00924139">
        <w:rPr>
          <w:rFonts w:ascii="Arial" w:hAnsi="Arial" w:cs="Arial"/>
          <w:color w:val="000000" w:themeColor="text1"/>
          <w:sz w:val="22"/>
          <w:szCs w:val="22"/>
          <w:highlight w:val="yellow"/>
        </w:rPr>
        <w:t xml:space="preserve">represents the amount of time an adiabatic fuel-oxidizer mixture at a given temperature </w:t>
      </w:r>
      <w:r w:rsidR="008B5565" w:rsidRPr="00924139">
        <w:rPr>
          <w:rFonts w:ascii="Arial" w:hAnsi="Arial" w:cs="Arial"/>
          <w:color w:val="000000" w:themeColor="text1"/>
          <w:sz w:val="22"/>
          <w:szCs w:val="22"/>
          <w:highlight w:val="yellow"/>
        </w:rPr>
        <w:t>requires</w:t>
      </w:r>
      <w:r w:rsidRPr="00924139">
        <w:rPr>
          <w:rFonts w:ascii="Arial" w:hAnsi="Arial" w:cs="Arial"/>
          <w:color w:val="000000" w:themeColor="text1"/>
          <w:sz w:val="22"/>
          <w:szCs w:val="22"/>
          <w:highlight w:val="yellow"/>
        </w:rPr>
        <w:t xml:space="preserve"> to undergo </w:t>
      </w:r>
      <w:r w:rsidR="00883367" w:rsidRPr="00924139">
        <w:rPr>
          <w:rFonts w:ascii="Arial" w:hAnsi="Arial" w:cs="Arial"/>
          <w:color w:val="000000" w:themeColor="text1"/>
          <w:sz w:val="22"/>
          <w:szCs w:val="22"/>
          <w:highlight w:val="yellow"/>
        </w:rPr>
        <w:t>a</w:t>
      </w:r>
      <w:r w:rsidRPr="00924139">
        <w:rPr>
          <w:rFonts w:ascii="Arial" w:hAnsi="Arial" w:cs="Arial"/>
          <w:color w:val="000000" w:themeColor="text1"/>
          <w:sz w:val="22"/>
          <w:szCs w:val="22"/>
          <w:highlight w:val="yellow"/>
        </w:rPr>
        <w:t xml:space="preserve"> </w:t>
      </w:r>
      <w:r w:rsidR="008B5565" w:rsidRPr="00924139">
        <w:rPr>
          <w:rFonts w:ascii="Arial" w:hAnsi="Arial" w:cs="Arial"/>
          <w:color w:val="000000" w:themeColor="text1"/>
          <w:sz w:val="22"/>
          <w:szCs w:val="22"/>
          <w:highlight w:val="yellow"/>
        </w:rPr>
        <w:t xml:space="preserve">combustion </w:t>
      </w:r>
      <w:r w:rsidRPr="00924139">
        <w:rPr>
          <w:rFonts w:ascii="Arial" w:hAnsi="Arial" w:cs="Arial"/>
          <w:color w:val="000000" w:themeColor="text1"/>
          <w:sz w:val="22"/>
          <w:szCs w:val="22"/>
          <w:highlight w:val="yellow"/>
        </w:rPr>
        <w:t>explosion spontaneously.</w:t>
      </w:r>
    </w:p>
    <w:p w14:paraId="61835C14" w14:textId="77777777" w:rsidR="00ED5072" w:rsidRPr="00924139" w:rsidRDefault="00ED5072" w:rsidP="004F4C33">
      <w:pPr>
        <w:rPr>
          <w:rFonts w:ascii="Arial" w:hAnsi="Arial" w:cs="Arial"/>
          <w:color w:val="000000" w:themeColor="text1"/>
          <w:sz w:val="13"/>
          <w:szCs w:val="13"/>
          <w:highlight w:val="yellow"/>
        </w:rPr>
      </w:pPr>
    </w:p>
    <w:p w14:paraId="61DBA6EC" w14:textId="0F8D4559" w:rsidR="004F4C33" w:rsidRDefault="004F4C33" w:rsidP="004F4C33">
      <w:pPr>
        <w:rPr>
          <w:rFonts w:ascii="Arial" w:hAnsi="Arial" w:cs="Arial"/>
          <w:i/>
          <w:iCs/>
          <w:color w:val="000000" w:themeColor="text1"/>
          <w:sz w:val="22"/>
          <w:szCs w:val="22"/>
          <w:u w:val="single"/>
        </w:rPr>
      </w:pPr>
      <w:r w:rsidRPr="00C82D3C">
        <w:rPr>
          <w:rFonts w:ascii="Arial" w:hAnsi="Arial" w:cs="Arial"/>
          <w:i/>
          <w:iCs/>
          <w:color w:val="000000" w:themeColor="text1"/>
          <w:sz w:val="22"/>
          <w:szCs w:val="22"/>
          <w:u w:val="single"/>
        </w:rPr>
        <w:t>C. Results and Discussion</w:t>
      </w:r>
    </w:p>
    <w:p w14:paraId="39AA33C2" w14:textId="7735B51F" w:rsidR="00C82D3C" w:rsidRDefault="00C82D3C" w:rsidP="00B262BA">
      <w:pPr>
        <w:jc w:val="both"/>
        <w:rPr>
          <w:rFonts w:ascii="Arial" w:hAnsi="Arial" w:cs="Arial"/>
          <w:color w:val="000000" w:themeColor="text1"/>
          <w:sz w:val="22"/>
          <w:szCs w:val="22"/>
        </w:rPr>
      </w:pPr>
      <w:r>
        <w:rPr>
          <w:rFonts w:ascii="Arial" w:hAnsi="Arial" w:cs="Arial"/>
          <w:color w:val="000000" w:themeColor="text1"/>
          <w:sz w:val="22"/>
          <w:szCs w:val="22"/>
        </w:rPr>
        <w:t xml:space="preserve">In this report, detonation of a propane-air mixture at a range of different starting conditions were considered. Propane-air mixtures were evaluated for 2.2 to 9.2 mol% propane in air, which represent the experimental detonation limits determined for </w:t>
      </w:r>
      <w:r w:rsidR="00B262BA">
        <w:rPr>
          <w:rFonts w:ascii="Arial" w:hAnsi="Arial" w:cs="Arial"/>
          <w:color w:val="000000" w:themeColor="text1"/>
          <w:sz w:val="22"/>
          <w:szCs w:val="22"/>
        </w:rPr>
        <w:t xml:space="preserve">propane-air mixtures initially at 300 K and 1 atm. </w:t>
      </w:r>
    </w:p>
    <w:p w14:paraId="62725228" w14:textId="56C6B7F3" w:rsidR="00B262BA" w:rsidRDefault="00B262BA" w:rsidP="00B262BA">
      <w:pPr>
        <w:jc w:val="both"/>
        <w:rPr>
          <w:rFonts w:ascii="Arial" w:hAnsi="Arial" w:cs="Arial"/>
          <w:color w:val="000000" w:themeColor="text1"/>
          <w:sz w:val="22"/>
          <w:szCs w:val="22"/>
        </w:rPr>
      </w:pPr>
    </w:p>
    <w:p w14:paraId="3BEAAE72" w14:textId="73210BD0" w:rsidR="00B262BA" w:rsidRDefault="00B262BA" w:rsidP="00B262BA">
      <w:pPr>
        <w:jc w:val="both"/>
        <w:rPr>
          <w:rFonts w:ascii="Arial" w:hAnsi="Arial" w:cs="Arial"/>
          <w:color w:val="000000" w:themeColor="text1"/>
          <w:sz w:val="22"/>
          <w:szCs w:val="22"/>
        </w:rPr>
      </w:pPr>
      <w:r>
        <w:rPr>
          <w:rFonts w:ascii="Arial" w:hAnsi="Arial" w:cs="Arial"/>
          <w:color w:val="000000" w:themeColor="text1"/>
          <w:sz w:val="22"/>
          <w:szCs w:val="22"/>
        </w:rPr>
        <w:t>Detonation speed was first determined for the mixtures:</w:t>
      </w:r>
    </w:p>
    <w:p w14:paraId="060F2174" w14:textId="669998A5" w:rsidR="00B262BA" w:rsidRDefault="00626849" w:rsidP="00A53F25">
      <w:pPr>
        <w:jc w:val="cente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D81DA65" wp14:editId="3107746A">
            <wp:extent cx="4686300" cy="351472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86300" cy="3514725"/>
                    </a:xfrm>
                    <a:prstGeom prst="rect">
                      <a:avLst/>
                    </a:prstGeom>
                  </pic:spPr>
                </pic:pic>
              </a:graphicData>
            </a:graphic>
          </wp:inline>
        </w:drawing>
      </w:r>
    </w:p>
    <w:p w14:paraId="1ABB80AA" w14:textId="1322AEC7" w:rsidR="00A53F25" w:rsidRPr="00A53F25" w:rsidRDefault="00A53F25" w:rsidP="00A53F25">
      <w:pPr>
        <w:jc w:val="center"/>
        <w:rPr>
          <w:rFonts w:ascii="Arial" w:hAnsi="Arial" w:cs="Arial"/>
          <w:color w:val="000000" w:themeColor="text1"/>
          <w:sz w:val="22"/>
          <w:szCs w:val="22"/>
        </w:rPr>
      </w:pPr>
      <w:r w:rsidRPr="00A53F25">
        <w:rPr>
          <w:rFonts w:ascii="Arial" w:hAnsi="Arial" w:cs="Arial"/>
          <w:b/>
          <w:bCs/>
          <w:color w:val="000000" w:themeColor="text1"/>
          <w:sz w:val="18"/>
          <w:szCs w:val="18"/>
        </w:rPr>
        <w:t xml:space="preserve">Fig 1 | </w:t>
      </w:r>
      <w:r>
        <w:rPr>
          <w:rFonts w:ascii="Arial" w:hAnsi="Arial" w:cs="Arial"/>
          <w:b/>
          <w:bCs/>
          <w:color w:val="000000" w:themeColor="text1"/>
          <w:sz w:val="18"/>
          <w:szCs w:val="18"/>
        </w:rPr>
        <w:t>Variance in detonation speed as a function of initial physical state and composition</w:t>
      </w:r>
    </w:p>
    <w:p w14:paraId="1A32678E" w14:textId="0609CA79" w:rsidR="00A53F25" w:rsidRDefault="00A53F25" w:rsidP="00A53F25">
      <w:pPr>
        <w:jc w:val="center"/>
        <w:rPr>
          <w:rFonts w:ascii="Arial" w:hAnsi="Arial" w:cs="Arial"/>
          <w:color w:val="000000" w:themeColor="text1"/>
          <w:sz w:val="22"/>
          <w:szCs w:val="22"/>
        </w:rPr>
      </w:pPr>
    </w:p>
    <w:p w14:paraId="40A92DC4" w14:textId="3B3956CA" w:rsidR="00626849" w:rsidRDefault="00626849" w:rsidP="00626849">
      <w:pPr>
        <w:jc w:val="both"/>
        <w:rPr>
          <w:rFonts w:ascii="Arial" w:hAnsi="Arial" w:cs="Arial"/>
          <w:color w:val="000000" w:themeColor="text1"/>
          <w:sz w:val="22"/>
          <w:szCs w:val="22"/>
        </w:rPr>
      </w:pPr>
      <w:r>
        <w:rPr>
          <w:rFonts w:ascii="Arial" w:hAnsi="Arial" w:cs="Arial"/>
          <w:color w:val="000000" w:themeColor="text1"/>
          <w:sz w:val="22"/>
          <w:szCs w:val="22"/>
        </w:rPr>
        <w:t xml:space="preserve">While detonation speed is only loosely coupled to the initial pressure, speed is more strongly dependent on the initial temperature of the reactant gas mixture. This is evident in the small changes in detonation speed between the reactant mixtures at 100 kPa and 500 kPa, while a significant deviation in the detonation speed trend is present when the initial temperature is doubled to 600 K. </w:t>
      </w:r>
    </w:p>
    <w:p w14:paraId="21C35B47" w14:textId="5E9168BD" w:rsidR="00164CE9" w:rsidRDefault="00164CE9" w:rsidP="00626849">
      <w:pPr>
        <w:jc w:val="both"/>
        <w:rPr>
          <w:rFonts w:ascii="Arial" w:hAnsi="Arial" w:cs="Arial"/>
          <w:color w:val="000000" w:themeColor="text1"/>
          <w:sz w:val="22"/>
          <w:szCs w:val="22"/>
        </w:rPr>
      </w:pPr>
    </w:p>
    <w:p w14:paraId="6FFF425E" w14:textId="482890E6" w:rsidR="004D362D" w:rsidRDefault="00164CE9" w:rsidP="00626849">
      <w:pPr>
        <w:jc w:val="both"/>
        <w:rPr>
          <w:rFonts w:ascii="Arial" w:hAnsi="Arial" w:cs="Arial"/>
          <w:color w:val="000000" w:themeColor="text1"/>
          <w:sz w:val="22"/>
          <w:szCs w:val="22"/>
        </w:rPr>
      </w:pPr>
      <w:r>
        <w:rPr>
          <w:rFonts w:ascii="Arial" w:hAnsi="Arial" w:cs="Arial"/>
          <w:color w:val="000000" w:themeColor="text1"/>
          <w:sz w:val="22"/>
          <w:szCs w:val="22"/>
        </w:rPr>
        <w:t xml:space="preserve">At the outer limits of inlet composition, speed also decreases due to the lower heat release available to sustain the shockwave, since the </w:t>
      </w:r>
      <w:r w:rsidR="00321776">
        <w:rPr>
          <w:rFonts w:ascii="Arial" w:hAnsi="Arial" w:cs="Arial"/>
          <w:color w:val="000000" w:themeColor="text1"/>
          <w:sz w:val="22"/>
          <w:szCs w:val="22"/>
        </w:rPr>
        <w:t>concentration of oxidant and fuel is nonideal for heat release.</w:t>
      </w:r>
      <w:r w:rsidR="008909BF">
        <w:rPr>
          <w:rFonts w:ascii="Arial" w:hAnsi="Arial" w:cs="Arial"/>
          <w:color w:val="000000" w:themeColor="text1"/>
          <w:sz w:val="22"/>
          <w:szCs w:val="22"/>
        </w:rPr>
        <w:t xml:space="preserve"> </w:t>
      </w:r>
      <w:r w:rsidR="004D362D">
        <w:rPr>
          <w:rFonts w:ascii="Arial" w:hAnsi="Arial" w:cs="Arial"/>
          <w:color w:val="000000" w:themeColor="text1"/>
          <w:sz w:val="22"/>
          <w:szCs w:val="22"/>
        </w:rPr>
        <w:t xml:space="preserve">This rigorous </w:t>
      </w:r>
      <w:r w:rsidR="008909BF">
        <w:rPr>
          <w:rFonts w:ascii="Arial" w:hAnsi="Arial" w:cs="Arial"/>
          <w:color w:val="000000" w:themeColor="text1"/>
          <w:sz w:val="22"/>
          <w:szCs w:val="22"/>
        </w:rPr>
        <w:t>calculation</w:t>
      </w:r>
      <w:r w:rsidR="004D362D">
        <w:rPr>
          <w:rFonts w:ascii="Arial" w:hAnsi="Arial" w:cs="Arial"/>
          <w:color w:val="000000" w:themeColor="text1"/>
          <w:sz w:val="22"/>
          <w:szCs w:val="22"/>
        </w:rPr>
        <w:t xml:space="preserve"> can be compared with a simplified approximation for detonation speed, which is shown below:</w:t>
      </w:r>
    </w:p>
    <w:p w14:paraId="3C86F87F" w14:textId="20F7F376" w:rsidR="004D362D" w:rsidRDefault="004D362D" w:rsidP="00626849">
      <w:pPr>
        <w:jc w:val="both"/>
        <w:rPr>
          <w:rFonts w:ascii="Arial" w:hAnsi="Arial" w:cs="Arial"/>
          <w:color w:val="000000" w:themeColor="text1"/>
          <w:sz w:val="22"/>
          <w:szCs w:val="22"/>
        </w:rPr>
      </w:pPr>
    </w:p>
    <w:p w14:paraId="6343A8BE" w14:textId="2175C56D" w:rsidR="004D362D" w:rsidRDefault="008909BF" w:rsidP="00626849">
      <w:pPr>
        <w:jc w:val="both"/>
        <w:rPr>
          <w:rFonts w:ascii="Arial" w:hAnsi="Arial" w:cs="Arial"/>
          <w:color w:val="000000" w:themeColor="text1"/>
          <w:sz w:val="22"/>
          <w:szCs w:val="22"/>
        </w:rPr>
      </w:pPr>
      <m:oMathPara>
        <m:oMath>
          <m:r>
            <w:rPr>
              <w:rFonts w:ascii="Cambria Math" w:hAnsi="Cambria Math" w:cs="Arial"/>
              <w:color w:val="000000" w:themeColor="text1"/>
              <w:sz w:val="22"/>
              <w:szCs w:val="22"/>
            </w:rPr>
            <m:t>D≅</m:t>
          </m:r>
          <m:f>
            <m:fPr>
              <m:ctrlPr>
                <w:rPr>
                  <w:rFonts w:ascii="Cambria Math" w:hAnsi="Cambria Math" w:cs="Arial"/>
                  <w:i/>
                  <w:color w:val="000000" w:themeColor="text1"/>
                  <w:sz w:val="22"/>
                  <w:szCs w:val="22"/>
                </w:rPr>
              </m:ctrlPr>
            </m:fPr>
            <m:num>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γ</m:t>
                  </m:r>
                </m:e>
                <m:sub>
                  <m:r>
                    <w:rPr>
                      <w:rFonts w:ascii="Cambria Math" w:hAnsi="Cambria Math" w:cs="Arial"/>
                      <w:color w:val="000000" w:themeColor="text1"/>
                      <w:sz w:val="22"/>
                      <w:szCs w:val="22"/>
                    </w:rPr>
                    <m:t>2</m:t>
                  </m:r>
                </m:sub>
              </m:sSub>
              <m:r>
                <w:rPr>
                  <w:rFonts w:ascii="Cambria Math" w:hAnsi="Cambria Math" w:cs="Arial"/>
                  <w:color w:val="000000" w:themeColor="text1"/>
                  <w:sz w:val="22"/>
                  <w:szCs w:val="22"/>
                </w:rPr>
                <m:t>+1</m:t>
              </m:r>
            </m:num>
            <m:den>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γ</m:t>
                  </m:r>
                </m:e>
                <m:sub>
                  <m:r>
                    <w:rPr>
                      <w:rFonts w:ascii="Cambria Math" w:hAnsi="Cambria Math" w:cs="Arial"/>
                      <w:color w:val="000000" w:themeColor="text1"/>
                      <w:sz w:val="22"/>
                      <w:szCs w:val="22"/>
                    </w:rPr>
                    <m:t>2</m:t>
                  </m:r>
                </m:sub>
              </m:sSub>
            </m:den>
          </m:f>
          <m:rad>
            <m:radPr>
              <m:degHide m:val="1"/>
              <m:ctrlPr>
                <w:rPr>
                  <w:rFonts w:ascii="Cambria Math" w:hAnsi="Cambria Math" w:cs="Arial"/>
                  <w:i/>
                  <w:color w:val="000000" w:themeColor="text1"/>
                  <w:sz w:val="22"/>
                  <w:szCs w:val="22"/>
                </w:rPr>
              </m:ctrlPr>
            </m:radPr>
            <m:deg/>
            <m:e>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γ</m:t>
                  </m:r>
                </m:e>
                <m:sub>
                  <m:r>
                    <w:rPr>
                      <w:rFonts w:ascii="Cambria Math" w:hAnsi="Cambria Math" w:cs="Arial"/>
                      <w:color w:val="000000" w:themeColor="text1"/>
                      <w:sz w:val="22"/>
                      <w:szCs w:val="22"/>
                    </w:rPr>
                    <m:t>2</m:t>
                  </m:r>
                </m:sub>
              </m:sSub>
              <m:f>
                <m:fPr>
                  <m:ctrlPr>
                    <w:rPr>
                      <w:rFonts w:ascii="Cambria Math" w:hAnsi="Cambria Math" w:cs="Arial"/>
                      <w:i/>
                      <w:color w:val="000000" w:themeColor="text1"/>
                      <w:sz w:val="22"/>
                      <w:szCs w:val="22"/>
                    </w:rPr>
                  </m:ctrlPr>
                </m:fPr>
                <m:num>
                  <m:acc>
                    <m:accPr>
                      <m:chr m:val="̅"/>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R</m:t>
                      </m:r>
                    </m:e>
                  </m:acc>
                </m:num>
                <m:den>
                  <m:sSub>
                    <m:sSubPr>
                      <m:ctrlPr>
                        <w:rPr>
                          <w:rFonts w:ascii="Cambria Math" w:hAnsi="Cambria Math" w:cs="Arial"/>
                          <w:i/>
                          <w:color w:val="000000" w:themeColor="text1"/>
                          <w:sz w:val="22"/>
                          <w:szCs w:val="22"/>
                        </w:rPr>
                      </m:ctrlPr>
                    </m:sSubPr>
                    <m:e>
                      <m:acc>
                        <m:accPr>
                          <m:chr m:val="̅"/>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W</m:t>
                          </m:r>
                        </m:e>
                      </m:acc>
                    </m:e>
                    <m:sub>
                      <m:r>
                        <w:rPr>
                          <w:rFonts w:ascii="Cambria Math" w:hAnsi="Cambria Math" w:cs="Arial"/>
                          <w:color w:val="000000" w:themeColor="text1"/>
                          <w:sz w:val="22"/>
                          <w:szCs w:val="22"/>
                        </w:rPr>
                        <m:t>2</m:t>
                      </m:r>
                    </m:sub>
                  </m:sSub>
                </m:den>
              </m:f>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T</m:t>
                  </m:r>
                </m:e>
                <m:sub>
                  <m:r>
                    <w:rPr>
                      <w:rFonts w:ascii="Cambria Math" w:hAnsi="Cambria Math" w:cs="Arial"/>
                      <w:color w:val="000000" w:themeColor="text1"/>
                      <w:sz w:val="22"/>
                      <w:szCs w:val="22"/>
                    </w:rPr>
                    <m:t>2</m:t>
                  </m:r>
                </m:sub>
              </m:sSub>
            </m:e>
          </m:rad>
        </m:oMath>
      </m:oMathPara>
    </w:p>
    <w:p w14:paraId="352F1870" w14:textId="574BAEF4" w:rsidR="0042256A" w:rsidRDefault="0042256A" w:rsidP="00626849">
      <w:pPr>
        <w:jc w:val="both"/>
        <w:rPr>
          <w:rFonts w:ascii="Arial" w:hAnsi="Arial" w:cs="Arial"/>
          <w:color w:val="000000" w:themeColor="text1"/>
          <w:sz w:val="22"/>
          <w:szCs w:val="22"/>
        </w:rPr>
      </w:pPr>
    </w:p>
    <w:p w14:paraId="0D83B9F5" w14:textId="7C0B84F3" w:rsidR="008909BF" w:rsidRDefault="008909BF" w:rsidP="00626849">
      <w:pPr>
        <w:jc w:val="both"/>
        <w:rPr>
          <w:rFonts w:ascii="Arial" w:hAnsi="Arial" w:cs="Arial"/>
          <w:color w:val="000000" w:themeColor="text1"/>
          <w:sz w:val="22"/>
          <w:szCs w:val="22"/>
        </w:rPr>
      </w:pPr>
      <w:r>
        <w:rPr>
          <w:rFonts w:ascii="Arial" w:hAnsi="Arial" w:cs="Arial"/>
          <w:color w:val="000000" w:themeColor="text1"/>
          <w:sz w:val="22"/>
          <w:szCs w:val="22"/>
        </w:rPr>
        <w:lastRenderedPageBreak/>
        <w:t>Using physical values for N</w:t>
      </w:r>
      <w:r>
        <w:rPr>
          <w:rFonts w:ascii="Arial" w:hAnsi="Arial" w:cs="Arial"/>
          <w:color w:val="000000" w:themeColor="text1"/>
          <w:sz w:val="22"/>
          <w:szCs w:val="22"/>
          <w:vertAlign w:val="subscript"/>
        </w:rPr>
        <w:t>2</w:t>
      </w:r>
      <w:r>
        <w:rPr>
          <w:rFonts w:ascii="Arial" w:hAnsi="Arial" w:cs="Arial"/>
          <w:color w:val="000000" w:themeColor="text1"/>
          <w:sz w:val="22"/>
          <w:szCs w:val="22"/>
        </w:rPr>
        <w:t xml:space="preserve"> at 2700 K (</w:t>
      </w:r>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γ</m:t>
            </m:r>
          </m:e>
          <m:sub>
            <m:r>
              <w:rPr>
                <w:rFonts w:ascii="Cambria Math" w:hAnsi="Cambria Math" w:cs="Arial"/>
                <w:color w:val="000000" w:themeColor="text1"/>
                <w:sz w:val="22"/>
                <w:szCs w:val="22"/>
              </w:rPr>
              <m:t>2</m:t>
            </m:r>
          </m:sub>
        </m:sSub>
        <m:r>
          <w:rPr>
            <w:rFonts w:ascii="Cambria Math" w:hAnsi="Cambria Math" w:cs="Arial"/>
            <w:color w:val="000000" w:themeColor="text1"/>
            <w:sz w:val="22"/>
            <w:szCs w:val="22"/>
          </w:rPr>
          <m:t>≈</m:t>
        </m:r>
      </m:oMath>
      <w:r>
        <w:rPr>
          <w:rFonts w:ascii="Arial" w:hAnsi="Arial" w:cs="Arial"/>
          <w:color w:val="000000" w:themeColor="text1"/>
          <w:sz w:val="22"/>
          <w:szCs w:val="22"/>
        </w:rPr>
        <w:t xml:space="preserve"> 1.29, </w:t>
      </w:r>
      <m:oMath>
        <m:sSub>
          <m:sSubPr>
            <m:ctrlPr>
              <w:rPr>
                <w:rFonts w:ascii="Cambria Math" w:hAnsi="Cambria Math" w:cs="Arial"/>
                <w:i/>
                <w:color w:val="000000" w:themeColor="text1"/>
                <w:sz w:val="22"/>
                <w:szCs w:val="22"/>
              </w:rPr>
            </m:ctrlPr>
          </m:sSubPr>
          <m:e>
            <m:acc>
              <m:accPr>
                <m:chr m:val="̅"/>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W</m:t>
                </m:r>
              </m:e>
            </m:acc>
          </m:e>
          <m:sub>
            <m:r>
              <w:rPr>
                <w:rFonts w:ascii="Cambria Math" w:hAnsi="Cambria Math" w:cs="Arial"/>
                <w:color w:val="000000" w:themeColor="text1"/>
                <w:sz w:val="22"/>
                <w:szCs w:val="22"/>
              </w:rPr>
              <m:t>2</m:t>
            </m:r>
          </m:sub>
        </m:sSub>
        <m:r>
          <w:rPr>
            <w:rFonts w:ascii="Cambria Math" w:hAnsi="Cambria Math" w:cs="Arial"/>
            <w:color w:val="000000" w:themeColor="text1"/>
            <w:sz w:val="22"/>
            <w:szCs w:val="22"/>
          </w:rPr>
          <m:t>≈</m:t>
        </m:r>
      </m:oMath>
      <w:r>
        <w:rPr>
          <w:rFonts w:ascii="Arial" w:hAnsi="Arial" w:cs="Arial"/>
          <w:color w:val="000000" w:themeColor="text1"/>
          <w:sz w:val="22"/>
          <w:szCs w:val="22"/>
        </w:rPr>
        <w:t xml:space="preserve"> 28) since N</w:t>
      </w:r>
      <w:r>
        <w:rPr>
          <w:rFonts w:ascii="Arial" w:hAnsi="Arial" w:cs="Arial"/>
          <w:color w:val="000000" w:themeColor="text1"/>
          <w:sz w:val="22"/>
          <w:szCs w:val="22"/>
          <w:vertAlign w:val="subscript"/>
        </w:rPr>
        <w:t>2</w:t>
      </w:r>
      <w:r>
        <w:rPr>
          <w:rFonts w:ascii="Arial" w:hAnsi="Arial" w:cs="Arial"/>
          <w:color w:val="000000" w:themeColor="text1"/>
          <w:sz w:val="22"/>
          <w:szCs w:val="22"/>
        </w:rPr>
        <w:t xml:space="preserve"> is the majority of the reactant mixture, the rigorously calculated values from the plot above </w:t>
      </w:r>
      <w:r w:rsidR="00D15E89">
        <w:rPr>
          <w:rFonts w:ascii="Arial" w:hAnsi="Arial" w:cs="Arial"/>
          <w:color w:val="000000" w:themeColor="text1"/>
          <w:sz w:val="22"/>
          <w:szCs w:val="22"/>
        </w:rPr>
        <w:t>when outlet temperature is</w:t>
      </w:r>
      <w:r>
        <w:rPr>
          <w:rFonts w:ascii="Arial" w:hAnsi="Arial" w:cs="Arial"/>
          <w:color w:val="000000" w:themeColor="text1"/>
          <w:sz w:val="22"/>
          <w:szCs w:val="22"/>
        </w:rPr>
        <w:t xml:space="preserve"> 2700 K </w:t>
      </w:r>
      <w:r w:rsidR="00D15E89">
        <w:rPr>
          <w:rFonts w:ascii="Arial" w:hAnsi="Arial" w:cs="Arial"/>
          <w:color w:val="000000" w:themeColor="text1"/>
          <w:sz w:val="22"/>
          <w:szCs w:val="22"/>
        </w:rPr>
        <w:t xml:space="preserve">(values plotted below) </w:t>
      </w:r>
      <w:r>
        <w:rPr>
          <w:rFonts w:ascii="Arial" w:hAnsi="Arial" w:cs="Arial"/>
          <w:color w:val="000000" w:themeColor="text1"/>
          <w:sz w:val="22"/>
          <w:szCs w:val="22"/>
        </w:rPr>
        <w:t>are compared to the simplified approximation at the same temperature, tabulated below:</w:t>
      </w:r>
    </w:p>
    <w:p w14:paraId="6B9BE426" w14:textId="568C7931" w:rsidR="008909BF" w:rsidRDefault="008909BF" w:rsidP="00626849">
      <w:pPr>
        <w:jc w:val="both"/>
        <w:rPr>
          <w:rFonts w:ascii="Arial" w:hAnsi="Arial" w:cs="Arial"/>
          <w:color w:val="000000" w:themeColor="text1"/>
          <w:sz w:val="22"/>
          <w:szCs w:val="22"/>
        </w:rPr>
      </w:pPr>
    </w:p>
    <w:p w14:paraId="5A6EB6D7" w14:textId="77C5B058" w:rsidR="008909BF" w:rsidRPr="008909BF" w:rsidRDefault="008909BF" w:rsidP="008909BF">
      <w:pPr>
        <w:jc w:val="center"/>
        <w:rPr>
          <w:rFonts w:ascii="Arial" w:hAnsi="Arial" w:cs="Arial"/>
          <w:b/>
          <w:bCs/>
          <w:color w:val="000000" w:themeColor="text1"/>
          <w:sz w:val="22"/>
          <w:szCs w:val="22"/>
        </w:rPr>
      </w:pPr>
      <w:r w:rsidRPr="008909BF">
        <w:rPr>
          <w:rFonts w:ascii="Arial" w:hAnsi="Arial" w:cs="Arial"/>
          <w:b/>
          <w:bCs/>
          <w:color w:val="000000" w:themeColor="text1"/>
          <w:sz w:val="22"/>
          <w:szCs w:val="22"/>
        </w:rPr>
        <w:t xml:space="preserve">Table 1 | </w:t>
      </w:r>
      <w:r w:rsidR="00D15E89">
        <w:rPr>
          <w:rFonts w:ascii="Arial" w:hAnsi="Arial" w:cs="Arial"/>
          <w:b/>
          <w:bCs/>
          <w:color w:val="000000" w:themeColor="text1"/>
          <w:sz w:val="22"/>
          <w:szCs w:val="22"/>
        </w:rPr>
        <w:t>Simplified detonation speed calculations</w:t>
      </w:r>
    </w:p>
    <w:p w14:paraId="64693543" w14:textId="77777777" w:rsidR="008909BF" w:rsidRPr="008909BF" w:rsidRDefault="008909BF" w:rsidP="008909BF">
      <w:pPr>
        <w:jc w:val="center"/>
        <w:rPr>
          <w:rFonts w:ascii="Arial" w:hAnsi="Arial" w:cs="Arial"/>
          <w:b/>
          <w:bCs/>
          <w:color w:val="000000" w:themeColor="text1"/>
          <w:sz w:val="4"/>
          <w:szCs w:val="4"/>
        </w:rPr>
      </w:pPr>
    </w:p>
    <w:tbl>
      <w:tblPr>
        <w:tblStyle w:val="TableGrid"/>
        <w:tblW w:w="9540" w:type="dxa"/>
        <w:tblLook w:val="04A0" w:firstRow="1" w:lastRow="0" w:firstColumn="1" w:lastColumn="0" w:noHBand="0" w:noVBand="1"/>
      </w:tblPr>
      <w:tblGrid>
        <w:gridCol w:w="3060"/>
        <w:gridCol w:w="2160"/>
        <w:gridCol w:w="2160"/>
        <w:gridCol w:w="2160"/>
      </w:tblGrid>
      <w:tr w:rsidR="00D15E89" w:rsidRPr="008909BF" w14:paraId="18B5BFCD" w14:textId="321D45CF" w:rsidTr="00D15E89">
        <w:trPr>
          <w:trHeight w:val="432"/>
        </w:trPr>
        <w:tc>
          <w:tcPr>
            <w:tcW w:w="3060" w:type="dxa"/>
            <w:tcBorders>
              <w:top w:val="single" w:sz="18" w:space="0" w:color="000000"/>
              <w:left w:val="nil"/>
              <w:bottom w:val="single" w:sz="18" w:space="0" w:color="000000"/>
              <w:right w:val="nil"/>
            </w:tcBorders>
            <w:vAlign w:val="center"/>
          </w:tcPr>
          <w:p w14:paraId="332D3F68" w14:textId="77777777" w:rsidR="00D15E89" w:rsidRPr="00D15E89" w:rsidRDefault="00D15E89" w:rsidP="00D15E89">
            <w:pPr>
              <w:jc w:val="center"/>
              <w:rPr>
                <w:rFonts w:ascii="Arial" w:hAnsi="Arial" w:cs="Arial"/>
                <w:b/>
                <w:bCs/>
                <w:color w:val="000000" w:themeColor="text1"/>
                <w:sz w:val="4"/>
                <w:szCs w:val="4"/>
              </w:rPr>
            </w:pPr>
          </w:p>
          <w:p w14:paraId="69E63A1E" w14:textId="6ED2C6A8" w:rsidR="00D15E89" w:rsidRPr="00D15E89" w:rsidRDefault="00D15E89" w:rsidP="00D15E89">
            <w:pPr>
              <w:jc w:val="center"/>
              <w:rPr>
                <w:rFonts w:ascii="Arial" w:hAnsi="Arial" w:cs="Arial"/>
                <w:b/>
                <w:bCs/>
                <w:color w:val="000000" w:themeColor="text1"/>
                <w:sz w:val="22"/>
                <w:szCs w:val="22"/>
              </w:rPr>
            </w:pPr>
            <w:r w:rsidRPr="00D15E89">
              <w:rPr>
                <w:rFonts w:ascii="Arial" w:hAnsi="Arial" w:cs="Arial"/>
                <w:b/>
                <w:bCs/>
                <w:color w:val="000000" w:themeColor="text1"/>
                <w:sz w:val="22"/>
                <w:szCs w:val="22"/>
              </w:rPr>
              <w:t>Inlet Concentration</w:t>
            </w:r>
          </w:p>
        </w:tc>
        <w:tc>
          <w:tcPr>
            <w:tcW w:w="2160" w:type="dxa"/>
            <w:tcBorders>
              <w:top w:val="single" w:sz="18" w:space="0" w:color="000000"/>
              <w:left w:val="nil"/>
              <w:bottom w:val="single" w:sz="18" w:space="0" w:color="000000"/>
              <w:right w:val="nil"/>
            </w:tcBorders>
            <w:vAlign w:val="center"/>
          </w:tcPr>
          <w:p w14:paraId="2ECB9E67" w14:textId="22E75379" w:rsidR="00D15E89" w:rsidRPr="00D15E89" w:rsidRDefault="00D15E89" w:rsidP="00D15E89">
            <w:pPr>
              <w:jc w:val="center"/>
              <w:rPr>
                <w:rFonts w:ascii="Arial" w:hAnsi="Arial" w:cs="Arial"/>
                <w:b/>
                <w:bCs/>
                <w:color w:val="000000" w:themeColor="text1"/>
                <w:sz w:val="22"/>
                <w:szCs w:val="22"/>
              </w:rPr>
            </w:pPr>
            <w:proofErr w:type="spellStart"/>
            <w:r>
              <w:rPr>
                <w:rFonts w:ascii="Arial" w:hAnsi="Arial" w:cs="Arial"/>
                <w:b/>
                <w:bCs/>
                <w:color w:val="000000" w:themeColor="text1"/>
                <w:sz w:val="22"/>
                <w:szCs w:val="22"/>
              </w:rPr>
              <w:t>SDToolbox</w:t>
            </w:r>
            <w:proofErr w:type="spellEnd"/>
            <w:r>
              <w:rPr>
                <w:rFonts w:ascii="Arial" w:hAnsi="Arial" w:cs="Arial"/>
                <w:b/>
                <w:bCs/>
                <w:color w:val="000000" w:themeColor="text1"/>
                <w:sz w:val="22"/>
                <w:szCs w:val="22"/>
              </w:rPr>
              <w:t xml:space="preserve"> </w:t>
            </w:r>
            <w:r w:rsidRPr="00D15E89">
              <w:rPr>
                <w:rFonts w:ascii="Arial" w:hAnsi="Arial" w:cs="Arial"/>
                <w:b/>
                <w:bCs/>
                <w:color w:val="000000" w:themeColor="text1"/>
                <w:sz w:val="22"/>
                <w:szCs w:val="22"/>
              </w:rPr>
              <w:t>(m/s)</w:t>
            </w:r>
          </w:p>
        </w:tc>
        <w:tc>
          <w:tcPr>
            <w:tcW w:w="2160" w:type="dxa"/>
            <w:tcBorders>
              <w:top w:val="single" w:sz="18" w:space="0" w:color="000000"/>
              <w:left w:val="nil"/>
              <w:bottom w:val="single" w:sz="18" w:space="0" w:color="000000"/>
              <w:right w:val="nil"/>
            </w:tcBorders>
            <w:vAlign w:val="center"/>
          </w:tcPr>
          <w:p w14:paraId="5488A1D8" w14:textId="18F3E45E" w:rsidR="00D15E89" w:rsidRPr="00D15E89" w:rsidRDefault="00D15E89" w:rsidP="00D15E89">
            <w:pPr>
              <w:jc w:val="center"/>
              <w:rPr>
                <w:rFonts w:ascii="Arial" w:hAnsi="Arial" w:cs="Arial"/>
                <w:b/>
                <w:bCs/>
                <w:color w:val="000000" w:themeColor="text1"/>
                <w:sz w:val="22"/>
                <w:szCs w:val="22"/>
              </w:rPr>
            </w:pPr>
            <w:r>
              <w:rPr>
                <w:rFonts w:ascii="Arial" w:hAnsi="Arial" w:cs="Arial"/>
                <w:b/>
                <w:bCs/>
                <w:color w:val="000000" w:themeColor="text1"/>
                <w:sz w:val="22"/>
                <w:szCs w:val="22"/>
              </w:rPr>
              <w:t xml:space="preserve">Simplified </w:t>
            </w:r>
            <w:r w:rsidRPr="00D15E89">
              <w:rPr>
                <w:rFonts w:ascii="Arial" w:hAnsi="Arial" w:cs="Arial"/>
                <w:b/>
                <w:bCs/>
                <w:color w:val="000000" w:themeColor="text1"/>
                <w:sz w:val="22"/>
                <w:szCs w:val="22"/>
              </w:rPr>
              <w:t>(m/s)</w:t>
            </w:r>
          </w:p>
        </w:tc>
        <w:tc>
          <w:tcPr>
            <w:tcW w:w="2160" w:type="dxa"/>
            <w:tcBorders>
              <w:top w:val="single" w:sz="18" w:space="0" w:color="000000"/>
              <w:left w:val="nil"/>
              <w:bottom w:val="single" w:sz="18" w:space="0" w:color="000000"/>
              <w:right w:val="nil"/>
            </w:tcBorders>
            <w:vAlign w:val="center"/>
          </w:tcPr>
          <w:p w14:paraId="280BE926" w14:textId="238711D7" w:rsidR="00D15E89" w:rsidRDefault="00D15E89" w:rsidP="00D15E89">
            <w:pPr>
              <w:jc w:val="center"/>
              <w:rPr>
                <w:rFonts w:ascii="Arial" w:hAnsi="Arial" w:cs="Arial"/>
                <w:b/>
                <w:bCs/>
                <w:color w:val="000000" w:themeColor="text1"/>
                <w:sz w:val="22"/>
                <w:szCs w:val="22"/>
              </w:rPr>
            </w:pPr>
            <w:r>
              <w:rPr>
                <w:rFonts w:ascii="Arial" w:hAnsi="Arial" w:cs="Arial"/>
                <w:b/>
                <w:bCs/>
                <w:color w:val="000000" w:themeColor="text1"/>
                <w:sz w:val="22"/>
                <w:szCs w:val="22"/>
              </w:rPr>
              <w:t>Deviation</w:t>
            </w:r>
          </w:p>
        </w:tc>
      </w:tr>
      <w:tr w:rsidR="00D15E89" w:rsidRPr="008909BF" w14:paraId="31B87AE2" w14:textId="6BFC0D33" w:rsidTr="00D15E89">
        <w:trPr>
          <w:trHeight w:val="432"/>
        </w:trPr>
        <w:tc>
          <w:tcPr>
            <w:tcW w:w="3060" w:type="dxa"/>
            <w:tcBorders>
              <w:top w:val="single" w:sz="18" w:space="0" w:color="000000"/>
              <w:left w:val="nil"/>
              <w:right w:val="nil"/>
            </w:tcBorders>
            <w:vAlign w:val="center"/>
          </w:tcPr>
          <w:p w14:paraId="0F8BD745" w14:textId="43EEF67D"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T=300 K, P=100 kPa</w:t>
            </w:r>
          </w:p>
        </w:tc>
        <w:tc>
          <w:tcPr>
            <w:tcW w:w="2160" w:type="dxa"/>
            <w:tcBorders>
              <w:top w:val="single" w:sz="18" w:space="0" w:color="000000"/>
              <w:left w:val="nil"/>
              <w:right w:val="nil"/>
            </w:tcBorders>
            <w:vAlign w:val="center"/>
          </w:tcPr>
          <w:p w14:paraId="41F5E4DB" w14:textId="64863643"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1798</w:t>
            </w:r>
          </w:p>
        </w:tc>
        <w:tc>
          <w:tcPr>
            <w:tcW w:w="2160" w:type="dxa"/>
            <w:tcBorders>
              <w:top w:val="single" w:sz="18" w:space="0" w:color="000000"/>
              <w:left w:val="nil"/>
              <w:right w:val="nil"/>
            </w:tcBorders>
            <w:vAlign w:val="center"/>
          </w:tcPr>
          <w:p w14:paraId="1159810D" w14:textId="521A83E6"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1805</w:t>
            </w:r>
          </w:p>
        </w:tc>
        <w:tc>
          <w:tcPr>
            <w:tcW w:w="2160" w:type="dxa"/>
            <w:tcBorders>
              <w:top w:val="single" w:sz="18" w:space="0" w:color="000000"/>
              <w:left w:val="nil"/>
              <w:right w:val="nil"/>
            </w:tcBorders>
            <w:vAlign w:val="center"/>
          </w:tcPr>
          <w:p w14:paraId="3F9358C9" w14:textId="5381CC67" w:rsidR="00D15E89"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0.4%</w:t>
            </w:r>
          </w:p>
        </w:tc>
      </w:tr>
      <w:tr w:rsidR="00D15E89" w:rsidRPr="008909BF" w14:paraId="60F0F714" w14:textId="12C1E938" w:rsidTr="00D15E89">
        <w:trPr>
          <w:trHeight w:val="432"/>
        </w:trPr>
        <w:tc>
          <w:tcPr>
            <w:tcW w:w="3060" w:type="dxa"/>
            <w:tcBorders>
              <w:left w:val="nil"/>
              <w:right w:val="nil"/>
            </w:tcBorders>
            <w:vAlign w:val="center"/>
          </w:tcPr>
          <w:p w14:paraId="0D4EFB8F" w14:textId="5C532757"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T=300 K, P=500 kPa</w:t>
            </w:r>
          </w:p>
        </w:tc>
        <w:tc>
          <w:tcPr>
            <w:tcW w:w="2160" w:type="dxa"/>
            <w:tcBorders>
              <w:left w:val="nil"/>
              <w:right w:val="nil"/>
            </w:tcBorders>
            <w:vAlign w:val="center"/>
          </w:tcPr>
          <w:p w14:paraId="5CE38E60" w14:textId="471C6626"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1833</w:t>
            </w:r>
          </w:p>
        </w:tc>
        <w:tc>
          <w:tcPr>
            <w:tcW w:w="2160" w:type="dxa"/>
            <w:tcBorders>
              <w:left w:val="nil"/>
              <w:right w:val="nil"/>
            </w:tcBorders>
            <w:vAlign w:val="center"/>
          </w:tcPr>
          <w:p w14:paraId="20D9DC9B" w14:textId="06CA837D"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1805</w:t>
            </w:r>
          </w:p>
        </w:tc>
        <w:tc>
          <w:tcPr>
            <w:tcW w:w="2160" w:type="dxa"/>
            <w:tcBorders>
              <w:left w:val="nil"/>
              <w:right w:val="nil"/>
            </w:tcBorders>
            <w:vAlign w:val="center"/>
          </w:tcPr>
          <w:p w14:paraId="341CC6C9" w14:textId="2F743B5D" w:rsidR="00D15E89"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1.6%</w:t>
            </w:r>
          </w:p>
        </w:tc>
      </w:tr>
      <w:tr w:rsidR="00D15E89" w:rsidRPr="008909BF" w14:paraId="226A1945" w14:textId="4F02E4C3" w:rsidTr="00D15E89">
        <w:trPr>
          <w:trHeight w:val="432"/>
        </w:trPr>
        <w:tc>
          <w:tcPr>
            <w:tcW w:w="3060" w:type="dxa"/>
            <w:tcBorders>
              <w:left w:val="nil"/>
              <w:right w:val="nil"/>
            </w:tcBorders>
            <w:vAlign w:val="center"/>
          </w:tcPr>
          <w:p w14:paraId="1743B321" w14:textId="249F5302"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T=600 K, P=100 kPa</w:t>
            </w:r>
          </w:p>
        </w:tc>
        <w:tc>
          <w:tcPr>
            <w:tcW w:w="2160" w:type="dxa"/>
            <w:tcBorders>
              <w:left w:val="nil"/>
              <w:right w:val="nil"/>
            </w:tcBorders>
            <w:vAlign w:val="center"/>
          </w:tcPr>
          <w:p w14:paraId="41DEEC13" w14:textId="3D88B814"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1798</w:t>
            </w:r>
          </w:p>
        </w:tc>
        <w:tc>
          <w:tcPr>
            <w:tcW w:w="2160" w:type="dxa"/>
            <w:tcBorders>
              <w:left w:val="nil"/>
              <w:right w:val="nil"/>
            </w:tcBorders>
            <w:vAlign w:val="center"/>
          </w:tcPr>
          <w:p w14:paraId="20136082" w14:textId="55510197" w:rsidR="00D15E89" w:rsidRPr="008909BF"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1805</w:t>
            </w:r>
          </w:p>
        </w:tc>
        <w:tc>
          <w:tcPr>
            <w:tcW w:w="2160" w:type="dxa"/>
            <w:tcBorders>
              <w:left w:val="nil"/>
              <w:right w:val="nil"/>
            </w:tcBorders>
            <w:vAlign w:val="center"/>
          </w:tcPr>
          <w:p w14:paraId="3D0EDB37" w14:textId="604616BE" w:rsidR="00D15E89" w:rsidRDefault="00D15E89" w:rsidP="00D15E89">
            <w:pPr>
              <w:jc w:val="center"/>
              <w:rPr>
                <w:rFonts w:ascii="Arial" w:hAnsi="Arial" w:cs="Arial"/>
                <w:color w:val="000000" w:themeColor="text1"/>
                <w:sz w:val="22"/>
                <w:szCs w:val="22"/>
              </w:rPr>
            </w:pPr>
            <w:r>
              <w:rPr>
                <w:rFonts w:ascii="Arial" w:hAnsi="Arial" w:cs="Arial"/>
                <w:color w:val="000000" w:themeColor="text1"/>
                <w:sz w:val="22"/>
                <w:szCs w:val="22"/>
              </w:rPr>
              <w:t>0.4%</w:t>
            </w:r>
          </w:p>
        </w:tc>
      </w:tr>
    </w:tbl>
    <w:p w14:paraId="2749D6F8" w14:textId="77777777" w:rsidR="008909BF" w:rsidRPr="008909BF" w:rsidRDefault="008909BF" w:rsidP="00626849">
      <w:pPr>
        <w:jc w:val="both"/>
        <w:rPr>
          <w:rFonts w:ascii="Arial" w:hAnsi="Arial" w:cs="Arial"/>
          <w:color w:val="000000" w:themeColor="text1"/>
          <w:sz w:val="22"/>
          <w:szCs w:val="22"/>
        </w:rPr>
      </w:pPr>
    </w:p>
    <w:p w14:paraId="1B618845" w14:textId="0343E211" w:rsidR="00D15E89" w:rsidRPr="0075738E" w:rsidRDefault="00D15E89" w:rsidP="00626849">
      <w:pPr>
        <w:jc w:val="both"/>
        <w:rPr>
          <w:rFonts w:ascii="Arial" w:hAnsi="Arial" w:cs="Arial"/>
          <w:color w:val="000000" w:themeColor="text1"/>
          <w:sz w:val="22"/>
          <w:szCs w:val="22"/>
        </w:rPr>
      </w:pPr>
      <w:r>
        <w:rPr>
          <w:rFonts w:ascii="Arial" w:hAnsi="Arial" w:cs="Arial"/>
          <w:color w:val="000000" w:themeColor="text1"/>
          <w:sz w:val="22"/>
          <w:szCs w:val="22"/>
        </w:rPr>
        <w:t xml:space="preserve">As shown </w:t>
      </w:r>
      <w:r w:rsidR="0075738E">
        <w:rPr>
          <w:rFonts w:ascii="Arial" w:hAnsi="Arial" w:cs="Arial"/>
          <w:color w:val="000000" w:themeColor="text1"/>
          <w:sz w:val="22"/>
          <w:szCs w:val="22"/>
        </w:rPr>
        <w:t xml:space="preserve">in Table 1 </w:t>
      </w:r>
      <w:r>
        <w:rPr>
          <w:rFonts w:ascii="Arial" w:hAnsi="Arial" w:cs="Arial"/>
          <w:color w:val="000000" w:themeColor="text1"/>
          <w:sz w:val="22"/>
          <w:szCs w:val="22"/>
        </w:rPr>
        <w:t xml:space="preserve">above, the deviation in detonation pressures from </w:t>
      </w:r>
      <w:r w:rsidR="0075738E">
        <w:rPr>
          <w:rFonts w:ascii="Arial" w:hAnsi="Arial" w:cs="Arial"/>
          <w:color w:val="000000" w:themeColor="text1"/>
          <w:sz w:val="22"/>
          <w:szCs w:val="22"/>
        </w:rPr>
        <w:t>the simplified estimation is nearly negligible for all reaction mixtures. This is especially remarkable given the highly simplified assumptions used when constructing the above model, not least approximating the mixture as a pure N</w:t>
      </w:r>
      <w:r w:rsidR="0075738E">
        <w:rPr>
          <w:rFonts w:ascii="Arial" w:hAnsi="Arial" w:cs="Arial"/>
          <w:color w:val="000000" w:themeColor="text1"/>
          <w:sz w:val="22"/>
          <w:szCs w:val="22"/>
          <w:vertAlign w:val="subscript"/>
        </w:rPr>
        <w:t>2</w:t>
      </w:r>
      <w:r w:rsidR="0075738E">
        <w:rPr>
          <w:rFonts w:ascii="Arial" w:hAnsi="Arial" w:cs="Arial"/>
          <w:color w:val="000000" w:themeColor="text1"/>
          <w:sz w:val="22"/>
          <w:szCs w:val="22"/>
        </w:rPr>
        <w:t xml:space="preserve"> stream. While this simplified detonation speed approximation is useful for quick estimations of detonation speed, for full estimations of the conditions inside the 1-dimensional ZND detonation wave, including induction time, pressure, temperature, and Mach number, the full simulation must be evaluated.</w:t>
      </w:r>
    </w:p>
    <w:p w14:paraId="5B0E6118" w14:textId="77777777" w:rsidR="00D15E89" w:rsidRDefault="00D15E89" w:rsidP="00626849">
      <w:pPr>
        <w:jc w:val="both"/>
        <w:rPr>
          <w:rFonts w:ascii="Arial" w:hAnsi="Arial" w:cs="Arial"/>
          <w:color w:val="000000" w:themeColor="text1"/>
          <w:sz w:val="22"/>
          <w:szCs w:val="22"/>
        </w:rPr>
      </w:pPr>
    </w:p>
    <w:p w14:paraId="45898DEB" w14:textId="07B58DD2" w:rsidR="0042256A" w:rsidRDefault="0042256A" w:rsidP="00626849">
      <w:pPr>
        <w:jc w:val="both"/>
        <w:rPr>
          <w:rFonts w:ascii="Arial" w:hAnsi="Arial" w:cs="Arial"/>
          <w:color w:val="000000" w:themeColor="text1"/>
          <w:sz w:val="22"/>
          <w:szCs w:val="22"/>
        </w:rPr>
      </w:pPr>
      <w:r>
        <w:rPr>
          <w:rFonts w:ascii="Arial" w:hAnsi="Arial" w:cs="Arial"/>
          <w:color w:val="000000" w:themeColor="text1"/>
          <w:sz w:val="22"/>
          <w:szCs w:val="22"/>
        </w:rPr>
        <w:t>This speed is directly related to the Mach number for detonation, which corresponds to the ratio between the reactant flow and the speed of sound in the reactant mixture</w:t>
      </w:r>
      <w:r w:rsidR="00E7347F">
        <w:rPr>
          <w:rFonts w:ascii="Arial" w:hAnsi="Arial" w:cs="Arial"/>
          <w:color w:val="000000" w:themeColor="text1"/>
          <w:sz w:val="22"/>
          <w:szCs w:val="22"/>
        </w:rPr>
        <w:t>:</w:t>
      </w:r>
    </w:p>
    <w:p w14:paraId="429F3963" w14:textId="71695A76" w:rsidR="00E7347F" w:rsidRDefault="00E7347F" w:rsidP="00626849">
      <w:pPr>
        <w:jc w:val="both"/>
        <w:rPr>
          <w:rFonts w:ascii="Arial" w:hAnsi="Arial" w:cs="Arial"/>
          <w:color w:val="000000" w:themeColor="text1"/>
          <w:sz w:val="22"/>
          <w:szCs w:val="22"/>
        </w:rPr>
      </w:pPr>
    </w:p>
    <w:p w14:paraId="71C0565A" w14:textId="3B27B191" w:rsidR="00E7347F" w:rsidRDefault="00E7347F" w:rsidP="00E7347F">
      <w:pPr>
        <w:jc w:val="cente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5CFD43E6" wp14:editId="72EA9392">
            <wp:extent cx="4013200" cy="30099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22903" cy="3017177"/>
                    </a:xfrm>
                    <a:prstGeom prst="rect">
                      <a:avLst/>
                    </a:prstGeom>
                  </pic:spPr>
                </pic:pic>
              </a:graphicData>
            </a:graphic>
          </wp:inline>
        </w:drawing>
      </w:r>
    </w:p>
    <w:p w14:paraId="659C6C5A" w14:textId="69027EDF" w:rsidR="00A73FE0" w:rsidRPr="00A53F25" w:rsidRDefault="00A73FE0" w:rsidP="00A73FE0">
      <w:pPr>
        <w:jc w:val="center"/>
        <w:rPr>
          <w:rFonts w:ascii="Arial" w:hAnsi="Arial" w:cs="Arial"/>
          <w:color w:val="000000" w:themeColor="text1"/>
          <w:sz w:val="22"/>
          <w:szCs w:val="22"/>
        </w:rPr>
      </w:pPr>
      <w:r w:rsidRPr="00A53F25">
        <w:rPr>
          <w:rFonts w:ascii="Arial" w:hAnsi="Arial" w:cs="Arial"/>
          <w:b/>
          <w:bCs/>
          <w:color w:val="000000" w:themeColor="text1"/>
          <w:sz w:val="18"/>
          <w:szCs w:val="18"/>
        </w:rPr>
        <w:t xml:space="preserve">Fig </w:t>
      </w:r>
      <w:r>
        <w:rPr>
          <w:rFonts w:ascii="Arial" w:hAnsi="Arial" w:cs="Arial"/>
          <w:b/>
          <w:bCs/>
          <w:color w:val="000000" w:themeColor="text1"/>
          <w:sz w:val="18"/>
          <w:szCs w:val="18"/>
        </w:rPr>
        <w:t>2</w:t>
      </w:r>
      <w:r w:rsidRPr="00A53F25">
        <w:rPr>
          <w:rFonts w:ascii="Arial" w:hAnsi="Arial" w:cs="Arial"/>
          <w:b/>
          <w:bCs/>
          <w:color w:val="000000" w:themeColor="text1"/>
          <w:sz w:val="18"/>
          <w:szCs w:val="18"/>
        </w:rPr>
        <w:t xml:space="preserve"> | </w:t>
      </w:r>
      <w:r>
        <w:rPr>
          <w:rFonts w:ascii="Arial" w:hAnsi="Arial" w:cs="Arial"/>
          <w:b/>
          <w:bCs/>
          <w:color w:val="000000" w:themeColor="text1"/>
          <w:sz w:val="18"/>
          <w:szCs w:val="18"/>
        </w:rPr>
        <w:t>Variance in Mach number as a function of initial physical state and composition</w:t>
      </w:r>
    </w:p>
    <w:p w14:paraId="7CD3D4EC" w14:textId="1FCA253A" w:rsidR="00A73FE0" w:rsidRDefault="00A73FE0" w:rsidP="00A73FE0">
      <w:pPr>
        <w:rPr>
          <w:rFonts w:ascii="Arial" w:hAnsi="Arial" w:cs="Arial"/>
          <w:color w:val="000000" w:themeColor="text1"/>
          <w:sz w:val="22"/>
          <w:szCs w:val="22"/>
        </w:rPr>
      </w:pPr>
    </w:p>
    <w:p w14:paraId="2902F159" w14:textId="629E10E2" w:rsidR="00A73FE0" w:rsidRDefault="00A73FE0" w:rsidP="00A73FE0">
      <w:pPr>
        <w:jc w:val="both"/>
        <w:rPr>
          <w:rFonts w:ascii="Arial" w:hAnsi="Arial" w:cs="Arial"/>
          <w:color w:val="000000" w:themeColor="text1"/>
          <w:sz w:val="22"/>
          <w:szCs w:val="22"/>
        </w:rPr>
      </w:pPr>
      <w:r>
        <w:rPr>
          <w:rFonts w:ascii="Arial" w:hAnsi="Arial" w:cs="Arial"/>
          <w:color w:val="000000" w:themeColor="text1"/>
          <w:sz w:val="22"/>
          <w:szCs w:val="22"/>
        </w:rPr>
        <w:t>From this plot, it becomes clear the near-negligible effect that initial pressure holds on the reactant feed Mach number for detonation. However, temperature shows a much stronger effect on Mach number.</w:t>
      </w:r>
    </w:p>
    <w:p w14:paraId="64FA938D" w14:textId="7BFB862C" w:rsidR="00A73FE0" w:rsidRDefault="00A73FE0" w:rsidP="00A73FE0">
      <w:pPr>
        <w:jc w:val="both"/>
        <w:rPr>
          <w:rFonts w:ascii="Arial" w:hAnsi="Arial" w:cs="Arial"/>
          <w:color w:val="000000" w:themeColor="text1"/>
          <w:sz w:val="22"/>
          <w:szCs w:val="22"/>
        </w:rPr>
      </w:pPr>
    </w:p>
    <w:p w14:paraId="7B623004" w14:textId="00D90F21" w:rsidR="009C6D01" w:rsidRDefault="00A73FE0" w:rsidP="00A73FE0">
      <w:pPr>
        <w:jc w:val="both"/>
        <w:rPr>
          <w:rFonts w:ascii="Arial" w:hAnsi="Arial" w:cs="Arial"/>
          <w:color w:val="000000" w:themeColor="text1"/>
          <w:sz w:val="22"/>
          <w:szCs w:val="22"/>
        </w:rPr>
      </w:pPr>
      <w:r>
        <w:rPr>
          <w:rFonts w:ascii="Arial" w:hAnsi="Arial" w:cs="Arial"/>
          <w:color w:val="000000" w:themeColor="text1"/>
          <w:sz w:val="22"/>
          <w:szCs w:val="22"/>
        </w:rPr>
        <w:lastRenderedPageBreak/>
        <w:t xml:space="preserve">An intuitive explanation for this phenomenon is uncovered by considering the structure of a </w:t>
      </w:r>
      <w:proofErr w:type="spellStart"/>
      <w:r>
        <w:rPr>
          <w:rFonts w:ascii="Arial" w:hAnsi="Arial" w:cs="Arial"/>
          <w:color w:val="000000" w:themeColor="text1"/>
          <w:sz w:val="22"/>
          <w:szCs w:val="22"/>
        </w:rPr>
        <w:t>Zeldovich</w:t>
      </w:r>
      <w:proofErr w:type="spellEnd"/>
      <w:r>
        <w:rPr>
          <w:rFonts w:ascii="Arial" w:hAnsi="Arial" w:cs="Arial"/>
          <w:color w:val="000000" w:themeColor="text1"/>
          <w:sz w:val="22"/>
          <w:szCs w:val="22"/>
        </w:rPr>
        <w:t>-von Neumann-Doering (ZND) detonation wave. This wave consists of a supersonic reactant zone, shock zone with elevated temperature and pressure, reaction zone where combustion rapidly occurs, and equilibrated product flow. The ZND detonation wave propagates using the temperature and pressure rise from the shock to rapidly trigger autoignition. This autoignition process</w:t>
      </w:r>
      <w:r w:rsidR="00164CE9">
        <w:rPr>
          <w:rFonts w:ascii="Arial" w:hAnsi="Arial" w:cs="Arial"/>
          <w:color w:val="000000" w:themeColor="text1"/>
          <w:sz w:val="22"/>
          <w:szCs w:val="22"/>
        </w:rPr>
        <w:t>, like typical autoignition, is highly dependent on temperature to encourage the production of reactive radical species. When the inlet temperature to the detonation process is elevated, so is the temperature within the induction region, and thus the width of the induction zone is smaller due to the much faster autoignition process</w:t>
      </w:r>
      <w:r w:rsidR="009C6D01">
        <w:rPr>
          <w:rFonts w:ascii="Arial" w:hAnsi="Arial" w:cs="Arial"/>
          <w:color w:val="000000" w:themeColor="text1"/>
          <w:sz w:val="22"/>
          <w:szCs w:val="22"/>
        </w:rPr>
        <w:t>, which decreases the speed necessary to maintain sonic flow downstream of the rapid combustion reaction.</w:t>
      </w:r>
    </w:p>
    <w:p w14:paraId="076354B6" w14:textId="08B5702F" w:rsidR="00164CE9" w:rsidRDefault="00164CE9" w:rsidP="00A73FE0">
      <w:pPr>
        <w:jc w:val="both"/>
        <w:rPr>
          <w:rFonts w:ascii="Arial" w:hAnsi="Arial" w:cs="Arial"/>
          <w:color w:val="000000" w:themeColor="text1"/>
          <w:sz w:val="22"/>
          <w:szCs w:val="22"/>
        </w:rPr>
      </w:pPr>
    </w:p>
    <w:p w14:paraId="1E0B54A8" w14:textId="0C6C121B" w:rsidR="00A73FE0" w:rsidRDefault="009C6D01" w:rsidP="009C6D01">
      <w:pPr>
        <w:jc w:val="both"/>
        <w:rPr>
          <w:rFonts w:ascii="Arial" w:hAnsi="Arial" w:cs="Arial"/>
          <w:color w:val="000000" w:themeColor="text1"/>
          <w:sz w:val="22"/>
          <w:szCs w:val="22"/>
        </w:rPr>
      </w:pPr>
      <w:r>
        <w:rPr>
          <w:rFonts w:ascii="Arial" w:hAnsi="Arial" w:cs="Arial"/>
          <w:color w:val="000000" w:themeColor="text1"/>
          <w:sz w:val="22"/>
          <w:szCs w:val="22"/>
        </w:rPr>
        <w:t>Further insight can be gained on the combustion process by evaluating the pressure, temperature and specific heat downstream of the combustion reaction at each initial condition. These were evaluated at the outlet gas concentration</w:t>
      </w:r>
      <w:r w:rsidR="002149C1">
        <w:rPr>
          <w:rFonts w:ascii="Arial" w:hAnsi="Arial" w:cs="Arial"/>
          <w:color w:val="000000" w:themeColor="text1"/>
          <w:sz w:val="22"/>
          <w:szCs w:val="22"/>
        </w:rPr>
        <w:t>, after the combustion reaction has already occurred.</w:t>
      </w:r>
    </w:p>
    <w:p w14:paraId="43548D0F" w14:textId="4F827703" w:rsidR="009C6D01" w:rsidRDefault="009C6D01" w:rsidP="009C6D01">
      <w:pPr>
        <w:jc w:val="both"/>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81792" behindDoc="0" locked="0" layoutInCell="1" allowOverlap="1" wp14:anchorId="4DA11CB7" wp14:editId="520A74B1">
            <wp:simplePos x="0" y="0"/>
            <wp:positionH relativeFrom="column">
              <wp:posOffset>1346200</wp:posOffset>
            </wp:positionH>
            <wp:positionV relativeFrom="paragraph">
              <wp:posOffset>2800985</wp:posOffset>
            </wp:positionV>
            <wp:extent cx="3420533" cy="2565400"/>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20533" cy="25654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000000" w:themeColor="text1"/>
          <w:sz w:val="22"/>
          <w:szCs w:val="22"/>
        </w:rPr>
        <w:drawing>
          <wp:anchor distT="0" distB="0" distL="114300" distR="114300" simplePos="0" relativeHeight="251680768" behindDoc="0" locked="0" layoutInCell="1" allowOverlap="1" wp14:anchorId="74040813" wp14:editId="127CE734">
            <wp:simplePos x="0" y="0"/>
            <wp:positionH relativeFrom="column">
              <wp:posOffset>2933700</wp:posOffset>
            </wp:positionH>
            <wp:positionV relativeFrom="paragraph">
              <wp:posOffset>6350</wp:posOffset>
            </wp:positionV>
            <wp:extent cx="3733800" cy="2800350"/>
            <wp:effectExtent l="0" t="0" r="0" b="6350"/>
            <wp:wrapSquare wrapText="bothSides"/>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33800" cy="2800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000000" w:themeColor="text1"/>
          <w:sz w:val="22"/>
          <w:szCs w:val="22"/>
        </w:rPr>
        <w:drawing>
          <wp:anchor distT="0" distB="0" distL="114300" distR="114300" simplePos="0" relativeHeight="251679744" behindDoc="0" locked="0" layoutInCell="1" allowOverlap="1" wp14:anchorId="2216B0B5" wp14:editId="4B7E78D5">
            <wp:simplePos x="0" y="0"/>
            <wp:positionH relativeFrom="column">
              <wp:posOffset>-499745</wp:posOffset>
            </wp:positionH>
            <wp:positionV relativeFrom="paragraph">
              <wp:posOffset>159</wp:posOffset>
            </wp:positionV>
            <wp:extent cx="3742267" cy="2806700"/>
            <wp:effectExtent l="0" t="0" r="4445"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42267" cy="2806700"/>
                    </a:xfrm>
                    <a:prstGeom prst="rect">
                      <a:avLst/>
                    </a:prstGeom>
                  </pic:spPr>
                </pic:pic>
              </a:graphicData>
            </a:graphic>
            <wp14:sizeRelH relativeFrom="page">
              <wp14:pctWidth>0</wp14:pctWidth>
            </wp14:sizeRelH>
            <wp14:sizeRelV relativeFrom="page">
              <wp14:pctHeight>0</wp14:pctHeight>
            </wp14:sizeRelV>
          </wp:anchor>
        </w:drawing>
      </w:r>
    </w:p>
    <w:p w14:paraId="5A64EC17" w14:textId="562E766F" w:rsidR="009C6D01" w:rsidRDefault="009C6D01" w:rsidP="009C6D01">
      <w:pPr>
        <w:jc w:val="both"/>
        <w:rPr>
          <w:rFonts w:ascii="Arial" w:hAnsi="Arial" w:cs="Arial"/>
          <w:color w:val="000000" w:themeColor="text1"/>
          <w:sz w:val="22"/>
          <w:szCs w:val="22"/>
        </w:rPr>
      </w:pPr>
    </w:p>
    <w:p w14:paraId="1ECE73CD" w14:textId="77777777" w:rsidR="00A53F25" w:rsidRPr="00C82D3C" w:rsidRDefault="00A53F25" w:rsidP="00A53F25">
      <w:pPr>
        <w:rPr>
          <w:rFonts w:ascii="Arial" w:hAnsi="Arial" w:cs="Arial"/>
          <w:color w:val="000000" w:themeColor="text1"/>
          <w:sz w:val="22"/>
          <w:szCs w:val="22"/>
        </w:rPr>
      </w:pPr>
    </w:p>
    <w:p w14:paraId="22667EB5" w14:textId="77777777" w:rsidR="009C6D01" w:rsidRDefault="009C6D01" w:rsidP="001628BE">
      <w:pPr>
        <w:rPr>
          <w:rFonts w:ascii="Arial" w:hAnsi="Arial" w:cs="Arial"/>
          <w:color w:val="000000" w:themeColor="text1"/>
          <w:sz w:val="22"/>
          <w:szCs w:val="22"/>
          <w:highlight w:val="yellow"/>
        </w:rPr>
      </w:pPr>
    </w:p>
    <w:p w14:paraId="16D33F42" w14:textId="77777777" w:rsidR="009C6D01" w:rsidRDefault="009C6D01" w:rsidP="001628BE">
      <w:pPr>
        <w:rPr>
          <w:rFonts w:ascii="Arial" w:hAnsi="Arial" w:cs="Arial"/>
          <w:color w:val="000000" w:themeColor="text1"/>
          <w:sz w:val="22"/>
          <w:szCs w:val="22"/>
          <w:highlight w:val="yellow"/>
        </w:rPr>
      </w:pPr>
    </w:p>
    <w:p w14:paraId="2DDA944C" w14:textId="77777777" w:rsidR="009C6D01" w:rsidRDefault="009C6D01" w:rsidP="001628BE">
      <w:pPr>
        <w:rPr>
          <w:rFonts w:ascii="Arial" w:hAnsi="Arial" w:cs="Arial"/>
          <w:color w:val="000000" w:themeColor="text1"/>
          <w:sz w:val="22"/>
          <w:szCs w:val="22"/>
          <w:highlight w:val="yellow"/>
        </w:rPr>
      </w:pPr>
    </w:p>
    <w:p w14:paraId="57F92928" w14:textId="77777777" w:rsidR="009C6D01" w:rsidRDefault="009C6D01" w:rsidP="001628BE">
      <w:pPr>
        <w:rPr>
          <w:rFonts w:ascii="Arial" w:hAnsi="Arial" w:cs="Arial"/>
          <w:color w:val="000000" w:themeColor="text1"/>
          <w:sz w:val="22"/>
          <w:szCs w:val="22"/>
          <w:highlight w:val="yellow"/>
        </w:rPr>
      </w:pPr>
    </w:p>
    <w:p w14:paraId="596B3CDF" w14:textId="77777777" w:rsidR="009C6D01" w:rsidRDefault="009C6D01" w:rsidP="001628BE">
      <w:pPr>
        <w:rPr>
          <w:rFonts w:ascii="Arial" w:hAnsi="Arial" w:cs="Arial"/>
          <w:color w:val="000000" w:themeColor="text1"/>
          <w:sz w:val="22"/>
          <w:szCs w:val="22"/>
          <w:highlight w:val="yellow"/>
        </w:rPr>
      </w:pPr>
    </w:p>
    <w:p w14:paraId="01AE5D8A" w14:textId="77777777" w:rsidR="009C6D01" w:rsidRDefault="009C6D01" w:rsidP="001628BE">
      <w:pPr>
        <w:rPr>
          <w:rFonts w:ascii="Arial" w:hAnsi="Arial" w:cs="Arial"/>
          <w:color w:val="000000" w:themeColor="text1"/>
          <w:sz w:val="22"/>
          <w:szCs w:val="22"/>
          <w:highlight w:val="yellow"/>
        </w:rPr>
      </w:pPr>
    </w:p>
    <w:p w14:paraId="5857A111" w14:textId="77777777" w:rsidR="009C6D01" w:rsidRDefault="009C6D01" w:rsidP="001628BE">
      <w:pPr>
        <w:rPr>
          <w:rFonts w:ascii="Arial" w:hAnsi="Arial" w:cs="Arial"/>
          <w:color w:val="000000" w:themeColor="text1"/>
          <w:sz w:val="22"/>
          <w:szCs w:val="22"/>
          <w:highlight w:val="yellow"/>
        </w:rPr>
      </w:pPr>
    </w:p>
    <w:p w14:paraId="69E7125E" w14:textId="77777777" w:rsidR="009C6D01" w:rsidRDefault="009C6D01" w:rsidP="001628BE">
      <w:pPr>
        <w:rPr>
          <w:rFonts w:ascii="Arial" w:hAnsi="Arial" w:cs="Arial"/>
          <w:color w:val="000000" w:themeColor="text1"/>
          <w:sz w:val="22"/>
          <w:szCs w:val="22"/>
          <w:highlight w:val="yellow"/>
        </w:rPr>
      </w:pPr>
    </w:p>
    <w:p w14:paraId="25907282" w14:textId="77777777" w:rsidR="009C6D01" w:rsidRDefault="009C6D01" w:rsidP="001628BE">
      <w:pPr>
        <w:rPr>
          <w:rFonts w:ascii="Arial" w:hAnsi="Arial" w:cs="Arial"/>
          <w:color w:val="000000" w:themeColor="text1"/>
          <w:sz w:val="22"/>
          <w:szCs w:val="22"/>
          <w:highlight w:val="yellow"/>
        </w:rPr>
      </w:pPr>
    </w:p>
    <w:p w14:paraId="6FB2A6DE" w14:textId="77777777" w:rsidR="009C6D01" w:rsidRDefault="009C6D01" w:rsidP="001628BE">
      <w:pPr>
        <w:rPr>
          <w:rFonts w:ascii="Arial" w:hAnsi="Arial" w:cs="Arial"/>
          <w:color w:val="000000" w:themeColor="text1"/>
          <w:sz w:val="22"/>
          <w:szCs w:val="22"/>
          <w:highlight w:val="yellow"/>
        </w:rPr>
      </w:pPr>
    </w:p>
    <w:p w14:paraId="486E2365" w14:textId="77777777" w:rsidR="009C6D01" w:rsidRDefault="009C6D01" w:rsidP="001628BE">
      <w:pPr>
        <w:rPr>
          <w:rFonts w:ascii="Arial" w:hAnsi="Arial" w:cs="Arial"/>
          <w:color w:val="000000" w:themeColor="text1"/>
          <w:sz w:val="22"/>
          <w:szCs w:val="22"/>
          <w:highlight w:val="yellow"/>
        </w:rPr>
      </w:pPr>
    </w:p>
    <w:p w14:paraId="65E1E723" w14:textId="77777777" w:rsidR="009C6D01" w:rsidRDefault="009C6D01" w:rsidP="001628BE">
      <w:pPr>
        <w:rPr>
          <w:rFonts w:ascii="Arial" w:hAnsi="Arial" w:cs="Arial"/>
          <w:color w:val="000000" w:themeColor="text1"/>
          <w:sz w:val="22"/>
          <w:szCs w:val="22"/>
          <w:highlight w:val="yellow"/>
        </w:rPr>
      </w:pPr>
    </w:p>
    <w:p w14:paraId="43FF58C7" w14:textId="77777777" w:rsidR="009C6D01" w:rsidRDefault="009C6D01" w:rsidP="001628BE">
      <w:pPr>
        <w:rPr>
          <w:rFonts w:ascii="Arial" w:hAnsi="Arial" w:cs="Arial"/>
          <w:color w:val="000000" w:themeColor="text1"/>
          <w:sz w:val="22"/>
          <w:szCs w:val="22"/>
          <w:highlight w:val="yellow"/>
        </w:rPr>
      </w:pPr>
    </w:p>
    <w:p w14:paraId="017B8818" w14:textId="4D0894FB" w:rsidR="009C6D01" w:rsidRPr="00A53F25" w:rsidRDefault="009C6D01" w:rsidP="009C6D01">
      <w:pPr>
        <w:jc w:val="center"/>
        <w:rPr>
          <w:rFonts w:ascii="Arial" w:hAnsi="Arial" w:cs="Arial"/>
          <w:color w:val="000000" w:themeColor="text1"/>
          <w:sz w:val="22"/>
          <w:szCs w:val="22"/>
        </w:rPr>
      </w:pPr>
      <w:r w:rsidRPr="00A53F25">
        <w:rPr>
          <w:rFonts w:ascii="Arial" w:hAnsi="Arial" w:cs="Arial"/>
          <w:b/>
          <w:bCs/>
          <w:color w:val="000000" w:themeColor="text1"/>
          <w:sz w:val="18"/>
          <w:szCs w:val="18"/>
        </w:rPr>
        <w:t xml:space="preserve">Fig </w:t>
      </w:r>
      <w:r>
        <w:rPr>
          <w:rFonts w:ascii="Arial" w:hAnsi="Arial" w:cs="Arial"/>
          <w:b/>
          <w:bCs/>
          <w:color w:val="000000" w:themeColor="text1"/>
          <w:sz w:val="18"/>
          <w:szCs w:val="18"/>
        </w:rPr>
        <w:t>3</w:t>
      </w:r>
      <w:r w:rsidRPr="00A53F25">
        <w:rPr>
          <w:rFonts w:ascii="Arial" w:hAnsi="Arial" w:cs="Arial"/>
          <w:b/>
          <w:bCs/>
          <w:color w:val="000000" w:themeColor="text1"/>
          <w:sz w:val="18"/>
          <w:szCs w:val="18"/>
        </w:rPr>
        <w:t xml:space="preserve"> | </w:t>
      </w:r>
      <w:r>
        <w:rPr>
          <w:rFonts w:ascii="Arial" w:hAnsi="Arial" w:cs="Arial"/>
          <w:b/>
          <w:bCs/>
          <w:color w:val="000000" w:themeColor="text1"/>
          <w:sz w:val="18"/>
          <w:szCs w:val="18"/>
        </w:rPr>
        <w:t>Variance in product specific heat ratio, pressure, and temperature as a function of composition and reactant feed condition</w:t>
      </w:r>
    </w:p>
    <w:p w14:paraId="5E01A45C" w14:textId="77777777" w:rsidR="009C6D01" w:rsidRDefault="009C6D01" w:rsidP="009C6D01">
      <w:pPr>
        <w:jc w:val="center"/>
        <w:rPr>
          <w:rFonts w:ascii="Arial" w:hAnsi="Arial" w:cs="Arial"/>
          <w:color w:val="000000" w:themeColor="text1"/>
          <w:sz w:val="22"/>
          <w:szCs w:val="22"/>
          <w:highlight w:val="yellow"/>
        </w:rPr>
      </w:pPr>
    </w:p>
    <w:p w14:paraId="7C71033C" w14:textId="169607D1" w:rsidR="00464D27" w:rsidRDefault="002149C1" w:rsidP="002149C1">
      <w:pPr>
        <w:jc w:val="both"/>
        <w:rPr>
          <w:rFonts w:ascii="Arial" w:hAnsi="Arial" w:cs="Arial"/>
          <w:color w:val="000000" w:themeColor="text1"/>
          <w:sz w:val="22"/>
          <w:szCs w:val="22"/>
        </w:rPr>
      </w:pPr>
      <w:r w:rsidRPr="002149C1">
        <w:rPr>
          <w:rFonts w:ascii="Arial" w:hAnsi="Arial" w:cs="Arial"/>
          <w:color w:val="000000" w:themeColor="text1"/>
          <w:sz w:val="22"/>
          <w:szCs w:val="22"/>
        </w:rPr>
        <w:lastRenderedPageBreak/>
        <w:t>As</w:t>
      </w:r>
      <w:r>
        <w:rPr>
          <w:rFonts w:ascii="Arial" w:hAnsi="Arial" w:cs="Arial"/>
          <w:color w:val="000000" w:themeColor="text1"/>
          <w:sz w:val="22"/>
          <w:szCs w:val="22"/>
        </w:rPr>
        <w:t xml:space="preserve"> expected, the pressure and temperature are elevated within the detonation of the reactant mixture which enters at 5</w:t>
      </w:r>
      <w:r w:rsidR="006665AF">
        <w:rPr>
          <w:rFonts w:ascii="Arial" w:hAnsi="Arial" w:cs="Arial"/>
          <w:color w:val="000000" w:themeColor="text1"/>
          <w:sz w:val="22"/>
          <w:szCs w:val="22"/>
        </w:rPr>
        <w:t xml:space="preserve"> atm, with an extremely dramatic increase in pressure downstream from the reaction. This is understandable given the dependence of autoignition reaction upon temperature: when initial pressure is higher, pressure must increase dramatically to reach a temperature capable of sustaining rapid combustion reaction, here reaching a peak of over 80 atm.</w:t>
      </w:r>
      <w:r w:rsidR="00464D27">
        <w:rPr>
          <w:rFonts w:ascii="Arial" w:hAnsi="Arial" w:cs="Arial"/>
          <w:color w:val="000000" w:themeColor="text1"/>
          <w:sz w:val="22"/>
          <w:szCs w:val="22"/>
        </w:rPr>
        <w:t xml:space="preserve"> Pressure remains lower when the reaction mixture enters at 600 K for a similar reason: reactant pressure must increase to a lesser degree to initiate rapid combustion.</w:t>
      </w:r>
    </w:p>
    <w:p w14:paraId="30070AD7" w14:textId="1937B42D" w:rsidR="006665AF" w:rsidRDefault="006665AF" w:rsidP="002149C1">
      <w:pPr>
        <w:jc w:val="both"/>
        <w:rPr>
          <w:rFonts w:ascii="Arial" w:hAnsi="Arial" w:cs="Arial"/>
          <w:color w:val="000000" w:themeColor="text1"/>
          <w:sz w:val="22"/>
          <w:szCs w:val="22"/>
        </w:rPr>
      </w:pPr>
    </w:p>
    <w:p w14:paraId="0907D334" w14:textId="09FC2178" w:rsidR="006665AF" w:rsidRDefault="00464D27" w:rsidP="002149C1">
      <w:pPr>
        <w:jc w:val="both"/>
        <w:rPr>
          <w:rFonts w:ascii="Arial" w:hAnsi="Arial" w:cs="Arial"/>
          <w:color w:val="000000" w:themeColor="text1"/>
          <w:sz w:val="22"/>
          <w:szCs w:val="22"/>
        </w:rPr>
      </w:pPr>
      <w:r>
        <w:rPr>
          <w:rFonts w:ascii="Arial" w:hAnsi="Arial" w:cs="Arial"/>
          <w:color w:val="000000" w:themeColor="text1"/>
          <w:sz w:val="22"/>
          <w:szCs w:val="22"/>
        </w:rPr>
        <w:t>[specific heat ratio]</w:t>
      </w:r>
    </w:p>
    <w:p w14:paraId="289CB1D7" w14:textId="1E5F5641" w:rsidR="00464D27" w:rsidRDefault="00464D27" w:rsidP="002149C1">
      <w:pPr>
        <w:jc w:val="both"/>
        <w:rPr>
          <w:rFonts w:ascii="Arial" w:hAnsi="Arial" w:cs="Arial"/>
          <w:color w:val="000000" w:themeColor="text1"/>
          <w:sz w:val="22"/>
          <w:szCs w:val="22"/>
        </w:rPr>
      </w:pPr>
    </w:p>
    <w:p w14:paraId="4EA703F0" w14:textId="086E8E2F" w:rsidR="008D4BF5" w:rsidRDefault="00464D27" w:rsidP="008D4BF5">
      <w:pPr>
        <w:jc w:val="both"/>
        <w:rPr>
          <w:rFonts w:ascii="Arial" w:hAnsi="Arial" w:cs="Arial"/>
          <w:color w:val="000000" w:themeColor="text1"/>
          <w:sz w:val="22"/>
          <w:szCs w:val="22"/>
        </w:rPr>
      </w:pPr>
      <w:r>
        <w:rPr>
          <w:rFonts w:ascii="Arial" w:hAnsi="Arial" w:cs="Arial"/>
          <w:color w:val="000000" w:themeColor="text1"/>
          <w:sz w:val="22"/>
          <w:szCs w:val="22"/>
        </w:rPr>
        <w:t>Finally, temperature follows a similar trend to that seen for detonation speed, with temperature reaching a maximum near 4 mol% propane and decreasing as the composition approaches the lean and rich detonation limits. However, for the reactant mixture that enter</w:t>
      </w:r>
      <w:r w:rsidR="003F0395">
        <w:rPr>
          <w:rFonts w:ascii="Arial" w:hAnsi="Arial" w:cs="Arial"/>
          <w:color w:val="000000" w:themeColor="text1"/>
          <w:sz w:val="22"/>
          <w:szCs w:val="22"/>
        </w:rPr>
        <w:t>s the detonation at elevated temperature,</w:t>
      </w:r>
      <w:r w:rsidR="006915FF">
        <w:rPr>
          <w:rFonts w:ascii="Arial" w:hAnsi="Arial" w:cs="Arial"/>
          <w:color w:val="000000" w:themeColor="text1"/>
          <w:sz w:val="22"/>
          <w:szCs w:val="22"/>
        </w:rPr>
        <w:t xml:space="preserve"> with T</w:t>
      </w:r>
      <w:r w:rsidR="006915FF">
        <w:rPr>
          <w:rFonts w:ascii="Arial" w:hAnsi="Arial" w:cs="Arial"/>
          <w:color w:val="000000" w:themeColor="text1"/>
          <w:sz w:val="22"/>
          <w:szCs w:val="22"/>
          <w:vertAlign w:val="subscript"/>
        </w:rPr>
        <w:t>0</w:t>
      </w:r>
      <w:r w:rsidR="006915FF">
        <w:rPr>
          <w:rFonts w:ascii="Arial" w:hAnsi="Arial" w:cs="Arial"/>
          <w:color w:val="000000" w:themeColor="text1"/>
          <w:sz w:val="22"/>
          <w:szCs w:val="22"/>
        </w:rPr>
        <w:t xml:space="preserve"> =</w:t>
      </w:r>
      <w:r w:rsidR="003F0395">
        <w:rPr>
          <w:rFonts w:ascii="Arial" w:hAnsi="Arial" w:cs="Arial"/>
          <w:color w:val="000000" w:themeColor="text1"/>
          <w:sz w:val="22"/>
          <w:szCs w:val="22"/>
        </w:rPr>
        <w:t xml:space="preserve"> 600 K, outlet temperature is correspondingly higher. </w:t>
      </w:r>
      <w:r w:rsidR="006915FF">
        <w:rPr>
          <w:rFonts w:ascii="Arial" w:hAnsi="Arial" w:cs="Arial"/>
          <w:color w:val="000000" w:themeColor="text1"/>
          <w:sz w:val="22"/>
          <w:szCs w:val="22"/>
        </w:rPr>
        <w:t>The same detonation speed trend is again seen for this reaction mixture, where higher entrance pressure triggers a higher peak detonation product temperature.</w:t>
      </w:r>
    </w:p>
    <w:p w14:paraId="1451468B" w14:textId="0D0BEF15" w:rsidR="008D4BF5" w:rsidRDefault="008D4BF5" w:rsidP="008D4BF5">
      <w:pPr>
        <w:jc w:val="both"/>
        <w:rPr>
          <w:rFonts w:ascii="Arial" w:hAnsi="Arial" w:cs="Arial"/>
          <w:color w:val="000000" w:themeColor="text1"/>
          <w:sz w:val="22"/>
          <w:szCs w:val="22"/>
        </w:rPr>
      </w:pPr>
    </w:p>
    <w:p w14:paraId="1DDFAF07" w14:textId="38380910" w:rsidR="008D4BF5" w:rsidRDefault="008D4BF5" w:rsidP="008D4BF5">
      <w:pPr>
        <w:jc w:val="both"/>
        <w:rPr>
          <w:rFonts w:ascii="Arial" w:hAnsi="Arial" w:cs="Arial"/>
          <w:color w:val="000000" w:themeColor="text1"/>
          <w:sz w:val="22"/>
          <w:szCs w:val="22"/>
        </w:rPr>
      </w:pPr>
      <w:r>
        <w:rPr>
          <w:rFonts w:ascii="Arial" w:hAnsi="Arial" w:cs="Arial"/>
          <w:color w:val="000000" w:themeColor="text1"/>
          <w:sz w:val="22"/>
          <w:szCs w:val="22"/>
        </w:rPr>
        <w:t xml:space="preserve">It is also worth investigating the autoignition delays at the lean and rich detonation limits </w:t>
      </w:r>
      <w:r w:rsidR="00B64FAE">
        <w:rPr>
          <w:rFonts w:ascii="Arial" w:hAnsi="Arial" w:cs="Arial"/>
          <w:color w:val="000000" w:themeColor="text1"/>
          <w:sz w:val="22"/>
          <w:szCs w:val="22"/>
        </w:rPr>
        <w:t xml:space="preserve">for propane-air </w:t>
      </w:r>
      <w:r>
        <w:rPr>
          <w:rFonts w:ascii="Arial" w:hAnsi="Arial" w:cs="Arial"/>
          <w:color w:val="000000" w:themeColor="text1"/>
          <w:sz w:val="22"/>
          <w:szCs w:val="22"/>
        </w:rPr>
        <w:t xml:space="preserve">at an initial temperature of 300 K and initial pressure of 100 kPa. </w:t>
      </w:r>
      <w:r w:rsidR="00B64FAE">
        <w:rPr>
          <w:rFonts w:ascii="Arial" w:hAnsi="Arial" w:cs="Arial"/>
          <w:color w:val="000000" w:themeColor="text1"/>
          <w:sz w:val="22"/>
          <w:szCs w:val="22"/>
        </w:rPr>
        <w:t xml:space="preserve">For these initial conditions, experimental data reports that the lean and rich detonation limits are 2.2 mol% and 9.2 mol% propane, respectively. </w:t>
      </w:r>
    </w:p>
    <w:p w14:paraId="58C081BA" w14:textId="6C3DB162" w:rsidR="00B64FAE" w:rsidRDefault="00B64FAE" w:rsidP="008D4BF5">
      <w:pPr>
        <w:jc w:val="both"/>
        <w:rPr>
          <w:rFonts w:ascii="Arial" w:hAnsi="Arial" w:cs="Arial"/>
          <w:color w:val="000000" w:themeColor="text1"/>
          <w:sz w:val="22"/>
          <w:szCs w:val="22"/>
        </w:rPr>
      </w:pPr>
    </w:p>
    <w:p w14:paraId="15CADD43" w14:textId="47A9E6AB" w:rsidR="00B64FAE" w:rsidRDefault="00B64FAE" w:rsidP="008D4BF5">
      <w:pPr>
        <w:jc w:val="both"/>
        <w:rPr>
          <w:rFonts w:ascii="Arial" w:hAnsi="Arial" w:cs="Arial"/>
          <w:color w:val="000000" w:themeColor="text1"/>
          <w:sz w:val="22"/>
          <w:szCs w:val="22"/>
        </w:rPr>
      </w:pPr>
      <w:r>
        <w:rPr>
          <w:rFonts w:ascii="Arial" w:hAnsi="Arial" w:cs="Arial"/>
          <w:color w:val="000000" w:themeColor="text1"/>
          <w:sz w:val="22"/>
          <w:szCs w:val="22"/>
        </w:rPr>
        <w:t xml:space="preserve">The autoignition delay was performed as indicated in the Methods section, where a </w:t>
      </w:r>
      <w:r w:rsidR="00DD21FF">
        <w:rPr>
          <w:rFonts w:ascii="Arial" w:hAnsi="Arial" w:cs="Arial"/>
          <w:color w:val="000000" w:themeColor="text1"/>
          <w:sz w:val="22"/>
          <w:szCs w:val="22"/>
        </w:rPr>
        <w:t xml:space="preserve">constant pressure </w:t>
      </w:r>
      <w:r>
        <w:rPr>
          <w:rFonts w:ascii="Arial" w:hAnsi="Arial" w:cs="Arial"/>
          <w:color w:val="000000" w:themeColor="text1"/>
          <w:sz w:val="22"/>
          <w:szCs w:val="22"/>
        </w:rPr>
        <w:t xml:space="preserve">PFR was loaded with a Cantera gas mixture and the reactor was advanced through time using the GRI-30 mechanism until a rapid temperature increase occurred (here, evaluated as a temperature rise of 150 K over inlet conditions). The time at which this temperature increase occurs is considered the autoignition time. The time step for this iteration may be iteratively adjusted until </w:t>
      </w:r>
      <w:r w:rsidR="00504B65">
        <w:rPr>
          <w:rFonts w:ascii="Arial" w:hAnsi="Arial" w:cs="Arial"/>
          <w:color w:val="000000" w:themeColor="text1"/>
          <w:sz w:val="22"/>
          <w:szCs w:val="22"/>
        </w:rPr>
        <w:t>the magnitude of the timestep is much less than the induction period (</w:t>
      </w:r>
      <m:oMath>
        <m:r>
          <m:rPr>
            <m:sty m:val="p"/>
          </m:rPr>
          <w:rPr>
            <w:rFonts w:ascii="Cambria Math" w:hAnsi="Cambria Math" w:cs="Arial"/>
            <w:color w:val="000000" w:themeColor="text1"/>
            <w:sz w:val="22"/>
            <w:szCs w:val="22"/>
          </w:rPr>
          <m:t>Δ</m:t>
        </m:r>
        <m:r>
          <w:rPr>
            <w:rFonts w:ascii="Cambria Math" w:hAnsi="Cambria Math" w:cs="Arial"/>
            <w:color w:val="000000" w:themeColor="text1"/>
            <w:sz w:val="22"/>
            <w:szCs w:val="22"/>
          </w:rPr>
          <m:t>t≪</m:t>
        </m:r>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t</m:t>
            </m:r>
          </m:e>
          <m:sub>
            <m:r>
              <w:rPr>
                <w:rFonts w:ascii="Cambria Math" w:hAnsi="Cambria Math" w:cs="Arial"/>
                <w:color w:val="000000" w:themeColor="text1"/>
                <w:sz w:val="22"/>
                <w:szCs w:val="22"/>
              </w:rPr>
              <m:t>ignition</m:t>
            </m:r>
          </m:sub>
        </m:sSub>
      </m:oMath>
      <w:r w:rsidR="00F86828">
        <w:rPr>
          <w:rFonts w:ascii="Arial" w:hAnsi="Arial" w:cs="Arial"/>
          <w:color w:val="000000" w:themeColor="text1"/>
          <w:sz w:val="22"/>
          <w:szCs w:val="22"/>
        </w:rPr>
        <w:t>) to ensure sufficient precision for autoignition measurement.</w:t>
      </w:r>
    </w:p>
    <w:p w14:paraId="5EFD5486" w14:textId="37A08B52" w:rsidR="00F86828" w:rsidRDefault="00F86828" w:rsidP="008D4BF5">
      <w:pPr>
        <w:jc w:val="both"/>
        <w:rPr>
          <w:rFonts w:ascii="Arial" w:hAnsi="Arial" w:cs="Arial"/>
          <w:color w:val="000000" w:themeColor="text1"/>
          <w:sz w:val="22"/>
          <w:szCs w:val="22"/>
        </w:rPr>
      </w:pPr>
    </w:p>
    <w:p w14:paraId="13DCC2BD" w14:textId="50C04DA3" w:rsidR="00F86828" w:rsidRPr="008909BF" w:rsidRDefault="00F86828" w:rsidP="00F86828">
      <w:pPr>
        <w:jc w:val="center"/>
        <w:rPr>
          <w:rFonts w:ascii="Arial" w:hAnsi="Arial" w:cs="Arial"/>
          <w:b/>
          <w:bCs/>
          <w:color w:val="000000" w:themeColor="text1"/>
          <w:sz w:val="22"/>
          <w:szCs w:val="22"/>
        </w:rPr>
      </w:pPr>
      <w:r w:rsidRPr="008909BF">
        <w:rPr>
          <w:rFonts w:ascii="Arial" w:hAnsi="Arial" w:cs="Arial"/>
          <w:b/>
          <w:bCs/>
          <w:color w:val="000000" w:themeColor="text1"/>
          <w:sz w:val="22"/>
          <w:szCs w:val="22"/>
        </w:rPr>
        <w:t xml:space="preserve">Table </w:t>
      </w:r>
      <w:r>
        <w:rPr>
          <w:rFonts w:ascii="Arial" w:hAnsi="Arial" w:cs="Arial"/>
          <w:b/>
          <w:bCs/>
          <w:color w:val="000000" w:themeColor="text1"/>
          <w:sz w:val="22"/>
          <w:szCs w:val="22"/>
        </w:rPr>
        <w:t>2</w:t>
      </w:r>
      <w:r w:rsidRPr="008909BF">
        <w:rPr>
          <w:rFonts w:ascii="Arial" w:hAnsi="Arial" w:cs="Arial"/>
          <w:b/>
          <w:bCs/>
          <w:color w:val="000000" w:themeColor="text1"/>
          <w:sz w:val="22"/>
          <w:szCs w:val="22"/>
        </w:rPr>
        <w:t xml:space="preserve"> | </w:t>
      </w:r>
      <w:r>
        <w:rPr>
          <w:rFonts w:ascii="Arial" w:hAnsi="Arial" w:cs="Arial"/>
          <w:b/>
          <w:bCs/>
          <w:color w:val="000000" w:themeColor="text1"/>
          <w:sz w:val="22"/>
          <w:szCs w:val="22"/>
        </w:rPr>
        <w:t>Autoinduction times for rich (9.2 mol%) and lean (2.2 mol%) detonation limits</w:t>
      </w:r>
    </w:p>
    <w:p w14:paraId="1727848F" w14:textId="77777777" w:rsidR="00F86828" w:rsidRPr="008909BF" w:rsidRDefault="00F86828" w:rsidP="00F86828">
      <w:pPr>
        <w:jc w:val="center"/>
        <w:rPr>
          <w:rFonts w:ascii="Arial" w:hAnsi="Arial" w:cs="Arial"/>
          <w:b/>
          <w:bCs/>
          <w:color w:val="000000" w:themeColor="text1"/>
          <w:sz w:val="4"/>
          <w:szCs w:val="4"/>
        </w:rPr>
      </w:pPr>
    </w:p>
    <w:tbl>
      <w:tblPr>
        <w:tblStyle w:val="TableGrid"/>
        <w:tblW w:w="9360" w:type="dxa"/>
        <w:tblLook w:val="04A0" w:firstRow="1" w:lastRow="0" w:firstColumn="1" w:lastColumn="0" w:noHBand="0" w:noVBand="1"/>
      </w:tblPr>
      <w:tblGrid>
        <w:gridCol w:w="3060"/>
        <w:gridCol w:w="1755"/>
        <w:gridCol w:w="1755"/>
        <w:gridCol w:w="2790"/>
      </w:tblGrid>
      <w:tr w:rsidR="00F86828" w:rsidRPr="008909BF" w14:paraId="5AC244C6" w14:textId="77777777" w:rsidTr="00E102EF">
        <w:trPr>
          <w:trHeight w:val="432"/>
        </w:trPr>
        <w:tc>
          <w:tcPr>
            <w:tcW w:w="3060" w:type="dxa"/>
            <w:tcBorders>
              <w:top w:val="single" w:sz="18" w:space="0" w:color="000000"/>
              <w:left w:val="nil"/>
              <w:bottom w:val="single" w:sz="18" w:space="0" w:color="000000"/>
              <w:right w:val="nil"/>
            </w:tcBorders>
            <w:vAlign w:val="center"/>
          </w:tcPr>
          <w:p w14:paraId="621528C1" w14:textId="77777777" w:rsidR="00F86828" w:rsidRPr="00D15E89" w:rsidRDefault="00F86828" w:rsidP="001E1092">
            <w:pPr>
              <w:jc w:val="center"/>
              <w:rPr>
                <w:rFonts w:ascii="Arial" w:hAnsi="Arial" w:cs="Arial"/>
                <w:b/>
                <w:bCs/>
                <w:color w:val="000000" w:themeColor="text1"/>
                <w:sz w:val="4"/>
                <w:szCs w:val="4"/>
              </w:rPr>
            </w:pPr>
          </w:p>
          <w:p w14:paraId="60C966E7" w14:textId="1B744B03" w:rsidR="00F86828" w:rsidRPr="00D15E89" w:rsidRDefault="00F86828" w:rsidP="001E1092">
            <w:pPr>
              <w:jc w:val="center"/>
              <w:rPr>
                <w:rFonts w:ascii="Arial" w:hAnsi="Arial" w:cs="Arial"/>
                <w:b/>
                <w:bCs/>
                <w:color w:val="000000" w:themeColor="text1"/>
                <w:sz w:val="22"/>
                <w:szCs w:val="22"/>
              </w:rPr>
            </w:pPr>
            <w:r>
              <w:rPr>
                <w:rFonts w:ascii="Arial" w:hAnsi="Arial" w:cs="Arial"/>
                <w:b/>
                <w:bCs/>
                <w:color w:val="000000" w:themeColor="text1"/>
                <w:sz w:val="22"/>
                <w:szCs w:val="22"/>
              </w:rPr>
              <w:t>Inlet Concentration (mol%)</w:t>
            </w:r>
          </w:p>
        </w:tc>
        <w:tc>
          <w:tcPr>
            <w:tcW w:w="1755" w:type="dxa"/>
            <w:tcBorders>
              <w:top w:val="single" w:sz="18" w:space="0" w:color="000000"/>
              <w:left w:val="nil"/>
              <w:bottom w:val="single" w:sz="18" w:space="0" w:color="000000"/>
              <w:right w:val="nil"/>
            </w:tcBorders>
            <w:vAlign w:val="center"/>
          </w:tcPr>
          <w:p w14:paraId="297D9040" w14:textId="6F43CCC5" w:rsidR="00F86828" w:rsidRPr="00D15E89" w:rsidRDefault="00F86828" w:rsidP="001E1092">
            <w:pPr>
              <w:jc w:val="center"/>
              <w:rPr>
                <w:rFonts w:ascii="Arial" w:hAnsi="Arial" w:cs="Arial"/>
                <w:b/>
                <w:bCs/>
                <w:color w:val="000000" w:themeColor="text1"/>
                <w:sz w:val="22"/>
                <w:szCs w:val="22"/>
              </w:rPr>
            </w:pPr>
            <w:r>
              <w:rPr>
                <w:rFonts w:ascii="Arial" w:hAnsi="Arial" w:cs="Arial"/>
                <w:b/>
                <w:bCs/>
                <w:color w:val="000000" w:themeColor="text1"/>
                <w:sz w:val="22"/>
                <w:szCs w:val="22"/>
              </w:rPr>
              <w:t>Inlet P (atm)</w:t>
            </w:r>
          </w:p>
        </w:tc>
        <w:tc>
          <w:tcPr>
            <w:tcW w:w="1755" w:type="dxa"/>
            <w:tcBorders>
              <w:top w:val="single" w:sz="18" w:space="0" w:color="000000"/>
              <w:left w:val="nil"/>
              <w:bottom w:val="single" w:sz="18" w:space="0" w:color="000000"/>
              <w:right w:val="nil"/>
            </w:tcBorders>
            <w:vAlign w:val="center"/>
          </w:tcPr>
          <w:p w14:paraId="5113A30B" w14:textId="76860B91" w:rsidR="00F86828" w:rsidRPr="00D15E89" w:rsidRDefault="00F86828" w:rsidP="001E1092">
            <w:pPr>
              <w:jc w:val="center"/>
              <w:rPr>
                <w:rFonts w:ascii="Arial" w:hAnsi="Arial" w:cs="Arial"/>
                <w:b/>
                <w:bCs/>
                <w:color w:val="000000" w:themeColor="text1"/>
                <w:sz w:val="22"/>
                <w:szCs w:val="22"/>
              </w:rPr>
            </w:pPr>
            <w:r>
              <w:rPr>
                <w:rFonts w:ascii="Arial" w:hAnsi="Arial" w:cs="Arial"/>
                <w:b/>
                <w:bCs/>
                <w:color w:val="000000" w:themeColor="text1"/>
                <w:sz w:val="22"/>
                <w:szCs w:val="22"/>
              </w:rPr>
              <w:t>Inlet T (K)</w:t>
            </w:r>
          </w:p>
        </w:tc>
        <w:tc>
          <w:tcPr>
            <w:tcW w:w="2790" w:type="dxa"/>
            <w:tcBorders>
              <w:top w:val="single" w:sz="18" w:space="0" w:color="000000"/>
              <w:left w:val="nil"/>
              <w:bottom w:val="single" w:sz="18" w:space="0" w:color="000000"/>
              <w:right w:val="nil"/>
            </w:tcBorders>
            <w:vAlign w:val="center"/>
          </w:tcPr>
          <w:p w14:paraId="7962B4E2" w14:textId="221BCA31" w:rsidR="00F86828" w:rsidRDefault="00F86828" w:rsidP="001E1092">
            <w:pPr>
              <w:jc w:val="center"/>
              <w:rPr>
                <w:rFonts w:ascii="Arial" w:hAnsi="Arial" w:cs="Arial"/>
                <w:b/>
                <w:bCs/>
                <w:color w:val="000000" w:themeColor="text1"/>
                <w:sz w:val="22"/>
                <w:szCs w:val="22"/>
              </w:rPr>
            </w:pPr>
            <w:r>
              <w:rPr>
                <w:rFonts w:ascii="Arial" w:hAnsi="Arial" w:cs="Arial"/>
                <w:b/>
                <w:bCs/>
                <w:color w:val="000000" w:themeColor="text1"/>
                <w:sz w:val="22"/>
                <w:szCs w:val="22"/>
              </w:rPr>
              <w:t>Induction Delay (s)</w:t>
            </w:r>
          </w:p>
        </w:tc>
      </w:tr>
      <w:tr w:rsidR="00F86828" w:rsidRPr="008909BF" w14:paraId="40173F21" w14:textId="77777777" w:rsidTr="00E102EF">
        <w:trPr>
          <w:trHeight w:val="432"/>
        </w:trPr>
        <w:tc>
          <w:tcPr>
            <w:tcW w:w="3060" w:type="dxa"/>
            <w:tcBorders>
              <w:top w:val="single" w:sz="18" w:space="0" w:color="000000"/>
              <w:left w:val="nil"/>
              <w:right w:val="nil"/>
            </w:tcBorders>
            <w:vAlign w:val="center"/>
          </w:tcPr>
          <w:p w14:paraId="69D557BD" w14:textId="690EA25D" w:rsidR="00F86828" w:rsidRPr="008909BF" w:rsidRDefault="00F86828" w:rsidP="001E1092">
            <w:pPr>
              <w:jc w:val="center"/>
              <w:rPr>
                <w:rFonts w:ascii="Arial" w:hAnsi="Arial" w:cs="Arial"/>
                <w:color w:val="000000" w:themeColor="text1"/>
                <w:sz w:val="22"/>
                <w:szCs w:val="22"/>
              </w:rPr>
            </w:pPr>
            <w:r>
              <w:rPr>
                <w:rFonts w:ascii="Arial" w:hAnsi="Arial" w:cs="Arial"/>
                <w:color w:val="000000" w:themeColor="text1"/>
                <w:sz w:val="22"/>
                <w:szCs w:val="22"/>
              </w:rPr>
              <w:t>9.2 mol% (rich limit)</w:t>
            </w:r>
          </w:p>
        </w:tc>
        <w:tc>
          <w:tcPr>
            <w:tcW w:w="1755" w:type="dxa"/>
            <w:tcBorders>
              <w:top w:val="single" w:sz="18" w:space="0" w:color="000000"/>
              <w:left w:val="nil"/>
              <w:right w:val="nil"/>
            </w:tcBorders>
            <w:vAlign w:val="center"/>
          </w:tcPr>
          <w:p w14:paraId="3893D882" w14:textId="53410374" w:rsidR="00F86828" w:rsidRPr="008909BF" w:rsidRDefault="00F86828" w:rsidP="001E1092">
            <w:pPr>
              <w:jc w:val="center"/>
              <w:rPr>
                <w:rFonts w:ascii="Arial" w:hAnsi="Arial" w:cs="Arial"/>
                <w:color w:val="000000" w:themeColor="text1"/>
                <w:sz w:val="22"/>
                <w:szCs w:val="22"/>
              </w:rPr>
            </w:pPr>
            <w:r>
              <w:rPr>
                <w:rFonts w:ascii="Arial" w:hAnsi="Arial" w:cs="Arial"/>
                <w:color w:val="000000" w:themeColor="text1"/>
                <w:sz w:val="22"/>
                <w:szCs w:val="22"/>
              </w:rPr>
              <w:t>30.15</w:t>
            </w:r>
          </w:p>
        </w:tc>
        <w:tc>
          <w:tcPr>
            <w:tcW w:w="1755" w:type="dxa"/>
            <w:tcBorders>
              <w:top w:val="single" w:sz="18" w:space="0" w:color="000000"/>
              <w:left w:val="nil"/>
              <w:right w:val="nil"/>
            </w:tcBorders>
            <w:vAlign w:val="center"/>
          </w:tcPr>
          <w:p w14:paraId="1AE5CDD1" w14:textId="7BC4CDFC" w:rsidR="00F86828" w:rsidRPr="008909BF" w:rsidRDefault="00F86828" w:rsidP="001E1092">
            <w:pPr>
              <w:jc w:val="center"/>
              <w:rPr>
                <w:rFonts w:ascii="Arial" w:hAnsi="Arial" w:cs="Arial"/>
                <w:color w:val="000000" w:themeColor="text1"/>
                <w:sz w:val="22"/>
                <w:szCs w:val="22"/>
              </w:rPr>
            </w:pPr>
            <w:r>
              <w:rPr>
                <w:rFonts w:ascii="Arial" w:hAnsi="Arial" w:cs="Arial"/>
                <w:color w:val="000000" w:themeColor="text1"/>
                <w:sz w:val="22"/>
                <w:szCs w:val="22"/>
              </w:rPr>
              <w:t>1</w:t>
            </w:r>
            <w:r>
              <w:rPr>
                <w:rFonts w:ascii="Arial" w:hAnsi="Arial" w:cs="Arial"/>
                <w:color w:val="000000" w:themeColor="text1"/>
                <w:sz w:val="22"/>
                <w:szCs w:val="22"/>
              </w:rPr>
              <w:t>280</w:t>
            </w:r>
          </w:p>
        </w:tc>
        <w:tc>
          <w:tcPr>
            <w:tcW w:w="2790" w:type="dxa"/>
            <w:tcBorders>
              <w:top w:val="single" w:sz="18" w:space="0" w:color="000000"/>
              <w:left w:val="nil"/>
              <w:right w:val="nil"/>
            </w:tcBorders>
            <w:vAlign w:val="center"/>
          </w:tcPr>
          <w:p w14:paraId="7D15958D" w14:textId="3F0A8DA2" w:rsidR="00F86828" w:rsidRPr="00E102EF" w:rsidRDefault="00F86828" w:rsidP="001E1092">
            <w:pPr>
              <w:jc w:val="center"/>
              <w:rPr>
                <w:rFonts w:ascii="Arial" w:hAnsi="Arial" w:cs="Arial"/>
                <w:color w:val="000000" w:themeColor="text1"/>
                <w:sz w:val="22"/>
                <w:szCs w:val="22"/>
                <w:vertAlign w:val="superscript"/>
              </w:rPr>
            </w:pPr>
            <w:r>
              <w:rPr>
                <w:rFonts w:ascii="Arial" w:hAnsi="Arial" w:cs="Arial"/>
                <w:color w:val="000000" w:themeColor="text1"/>
                <w:sz w:val="22"/>
                <w:szCs w:val="22"/>
              </w:rPr>
              <w:t>2</w:t>
            </w:r>
            <w:r w:rsidR="00E102EF">
              <w:rPr>
                <w:rFonts w:ascii="Arial" w:hAnsi="Arial" w:cs="Arial"/>
                <w:color w:val="000000" w:themeColor="text1"/>
                <w:sz w:val="22"/>
                <w:szCs w:val="22"/>
              </w:rPr>
              <w:t>.</w:t>
            </w:r>
            <w:r>
              <w:rPr>
                <w:rFonts w:ascii="Arial" w:hAnsi="Arial" w:cs="Arial"/>
                <w:color w:val="000000" w:themeColor="text1"/>
                <w:sz w:val="22"/>
                <w:szCs w:val="22"/>
              </w:rPr>
              <w:t>13</w:t>
            </w:r>
            <w:r w:rsidR="00E102EF">
              <w:rPr>
                <w:rFonts w:ascii="Arial" w:hAnsi="Arial" w:cs="Arial"/>
                <w:color w:val="000000" w:themeColor="text1"/>
                <w:sz w:val="22"/>
                <w:szCs w:val="22"/>
              </w:rPr>
              <w:t xml:space="preserve"> x 10</w:t>
            </w:r>
            <w:r w:rsidR="00E102EF">
              <w:rPr>
                <w:rFonts w:ascii="Arial" w:hAnsi="Arial" w:cs="Arial"/>
                <w:color w:val="000000" w:themeColor="text1"/>
                <w:sz w:val="22"/>
                <w:szCs w:val="22"/>
                <w:vertAlign w:val="superscript"/>
              </w:rPr>
              <w:t>4</w:t>
            </w:r>
          </w:p>
        </w:tc>
      </w:tr>
      <w:tr w:rsidR="00E102EF" w:rsidRPr="008909BF" w14:paraId="0293C6BC" w14:textId="77777777" w:rsidTr="00E102EF">
        <w:trPr>
          <w:trHeight w:val="432"/>
        </w:trPr>
        <w:tc>
          <w:tcPr>
            <w:tcW w:w="3060" w:type="dxa"/>
            <w:tcBorders>
              <w:left w:val="nil"/>
              <w:right w:val="nil"/>
            </w:tcBorders>
            <w:vAlign w:val="center"/>
          </w:tcPr>
          <w:p w14:paraId="6B4239C5" w14:textId="412E8AB0" w:rsidR="00E102EF" w:rsidRDefault="00E102EF" w:rsidP="001E1092">
            <w:pPr>
              <w:jc w:val="center"/>
              <w:rPr>
                <w:rFonts w:ascii="Arial" w:hAnsi="Arial" w:cs="Arial"/>
                <w:color w:val="000000" w:themeColor="text1"/>
                <w:sz w:val="22"/>
                <w:szCs w:val="22"/>
              </w:rPr>
            </w:pPr>
            <w:r>
              <w:rPr>
                <w:rFonts w:ascii="Arial" w:hAnsi="Arial" w:cs="Arial"/>
                <w:color w:val="000000" w:themeColor="text1"/>
                <w:sz w:val="22"/>
                <w:szCs w:val="22"/>
              </w:rPr>
              <w:t>5 mol% (intermediate)</w:t>
            </w:r>
          </w:p>
        </w:tc>
        <w:tc>
          <w:tcPr>
            <w:tcW w:w="1755" w:type="dxa"/>
            <w:tcBorders>
              <w:left w:val="nil"/>
              <w:right w:val="nil"/>
            </w:tcBorders>
            <w:vAlign w:val="center"/>
          </w:tcPr>
          <w:p w14:paraId="66AF2A48" w14:textId="3EE90BDB" w:rsidR="00E102EF" w:rsidRDefault="00E102EF" w:rsidP="001E1092">
            <w:pPr>
              <w:jc w:val="center"/>
              <w:rPr>
                <w:rFonts w:ascii="Arial" w:hAnsi="Arial" w:cs="Arial"/>
                <w:color w:val="000000" w:themeColor="text1"/>
                <w:sz w:val="22"/>
                <w:szCs w:val="22"/>
              </w:rPr>
            </w:pPr>
            <w:r>
              <w:rPr>
                <w:rFonts w:ascii="Arial" w:hAnsi="Arial" w:cs="Arial"/>
                <w:color w:val="000000" w:themeColor="text1"/>
                <w:sz w:val="22"/>
                <w:szCs w:val="22"/>
              </w:rPr>
              <w:t>35.13</w:t>
            </w:r>
          </w:p>
        </w:tc>
        <w:tc>
          <w:tcPr>
            <w:tcW w:w="1755" w:type="dxa"/>
            <w:tcBorders>
              <w:left w:val="nil"/>
              <w:right w:val="nil"/>
            </w:tcBorders>
            <w:vAlign w:val="center"/>
          </w:tcPr>
          <w:p w14:paraId="68F605C3" w14:textId="12CC4C5C" w:rsidR="00E102EF" w:rsidRDefault="00E102EF" w:rsidP="001E1092">
            <w:pPr>
              <w:jc w:val="center"/>
              <w:rPr>
                <w:rFonts w:ascii="Arial" w:hAnsi="Arial" w:cs="Arial"/>
                <w:color w:val="000000" w:themeColor="text1"/>
                <w:sz w:val="22"/>
                <w:szCs w:val="22"/>
              </w:rPr>
            </w:pPr>
            <w:r>
              <w:rPr>
                <w:rFonts w:ascii="Arial" w:hAnsi="Arial" w:cs="Arial"/>
                <w:color w:val="000000" w:themeColor="text1"/>
                <w:sz w:val="22"/>
                <w:szCs w:val="22"/>
              </w:rPr>
              <w:t>1560</w:t>
            </w:r>
          </w:p>
        </w:tc>
        <w:tc>
          <w:tcPr>
            <w:tcW w:w="2790" w:type="dxa"/>
            <w:tcBorders>
              <w:left w:val="nil"/>
              <w:right w:val="nil"/>
            </w:tcBorders>
            <w:vAlign w:val="center"/>
          </w:tcPr>
          <w:p w14:paraId="4148027A" w14:textId="63C6499A" w:rsidR="00E102EF" w:rsidRPr="00E102EF" w:rsidRDefault="00E102EF" w:rsidP="001E1092">
            <w:pPr>
              <w:jc w:val="center"/>
              <w:rPr>
                <w:rFonts w:ascii="Arial" w:hAnsi="Arial" w:cs="Arial"/>
                <w:color w:val="000000" w:themeColor="text1"/>
                <w:sz w:val="22"/>
                <w:szCs w:val="22"/>
                <w:vertAlign w:val="superscript"/>
              </w:rPr>
            </w:pPr>
            <w:r>
              <w:rPr>
                <w:rFonts w:ascii="Arial" w:hAnsi="Arial" w:cs="Arial"/>
                <w:color w:val="000000" w:themeColor="text1"/>
                <w:sz w:val="22"/>
                <w:szCs w:val="22"/>
              </w:rPr>
              <w:t>4.83 x 10</w:t>
            </w:r>
            <w:r>
              <w:rPr>
                <w:rFonts w:ascii="Arial" w:hAnsi="Arial" w:cs="Arial"/>
                <w:color w:val="000000" w:themeColor="text1"/>
                <w:sz w:val="22"/>
                <w:szCs w:val="22"/>
                <w:vertAlign w:val="superscript"/>
              </w:rPr>
              <w:t>-6</w:t>
            </w:r>
          </w:p>
        </w:tc>
      </w:tr>
      <w:tr w:rsidR="00F86828" w:rsidRPr="008909BF" w14:paraId="2FCFD767" w14:textId="77777777" w:rsidTr="00E102EF">
        <w:trPr>
          <w:trHeight w:val="432"/>
        </w:trPr>
        <w:tc>
          <w:tcPr>
            <w:tcW w:w="3060" w:type="dxa"/>
            <w:tcBorders>
              <w:left w:val="nil"/>
              <w:right w:val="nil"/>
            </w:tcBorders>
            <w:vAlign w:val="center"/>
          </w:tcPr>
          <w:p w14:paraId="56DDA709" w14:textId="7AD1A91B" w:rsidR="00F86828" w:rsidRPr="008909BF" w:rsidRDefault="00F86828" w:rsidP="001E1092">
            <w:pPr>
              <w:jc w:val="center"/>
              <w:rPr>
                <w:rFonts w:ascii="Arial" w:hAnsi="Arial" w:cs="Arial"/>
                <w:color w:val="000000" w:themeColor="text1"/>
                <w:sz w:val="22"/>
                <w:szCs w:val="22"/>
              </w:rPr>
            </w:pPr>
            <w:r>
              <w:rPr>
                <w:rFonts w:ascii="Arial" w:hAnsi="Arial" w:cs="Arial"/>
                <w:color w:val="000000" w:themeColor="text1"/>
                <w:sz w:val="22"/>
                <w:szCs w:val="22"/>
              </w:rPr>
              <w:t>2.2 mol% (lean limit)</w:t>
            </w:r>
          </w:p>
        </w:tc>
        <w:tc>
          <w:tcPr>
            <w:tcW w:w="1755" w:type="dxa"/>
            <w:tcBorders>
              <w:left w:val="nil"/>
              <w:right w:val="nil"/>
            </w:tcBorders>
            <w:vAlign w:val="center"/>
          </w:tcPr>
          <w:p w14:paraId="105DDA24" w14:textId="046C45F3" w:rsidR="00F86828" w:rsidRPr="008909BF" w:rsidRDefault="005A27E6" w:rsidP="001E1092">
            <w:pPr>
              <w:jc w:val="center"/>
              <w:rPr>
                <w:rFonts w:ascii="Arial" w:hAnsi="Arial" w:cs="Arial"/>
                <w:color w:val="000000" w:themeColor="text1"/>
                <w:sz w:val="22"/>
                <w:szCs w:val="22"/>
              </w:rPr>
            </w:pPr>
            <w:r>
              <w:rPr>
                <w:rFonts w:ascii="Arial" w:hAnsi="Arial" w:cs="Arial"/>
                <w:color w:val="000000" w:themeColor="text1"/>
                <w:sz w:val="22"/>
                <w:szCs w:val="22"/>
              </w:rPr>
              <w:t>23.50</w:t>
            </w:r>
          </w:p>
        </w:tc>
        <w:tc>
          <w:tcPr>
            <w:tcW w:w="1755" w:type="dxa"/>
            <w:tcBorders>
              <w:left w:val="nil"/>
              <w:right w:val="nil"/>
            </w:tcBorders>
            <w:vAlign w:val="center"/>
          </w:tcPr>
          <w:p w14:paraId="7B8650B2" w14:textId="7F314B80" w:rsidR="00F86828" w:rsidRPr="008909BF" w:rsidRDefault="00F86828" w:rsidP="001E1092">
            <w:pPr>
              <w:jc w:val="center"/>
              <w:rPr>
                <w:rFonts w:ascii="Arial" w:hAnsi="Arial" w:cs="Arial"/>
                <w:color w:val="000000" w:themeColor="text1"/>
                <w:sz w:val="22"/>
                <w:szCs w:val="22"/>
              </w:rPr>
            </w:pPr>
            <w:r>
              <w:rPr>
                <w:rFonts w:ascii="Arial" w:hAnsi="Arial" w:cs="Arial"/>
                <w:color w:val="000000" w:themeColor="text1"/>
                <w:sz w:val="22"/>
                <w:szCs w:val="22"/>
              </w:rPr>
              <w:t>1</w:t>
            </w:r>
            <w:r w:rsidR="005A27E6">
              <w:rPr>
                <w:rFonts w:ascii="Arial" w:hAnsi="Arial" w:cs="Arial"/>
                <w:color w:val="000000" w:themeColor="text1"/>
                <w:sz w:val="22"/>
                <w:szCs w:val="22"/>
              </w:rPr>
              <w:t>266</w:t>
            </w:r>
          </w:p>
        </w:tc>
        <w:tc>
          <w:tcPr>
            <w:tcW w:w="2790" w:type="dxa"/>
            <w:tcBorders>
              <w:left w:val="nil"/>
              <w:right w:val="nil"/>
            </w:tcBorders>
            <w:vAlign w:val="center"/>
          </w:tcPr>
          <w:p w14:paraId="6AD2B0A7" w14:textId="0B5EE9D3" w:rsidR="00F86828" w:rsidRDefault="00E102EF" w:rsidP="001E1092">
            <w:pPr>
              <w:jc w:val="center"/>
              <w:rPr>
                <w:rFonts w:ascii="Arial" w:hAnsi="Arial" w:cs="Arial"/>
                <w:color w:val="000000" w:themeColor="text1"/>
                <w:sz w:val="22"/>
                <w:szCs w:val="22"/>
              </w:rPr>
            </w:pPr>
            <w:r>
              <w:rPr>
                <w:rFonts w:ascii="Arial" w:hAnsi="Arial" w:cs="Arial"/>
                <w:color w:val="000000" w:themeColor="text1"/>
                <w:sz w:val="22"/>
                <w:szCs w:val="22"/>
              </w:rPr>
              <w:t>2.</w:t>
            </w:r>
            <w:r>
              <w:rPr>
                <w:rFonts w:ascii="Arial" w:hAnsi="Arial" w:cs="Arial"/>
                <w:color w:val="000000" w:themeColor="text1"/>
                <w:sz w:val="22"/>
                <w:szCs w:val="22"/>
              </w:rPr>
              <w:t>69</w:t>
            </w:r>
            <w:r>
              <w:rPr>
                <w:rFonts w:ascii="Arial" w:hAnsi="Arial" w:cs="Arial"/>
                <w:color w:val="000000" w:themeColor="text1"/>
                <w:sz w:val="22"/>
                <w:szCs w:val="22"/>
              </w:rPr>
              <w:t xml:space="preserve"> x 10</w:t>
            </w:r>
            <w:r>
              <w:rPr>
                <w:rFonts w:ascii="Arial" w:hAnsi="Arial" w:cs="Arial"/>
                <w:color w:val="000000" w:themeColor="text1"/>
                <w:sz w:val="22"/>
                <w:szCs w:val="22"/>
                <w:vertAlign w:val="superscript"/>
              </w:rPr>
              <w:t>4</w:t>
            </w:r>
          </w:p>
        </w:tc>
      </w:tr>
    </w:tbl>
    <w:p w14:paraId="250D9F2F" w14:textId="6B5803F7" w:rsidR="00F86828" w:rsidRDefault="00F86828" w:rsidP="008D4BF5">
      <w:pPr>
        <w:jc w:val="both"/>
        <w:rPr>
          <w:rFonts w:ascii="Arial" w:hAnsi="Arial" w:cs="Arial"/>
          <w:color w:val="000000" w:themeColor="text1"/>
          <w:sz w:val="22"/>
          <w:szCs w:val="22"/>
        </w:rPr>
      </w:pPr>
    </w:p>
    <w:p w14:paraId="2A9D1ADC" w14:textId="5C031B84" w:rsidR="003F4AFF" w:rsidRDefault="00E102EF" w:rsidP="008D4BF5">
      <w:pPr>
        <w:jc w:val="both"/>
        <w:rPr>
          <w:rFonts w:ascii="Arial" w:hAnsi="Arial" w:cs="Arial"/>
          <w:color w:val="000000" w:themeColor="text1"/>
          <w:sz w:val="22"/>
          <w:szCs w:val="22"/>
        </w:rPr>
      </w:pPr>
      <w:r>
        <w:rPr>
          <w:rFonts w:ascii="Arial" w:hAnsi="Arial" w:cs="Arial"/>
          <w:color w:val="000000" w:themeColor="text1"/>
          <w:sz w:val="22"/>
          <w:szCs w:val="22"/>
        </w:rPr>
        <w:t xml:space="preserve">The rich and lean detonation limits signify the molar concentrations past which detonation can no longer occur, instead favoring deflagration. </w:t>
      </w:r>
      <w:r w:rsidR="00DD21FF">
        <w:rPr>
          <w:rFonts w:ascii="Arial" w:hAnsi="Arial" w:cs="Arial"/>
          <w:color w:val="000000" w:themeColor="text1"/>
          <w:sz w:val="22"/>
          <w:szCs w:val="22"/>
        </w:rPr>
        <w:t xml:space="preserve">This is evident when comparing the rich and lean limit autoignition time to the autoignition period for an intermediate composition value. The time delay is on the order of 100 times larger at the lean and rich detonation limits, supporting the experimental observation that sustained, steady detonation is unfavorable past these limits. </w:t>
      </w:r>
    </w:p>
    <w:p w14:paraId="7E437848" w14:textId="7D6A607B" w:rsidR="00DD21FF" w:rsidRDefault="00DD21FF" w:rsidP="008D4BF5">
      <w:pPr>
        <w:jc w:val="both"/>
        <w:rPr>
          <w:rFonts w:ascii="Arial" w:hAnsi="Arial" w:cs="Arial"/>
          <w:color w:val="000000" w:themeColor="text1"/>
          <w:sz w:val="22"/>
          <w:szCs w:val="22"/>
        </w:rPr>
      </w:pPr>
    </w:p>
    <w:p w14:paraId="75045879" w14:textId="1857B558" w:rsidR="00DD21FF" w:rsidRPr="008D4BF5" w:rsidRDefault="00DD21FF" w:rsidP="008D4BF5">
      <w:pPr>
        <w:jc w:val="both"/>
        <w:rPr>
          <w:rFonts w:ascii="Arial" w:hAnsi="Arial" w:cs="Arial"/>
          <w:color w:val="000000" w:themeColor="text1"/>
          <w:sz w:val="22"/>
          <w:szCs w:val="22"/>
        </w:rPr>
      </w:pPr>
      <w:r>
        <w:rPr>
          <w:rFonts w:ascii="Arial" w:hAnsi="Arial" w:cs="Arial"/>
          <w:color w:val="000000" w:themeColor="text1"/>
          <w:sz w:val="22"/>
          <w:szCs w:val="22"/>
        </w:rPr>
        <w:t xml:space="preserve">This has important implications for future development of detonation-driven combustion engines, where some fuel mixtures that may be favorable with other engine configurations are no longer feasible when detonation is desired. </w:t>
      </w:r>
      <w:r w:rsidR="00B87642">
        <w:rPr>
          <w:rFonts w:ascii="Arial" w:hAnsi="Arial" w:cs="Arial"/>
          <w:color w:val="000000" w:themeColor="text1"/>
          <w:sz w:val="22"/>
          <w:szCs w:val="22"/>
        </w:rPr>
        <w:t xml:space="preserve">This analysis is a necessity when assessing the feasibility of premixed fuel-air mixtures at the running pressure of a detonation engine or any detonation-driven process. Simplified, zero-dimensional calculations such as those shown above form a convenient </w:t>
      </w:r>
      <w:r w:rsidR="00B87642">
        <w:rPr>
          <w:rFonts w:ascii="Arial" w:hAnsi="Arial" w:cs="Arial"/>
          <w:color w:val="000000" w:themeColor="text1"/>
          <w:sz w:val="22"/>
          <w:szCs w:val="22"/>
        </w:rPr>
        <w:lastRenderedPageBreak/>
        <w:t>complement with more intensive multi-dimensional direct numerical simulation methods when performing any rigorous combustion analysis.</w:t>
      </w:r>
    </w:p>
    <w:p w14:paraId="7DD00BC8" w14:textId="77777777" w:rsidR="006B661A" w:rsidRPr="00924139" w:rsidRDefault="006B661A" w:rsidP="004F4C33">
      <w:pPr>
        <w:rPr>
          <w:rFonts w:ascii="Arial" w:hAnsi="Arial" w:cs="Arial"/>
          <w:color w:val="000000" w:themeColor="text1"/>
          <w:sz w:val="22"/>
          <w:szCs w:val="22"/>
          <w:highlight w:val="yellow"/>
        </w:rPr>
      </w:pPr>
    </w:p>
    <w:p w14:paraId="2D18F46E" w14:textId="7C0DB591" w:rsidR="004F4C33" w:rsidRPr="00924139" w:rsidRDefault="004F4C33" w:rsidP="004F4C33">
      <w:pPr>
        <w:rPr>
          <w:rFonts w:ascii="Arial" w:hAnsi="Arial" w:cs="Arial"/>
          <w:i/>
          <w:iCs/>
          <w:color w:val="000000" w:themeColor="text1"/>
          <w:sz w:val="22"/>
          <w:szCs w:val="22"/>
          <w:highlight w:val="yellow"/>
          <w:u w:val="single"/>
        </w:rPr>
      </w:pPr>
      <w:r w:rsidRPr="00924139">
        <w:rPr>
          <w:rFonts w:ascii="Arial" w:hAnsi="Arial" w:cs="Arial"/>
          <w:i/>
          <w:iCs/>
          <w:color w:val="000000" w:themeColor="text1"/>
          <w:sz w:val="22"/>
          <w:szCs w:val="22"/>
          <w:highlight w:val="yellow"/>
          <w:u w:val="single"/>
        </w:rPr>
        <w:t>D. Summary and Conclusion</w:t>
      </w:r>
    </w:p>
    <w:p w14:paraId="72AEF84B" w14:textId="0B3DD132" w:rsidR="00DE7930" w:rsidRPr="00924139" w:rsidRDefault="00744A56" w:rsidP="00744A56">
      <w:pPr>
        <w:tabs>
          <w:tab w:val="left" w:pos="1605"/>
        </w:tabs>
        <w:jc w:val="both"/>
        <w:rPr>
          <w:rFonts w:ascii="Arial" w:hAnsi="Arial" w:cs="Arial"/>
          <w:color w:val="000000" w:themeColor="text1"/>
          <w:sz w:val="22"/>
          <w:szCs w:val="22"/>
          <w:highlight w:val="yellow"/>
        </w:rPr>
      </w:pPr>
      <w:r w:rsidRPr="00924139">
        <w:rPr>
          <w:rFonts w:ascii="Arial" w:hAnsi="Arial" w:cs="Arial"/>
          <w:color w:val="000000" w:themeColor="text1"/>
          <w:sz w:val="22"/>
          <w:szCs w:val="22"/>
          <w:highlight w:val="yellow"/>
        </w:rPr>
        <w:t xml:space="preserve">Before developing reactor models of greater complexity, a simplified modelling scheme using a PFR or CSTR reactor model can provide valuable insight regarding auto-ignition times, the development of radical species and temperature changes in a batch reactor or storage system, and even the effects of reactor configuration on the emission of important pollutant molecules. Further, although idealized reactor models omit much of the detail of real-world systems, a PFR or CSTR model can serve as an effective starting point for future </w:t>
      </w:r>
      <w:r w:rsidR="004D1B6D" w:rsidRPr="00924139">
        <w:rPr>
          <w:rFonts w:ascii="Arial" w:hAnsi="Arial" w:cs="Arial"/>
          <w:color w:val="000000" w:themeColor="text1"/>
          <w:sz w:val="22"/>
          <w:szCs w:val="22"/>
          <w:highlight w:val="yellow"/>
        </w:rPr>
        <w:t>reaction</w:t>
      </w:r>
      <w:r w:rsidRPr="00924139">
        <w:rPr>
          <w:rFonts w:ascii="Arial" w:hAnsi="Arial" w:cs="Arial"/>
          <w:color w:val="000000" w:themeColor="text1"/>
          <w:sz w:val="22"/>
          <w:szCs w:val="22"/>
          <w:highlight w:val="yellow"/>
        </w:rPr>
        <w:t xml:space="preserve"> models of arbitrary complexity. </w:t>
      </w:r>
    </w:p>
    <w:p w14:paraId="7684AB17" w14:textId="5AA481D2" w:rsidR="00F91302" w:rsidRPr="00924139" w:rsidRDefault="00F91302" w:rsidP="00DE7930">
      <w:pPr>
        <w:tabs>
          <w:tab w:val="left" w:pos="1605"/>
        </w:tabs>
        <w:rPr>
          <w:rFonts w:ascii="Arial" w:hAnsi="Arial" w:cs="Arial"/>
          <w:color w:val="000000" w:themeColor="text1"/>
          <w:sz w:val="22"/>
          <w:szCs w:val="22"/>
          <w:highlight w:val="yellow"/>
        </w:rPr>
      </w:pPr>
    </w:p>
    <w:p w14:paraId="741547DA" w14:textId="20E3078C" w:rsidR="00F91302" w:rsidRPr="00924139" w:rsidRDefault="00F91302" w:rsidP="00DE7930">
      <w:pPr>
        <w:tabs>
          <w:tab w:val="left" w:pos="1605"/>
        </w:tabs>
        <w:rPr>
          <w:rFonts w:ascii="Arial" w:hAnsi="Arial" w:cs="Arial"/>
          <w:i/>
          <w:iCs/>
          <w:color w:val="000000" w:themeColor="text1"/>
          <w:sz w:val="22"/>
          <w:szCs w:val="22"/>
          <w:highlight w:val="yellow"/>
          <w:u w:val="single"/>
        </w:rPr>
      </w:pPr>
      <w:r w:rsidRPr="00924139">
        <w:rPr>
          <w:rFonts w:ascii="Arial" w:hAnsi="Arial" w:cs="Arial"/>
          <w:i/>
          <w:iCs/>
          <w:color w:val="000000" w:themeColor="text1"/>
          <w:sz w:val="22"/>
          <w:szCs w:val="22"/>
          <w:highlight w:val="yellow"/>
          <w:u w:val="single"/>
        </w:rPr>
        <w:t>E. Appendix</w:t>
      </w:r>
    </w:p>
    <w:p w14:paraId="40A538A9" w14:textId="1F6001EC" w:rsidR="00F91302" w:rsidRPr="00924139" w:rsidRDefault="00DB7119" w:rsidP="00DE7930">
      <w:pPr>
        <w:tabs>
          <w:tab w:val="left" w:pos="1605"/>
        </w:tabs>
        <w:rPr>
          <w:rFonts w:ascii="Arial" w:hAnsi="Arial" w:cs="Arial"/>
          <w:color w:val="000000" w:themeColor="text1"/>
          <w:sz w:val="22"/>
          <w:szCs w:val="22"/>
          <w:highlight w:val="yellow"/>
        </w:rPr>
      </w:pPr>
      <w:r w:rsidRPr="00924139">
        <w:rPr>
          <w:rFonts w:ascii="Arial" w:hAnsi="Arial" w:cs="Arial"/>
          <w:color w:val="000000" w:themeColor="text1"/>
          <w:sz w:val="22"/>
          <w:szCs w:val="22"/>
          <w:highlight w:val="yellow"/>
        </w:rPr>
        <w:t>Python-</w:t>
      </w:r>
      <w:r w:rsidR="00F91302" w:rsidRPr="00924139">
        <w:rPr>
          <w:rFonts w:ascii="Arial" w:hAnsi="Arial" w:cs="Arial"/>
          <w:color w:val="000000" w:themeColor="text1"/>
          <w:sz w:val="22"/>
          <w:szCs w:val="22"/>
          <w:highlight w:val="yellow"/>
        </w:rPr>
        <w:t>Cantera programs:</w:t>
      </w:r>
      <w:r w:rsidR="00657F16" w:rsidRPr="00924139">
        <w:rPr>
          <w:rFonts w:ascii="Arial" w:hAnsi="Arial" w:cs="Arial"/>
          <w:color w:val="000000" w:themeColor="text1"/>
          <w:sz w:val="22"/>
          <w:szCs w:val="22"/>
          <w:highlight w:val="yellow"/>
        </w:rPr>
        <w:t xml:space="preserve"> </w:t>
      </w:r>
      <w:hyperlink r:id="rId13" w:history="1">
        <w:r w:rsidR="00657F16" w:rsidRPr="00924139">
          <w:rPr>
            <w:rStyle w:val="Hyperlink"/>
            <w:rFonts w:ascii="Arial" w:hAnsi="Arial" w:cs="Arial"/>
            <w:color w:val="000000" w:themeColor="text1"/>
            <w:sz w:val="22"/>
            <w:szCs w:val="22"/>
            <w:highlight w:val="yellow"/>
          </w:rPr>
          <w:t>https://github.com/hankdikeman/CombustionProj2</w:t>
        </w:r>
      </w:hyperlink>
      <w:r w:rsidR="00657F16" w:rsidRPr="00924139">
        <w:rPr>
          <w:rFonts w:ascii="Arial" w:hAnsi="Arial" w:cs="Arial"/>
          <w:color w:val="000000" w:themeColor="text1"/>
          <w:sz w:val="22"/>
          <w:szCs w:val="22"/>
          <w:highlight w:val="yellow"/>
        </w:rPr>
        <w:t xml:space="preserve"> </w:t>
      </w:r>
    </w:p>
    <w:p w14:paraId="04031E9C" w14:textId="7FAC23FD" w:rsidR="00F91302" w:rsidRPr="00924139" w:rsidRDefault="00F91302" w:rsidP="00DE7930">
      <w:pPr>
        <w:tabs>
          <w:tab w:val="left" w:pos="1605"/>
        </w:tabs>
        <w:rPr>
          <w:rFonts w:ascii="Arial" w:hAnsi="Arial" w:cs="Arial"/>
          <w:color w:val="000000" w:themeColor="text1"/>
          <w:sz w:val="22"/>
          <w:szCs w:val="22"/>
        </w:rPr>
      </w:pPr>
      <w:r w:rsidRPr="00924139">
        <w:rPr>
          <w:rFonts w:ascii="Arial" w:hAnsi="Arial" w:cs="Arial"/>
          <w:color w:val="000000" w:themeColor="text1"/>
          <w:sz w:val="22"/>
          <w:szCs w:val="22"/>
          <w:highlight w:val="yellow"/>
        </w:rPr>
        <w:t>All graphs:</w:t>
      </w:r>
      <w:r w:rsidR="00657F16" w:rsidRPr="00924139">
        <w:rPr>
          <w:rFonts w:ascii="Arial" w:hAnsi="Arial" w:cs="Arial"/>
          <w:color w:val="000000" w:themeColor="text1"/>
          <w:sz w:val="22"/>
          <w:szCs w:val="22"/>
          <w:highlight w:val="yellow"/>
        </w:rPr>
        <w:t xml:space="preserve"> </w:t>
      </w:r>
      <w:hyperlink r:id="rId14" w:history="1">
        <w:r w:rsidR="00657F16" w:rsidRPr="00924139">
          <w:rPr>
            <w:rStyle w:val="Hyperlink"/>
            <w:rFonts w:ascii="Arial" w:hAnsi="Arial" w:cs="Arial"/>
            <w:color w:val="000000" w:themeColor="text1"/>
            <w:sz w:val="22"/>
            <w:szCs w:val="22"/>
            <w:highlight w:val="yellow"/>
          </w:rPr>
          <w:t>https://github.com/hankdikeman/CombustionProj2/tree/master/Figures</w:t>
        </w:r>
      </w:hyperlink>
      <w:r w:rsidR="00657F16" w:rsidRPr="00924139">
        <w:rPr>
          <w:rFonts w:ascii="Arial" w:hAnsi="Arial" w:cs="Arial"/>
          <w:color w:val="000000" w:themeColor="text1"/>
          <w:sz w:val="22"/>
          <w:szCs w:val="22"/>
        </w:rPr>
        <w:t xml:space="preserve"> </w:t>
      </w:r>
    </w:p>
    <w:sectPr w:rsidR="00F91302" w:rsidRPr="00924139" w:rsidSect="0043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227CE"/>
    <w:multiLevelType w:val="hybridMultilevel"/>
    <w:tmpl w:val="867A8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97EE1"/>
    <w:multiLevelType w:val="hybridMultilevel"/>
    <w:tmpl w:val="076AB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6496D"/>
    <w:multiLevelType w:val="hybridMultilevel"/>
    <w:tmpl w:val="F85216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F6509"/>
    <w:multiLevelType w:val="hybridMultilevel"/>
    <w:tmpl w:val="A6CED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33"/>
    <w:rsid w:val="000026EA"/>
    <w:rsid w:val="00004925"/>
    <w:rsid w:val="000155B7"/>
    <w:rsid w:val="00022B9E"/>
    <w:rsid w:val="00025A30"/>
    <w:rsid w:val="0004241B"/>
    <w:rsid w:val="0005228A"/>
    <w:rsid w:val="000559B3"/>
    <w:rsid w:val="00073512"/>
    <w:rsid w:val="00086E36"/>
    <w:rsid w:val="000B4933"/>
    <w:rsid w:val="000F7554"/>
    <w:rsid w:val="001103FC"/>
    <w:rsid w:val="00121D0A"/>
    <w:rsid w:val="001300BE"/>
    <w:rsid w:val="001628BE"/>
    <w:rsid w:val="00164CE9"/>
    <w:rsid w:val="00176118"/>
    <w:rsid w:val="00191FD8"/>
    <w:rsid w:val="0019589F"/>
    <w:rsid w:val="0019650D"/>
    <w:rsid w:val="00196CA0"/>
    <w:rsid w:val="001B72AA"/>
    <w:rsid w:val="001C1805"/>
    <w:rsid w:val="001D46B7"/>
    <w:rsid w:val="001D5CD7"/>
    <w:rsid w:val="001E1EE4"/>
    <w:rsid w:val="001F4C03"/>
    <w:rsid w:val="001F6D63"/>
    <w:rsid w:val="0020047C"/>
    <w:rsid w:val="002149C1"/>
    <w:rsid w:val="00214B59"/>
    <w:rsid w:val="00222843"/>
    <w:rsid w:val="00224BCB"/>
    <w:rsid w:val="00236B55"/>
    <w:rsid w:val="002558EF"/>
    <w:rsid w:val="0027267D"/>
    <w:rsid w:val="002926BE"/>
    <w:rsid w:val="002A0AB6"/>
    <w:rsid w:val="002C040C"/>
    <w:rsid w:val="002C30FE"/>
    <w:rsid w:val="002C76CD"/>
    <w:rsid w:val="002F520C"/>
    <w:rsid w:val="00303CAC"/>
    <w:rsid w:val="003074E4"/>
    <w:rsid w:val="00315E08"/>
    <w:rsid w:val="0031721C"/>
    <w:rsid w:val="00321776"/>
    <w:rsid w:val="0035353A"/>
    <w:rsid w:val="00364D9E"/>
    <w:rsid w:val="003660A1"/>
    <w:rsid w:val="0037317C"/>
    <w:rsid w:val="00376AB1"/>
    <w:rsid w:val="00385DBB"/>
    <w:rsid w:val="00386133"/>
    <w:rsid w:val="00396A82"/>
    <w:rsid w:val="003B3CE3"/>
    <w:rsid w:val="003B7635"/>
    <w:rsid w:val="003E4002"/>
    <w:rsid w:val="003F0395"/>
    <w:rsid w:val="003F4AFF"/>
    <w:rsid w:val="004003AA"/>
    <w:rsid w:val="0040086B"/>
    <w:rsid w:val="0042256A"/>
    <w:rsid w:val="00436497"/>
    <w:rsid w:val="00440150"/>
    <w:rsid w:val="0044395D"/>
    <w:rsid w:val="004466F7"/>
    <w:rsid w:val="00446996"/>
    <w:rsid w:val="00464D27"/>
    <w:rsid w:val="0047512D"/>
    <w:rsid w:val="00481F77"/>
    <w:rsid w:val="00483DAA"/>
    <w:rsid w:val="004B0228"/>
    <w:rsid w:val="004C37D7"/>
    <w:rsid w:val="004C6F83"/>
    <w:rsid w:val="004D04A2"/>
    <w:rsid w:val="004D1B6D"/>
    <w:rsid w:val="004D362D"/>
    <w:rsid w:val="004D55A6"/>
    <w:rsid w:val="004F4C33"/>
    <w:rsid w:val="004F4CFF"/>
    <w:rsid w:val="00504B65"/>
    <w:rsid w:val="0050519E"/>
    <w:rsid w:val="00537BCC"/>
    <w:rsid w:val="00574972"/>
    <w:rsid w:val="00592639"/>
    <w:rsid w:val="005A0CF3"/>
    <w:rsid w:val="005A27E6"/>
    <w:rsid w:val="005B7C49"/>
    <w:rsid w:val="005F55AA"/>
    <w:rsid w:val="00602680"/>
    <w:rsid w:val="00625930"/>
    <w:rsid w:val="00626849"/>
    <w:rsid w:val="00640998"/>
    <w:rsid w:val="006478FF"/>
    <w:rsid w:val="006569F7"/>
    <w:rsid w:val="00657F16"/>
    <w:rsid w:val="006619D3"/>
    <w:rsid w:val="006665AF"/>
    <w:rsid w:val="006915FF"/>
    <w:rsid w:val="006B049D"/>
    <w:rsid w:val="006B661A"/>
    <w:rsid w:val="006C022B"/>
    <w:rsid w:val="006D2817"/>
    <w:rsid w:val="006D6DF5"/>
    <w:rsid w:val="006F0814"/>
    <w:rsid w:val="006F32B4"/>
    <w:rsid w:val="007115A2"/>
    <w:rsid w:val="00720137"/>
    <w:rsid w:val="0072118A"/>
    <w:rsid w:val="007401FA"/>
    <w:rsid w:val="00744A56"/>
    <w:rsid w:val="0075152D"/>
    <w:rsid w:val="0075738E"/>
    <w:rsid w:val="00797005"/>
    <w:rsid w:val="007B3CFC"/>
    <w:rsid w:val="007C39F5"/>
    <w:rsid w:val="007C6630"/>
    <w:rsid w:val="007E09EE"/>
    <w:rsid w:val="007E66FF"/>
    <w:rsid w:val="007F3999"/>
    <w:rsid w:val="00827410"/>
    <w:rsid w:val="00830952"/>
    <w:rsid w:val="00832D7F"/>
    <w:rsid w:val="00837C55"/>
    <w:rsid w:val="00853047"/>
    <w:rsid w:val="008826AF"/>
    <w:rsid w:val="00883367"/>
    <w:rsid w:val="008909BF"/>
    <w:rsid w:val="008A29F2"/>
    <w:rsid w:val="008A371F"/>
    <w:rsid w:val="008A6EC5"/>
    <w:rsid w:val="008B5565"/>
    <w:rsid w:val="008D4BF5"/>
    <w:rsid w:val="0090266C"/>
    <w:rsid w:val="00907F44"/>
    <w:rsid w:val="00924139"/>
    <w:rsid w:val="00935724"/>
    <w:rsid w:val="009532AD"/>
    <w:rsid w:val="009534F8"/>
    <w:rsid w:val="00995084"/>
    <w:rsid w:val="00995121"/>
    <w:rsid w:val="009956D4"/>
    <w:rsid w:val="009C6D01"/>
    <w:rsid w:val="009D6CE6"/>
    <w:rsid w:val="009F65B5"/>
    <w:rsid w:val="00A06C6F"/>
    <w:rsid w:val="00A1100A"/>
    <w:rsid w:val="00A139F2"/>
    <w:rsid w:val="00A14677"/>
    <w:rsid w:val="00A33463"/>
    <w:rsid w:val="00A53F25"/>
    <w:rsid w:val="00A56F60"/>
    <w:rsid w:val="00A6584E"/>
    <w:rsid w:val="00A73FE0"/>
    <w:rsid w:val="00A76835"/>
    <w:rsid w:val="00A852F5"/>
    <w:rsid w:val="00AE46D8"/>
    <w:rsid w:val="00AE5724"/>
    <w:rsid w:val="00AF6C8C"/>
    <w:rsid w:val="00B15EB1"/>
    <w:rsid w:val="00B262BA"/>
    <w:rsid w:val="00B32554"/>
    <w:rsid w:val="00B344E1"/>
    <w:rsid w:val="00B64FAE"/>
    <w:rsid w:val="00B832FC"/>
    <w:rsid w:val="00B87642"/>
    <w:rsid w:val="00B909ED"/>
    <w:rsid w:val="00BA1C3E"/>
    <w:rsid w:val="00BB05A4"/>
    <w:rsid w:val="00BD78E0"/>
    <w:rsid w:val="00BE5D99"/>
    <w:rsid w:val="00BF1578"/>
    <w:rsid w:val="00C45B96"/>
    <w:rsid w:val="00C62B43"/>
    <w:rsid w:val="00C77C9A"/>
    <w:rsid w:val="00C82D3C"/>
    <w:rsid w:val="00C86D97"/>
    <w:rsid w:val="00CA5351"/>
    <w:rsid w:val="00CB46F8"/>
    <w:rsid w:val="00CB5AD6"/>
    <w:rsid w:val="00CC1DA7"/>
    <w:rsid w:val="00CC23B1"/>
    <w:rsid w:val="00CE0913"/>
    <w:rsid w:val="00CE118A"/>
    <w:rsid w:val="00CE5705"/>
    <w:rsid w:val="00D13325"/>
    <w:rsid w:val="00D15E89"/>
    <w:rsid w:val="00D220FC"/>
    <w:rsid w:val="00D52E39"/>
    <w:rsid w:val="00D531AF"/>
    <w:rsid w:val="00D54A8B"/>
    <w:rsid w:val="00D5648F"/>
    <w:rsid w:val="00D63B0F"/>
    <w:rsid w:val="00D74494"/>
    <w:rsid w:val="00D9154F"/>
    <w:rsid w:val="00DA2411"/>
    <w:rsid w:val="00DB7119"/>
    <w:rsid w:val="00DD0857"/>
    <w:rsid w:val="00DD21FF"/>
    <w:rsid w:val="00DD5C6A"/>
    <w:rsid w:val="00DE6AA6"/>
    <w:rsid w:val="00DE7930"/>
    <w:rsid w:val="00DF1361"/>
    <w:rsid w:val="00E020CD"/>
    <w:rsid w:val="00E064DC"/>
    <w:rsid w:val="00E102EF"/>
    <w:rsid w:val="00E1570F"/>
    <w:rsid w:val="00E165A1"/>
    <w:rsid w:val="00E303B0"/>
    <w:rsid w:val="00E46216"/>
    <w:rsid w:val="00E46B96"/>
    <w:rsid w:val="00E540A5"/>
    <w:rsid w:val="00E7347F"/>
    <w:rsid w:val="00E77225"/>
    <w:rsid w:val="00E96BBC"/>
    <w:rsid w:val="00ED4047"/>
    <w:rsid w:val="00ED5072"/>
    <w:rsid w:val="00EF186C"/>
    <w:rsid w:val="00EF238A"/>
    <w:rsid w:val="00F07FBD"/>
    <w:rsid w:val="00F605EB"/>
    <w:rsid w:val="00F64C13"/>
    <w:rsid w:val="00F833F3"/>
    <w:rsid w:val="00F86828"/>
    <w:rsid w:val="00F91302"/>
    <w:rsid w:val="00FA17E7"/>
    <w:rsid w:val="00FC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586E"/>
  <w14:defaultImageDpi w14:val="32767"/>
  <w15:chartTrackingRefBased/>
  <w15:docId w15:val="{64CE784A-DFEB-8540-AE20-55436972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10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C33"/>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6F0814"/>
    <w:rPr>
      <w:color w:val="808080"/>
    </w:rPr>
  </w:style>
  <w:style w:type="table" w:styleId="TableGrid">
    <w:name w:val="Table Grid"/>
    <w:basedOn w:val="TableNormal"/>
    <w:uiPriority w:val="39"/>
    <w:rsid w:val="00A11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302"/>
    <w:rPr>
      <w:color w:val="0563C1" w:themeColor="hyperlink"/>
      <w:u w:val="single"/>
    </w:rPr>
  </w:style>
  <w:style w:type="character" w:styleId="UnresolvedMention">
    <w:name w:val="Unresolved Mention"/>
    <w:basedOn w:val="DefaultParagraphFont"/>
    <w:uiPriority w:val="99"/>
    <w:rsid w:val="00F91302"/>
    <w:rPr>
      <w:color w:val="605E5C"/>
      <w:shd w:val="clear" w:color="auto" w:fill="E1DFDD"/>
    </w:rPr>
  </w:style>
  <w:style w:type="character" w:styleId="FollowedHyperlink">
    <w:name w:val="FollowedHyperlink"/>
    <w:basedOn w:val="DefaultParagraphFont"/>
    <w:uiPriority w:val="99"/>
    <w:semiHidden/>
    <w:unhideWhenUsed/>
    <w:rsid w:val="00F91302"/>
    <w:rPr>
      <w:color w:val="954F72" w:themeColor="followedHyperlink"/>
      <w:u w:val="single"/>
    </w:rPr>
  </w:style>
  <w:style w:type="character" w:customStyle="1" w:styleId="textlayer--absolute">
    <w:name w:val="textlayer--absolute"/>
    <w:basedOn w:val="DefaultParagraphFont"/>
    <w:rsid w:val="00FC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85331">
      <w:bodyDiv w:val="1"/>
      <w:marLeft w:val="0"/>
      <w:marRight w:val="0"/>
      <w:marTop w:val="0"/>
      <w:marBottom w:val="0"/>
      <w:divBdr>
        <w:top w:val="none" w:sz="0" w:space="0" w:color="auto"/>
        <w:left w:val="none" w:sz="0" w:space="0" w:color="auto"/>
        <w:bottom w:val="none" w:sz="0" w:space="0" w:color="auto"/>
        <w:right w:val="none" w:sz="0" w:space="0" w:color="auto"/>
      </w:divBdr>
    </w:div>
    <w:div w:id="474295135">
      <w:bodyDiv w:val="1"/>
      <w:marLeft w:val="0"/>
      <w:marRight w:val="0"/>
      <w:marTop w:val="0"/>
      <w:marBottom w:val="0"/>
      <w:divBdr>
        <w:top w:val="none" w:sz="0" w:space="0" w:color="auto"/>
        <w:left w:val="none" w:sz="0" w:space="0" w:color="auto"/>
        <w:bottom w:val="none" w:sz="0" w:space="0" w:color="auto"/>
        <w:right w:val="none" w:sz="0" w:space="0" w:color="auto"/>
      </w:divBdr>
    </w:div>
    <w:div w:id="934050439">
      <w:bodyDiv w:val="1"/>
      <w:marLeft w:val="0"/>
      <w:marRight w:val="0"/>
      <w:marTop w:val="0"/>
      <w:marBottom w:val="0"/>
      <w:divBdr>
        <w:top w:val="none" w:sz="0" w:space="0" w:color="auto"/>
        <w:left w:val="none" w:sz="0" w:space="0" w:color="auto"/>
        <w:bottom w:val="none" w:sz="0" w:space="0" w:color="auto"/>
        <w:right w:val="none" w:sz="0" w:space="0" w:color="auto"/>
      </w:divBdr>
      <w:divsChild>
        <w:div w:id="1854955214">
          <w:marLeft w:val="0"/>
          <w:marRight w:val="0"/>
          <w:marTop w:val="0"/>
          <w:marBottom w:val="0"/>
          <w:divBdr>
            <w:top w:val="none" w:sz="0" w:space="0" w:color="auto"/>
            <w:left w:val="none" w:sz="0" w:space="0" w:color="auto"/>
            <w:bottom w:val="none" w:sz="0" w:space="0" w:color="auto"/>
            <w:right w:val="none" w:sz="0" w:space="0" w:color="auto"/>
          </w:divBdr>
          <w:divsChild>
            <w:div w:id="993295899">
              <w:marLeft w:val="0"/>
              <w:marRight w:val="0"/>
              <w:marTop w:val="0"/>
              <w:marBottom w:val="0"/>
              <w:divBdr>
                <w:top w:val="none" w:sz="0" w:space="0" w:color="auto"/>
                <w:left w:val="none" w:sz="0" w:space="0" w:color="auto"/>
                <w:bottom w:val="none" w:sz="0" w:space="0" w:color="auto"/>
                <w:right w:val="none" w:sz="0" w:space="0" w:color="auto"/>
              </w:divBdr>
              <w:divsChild>
                <w:div w:id="863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ankdikeman/CombustionProj2" TargetMode="External"/><Relationship Id="rId3" Type="http://schemas.openxmlformats.org/officeDocument/2006/relationships/settings" Target="settings.xml"/><Relationship Id="rId7" Type="http://schemas.openxmlformats.org/officeDocument/2006/relationships/hyperlink" Target="http://combustion.berkeley.edu/gri-mech/version30/text30.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eng.ucsd.edu/mae/groups/combustion/mechanism.html" TargetMode="External"/><Relationship Id="rId11" Type="http://schemas.openxmlformats.org/officeDocument/2006/relationships/image" Target="media/image4.png"/><Relationship Id="rId5" Type="http://schemas.openxmlformats.org/officeDocument/2006/relationships/hyperlink" Target="http://combustion.berkeley.edu/gri-mech/version30/text30.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hankdikeman/CombustionProj2/tree/master/Fig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Dikeman</dc:creator>
  <cp:keywords/>
  <dc:description/>
  <cp:lastModifiedBy>Henry Dikeman</cp:lastModifiedBy>
  <cp:revision>91</cp:revision>
  <cp:lastPrinted>2021-01-31T19:08:00Z</cp:lastPrinted>
  <dcterms:created xsi:type="dcterms:W3CDTF">2021-02-26T23:52:00Z</dcterms:created>
  <dcterms:modified xsi:type="dcterms:W3CDTF">2021-03-27T04:38:00Z</dcterms:modified>
</cp:coreProperties>
</file>