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7787" w14:textId="559146C7" w:rsidR="00907F44" w:rsidRPr="00995121" w:rsidRDefault="004F4C33" w:rsidP="004F4C33">
      <w:pPr>
        <w:jc w:val="center"/>
        <w:rPr>
          <w:rFonts w:ascii="Arial" w:hAnsi="Arial" w:cs="Arial"/>
          <w:b/>
          <w:bCs/>
          <w:sz w:val="36"/>
          <w:szCs w:val="36"/>
        </w:rPr>
      </w:pPr>
      <w:r w:rsidRPr="00995121">
        <w:rPr>
          <w:rFonts w:ascii="Arial" w:hAnsi="Arial" w:cs="Arial"/>
          <w:b/>
          <w:bCs/>
          <w:sz w:val="36"/>
          <w:szCs w:val="36"/>
        </w:rPr>
        <w:t xml:space="preserve">Combustion ME 5446 Project </w:t>
      </w:r>
      <w:r w:rsidR="00CE0913">
        <w:rPr>
          <w:rFonts w:ascii="Arial" w:hAnsi="Arial" w:cs="Arial"/>
          <w:b/>
          <w:bCs/>
          <w:sz w:val="36"/>
          <w:szCs w:val="36"/>
        </w:rPr>
        <w:t>3</w:t>
      </w:r>
    </w:p>
    <w:p w14:paraId="51777F3A" w14:textId="088F2BB0" w:rsidR="004F4C33" w:rsidRPr="00995121" w:rsidRDefault="004F4C33" w:rsidP="004F4C33">
      <w:pPr>
        <w:jc w:val="right"/>
        <w:rPr>
          <w:rFonts w:ascii="Arial" w:hAnsi="Arial" w:cs="Arial"/>
          <w:sz w:val="21"/>
          <w:szCs w:val="21"/>
        </w:rPr>
      </w:pPr>
      <w:r w:rsidRPr="00995121">
        <w:rPr>
          <w:rFonts w:ascii="Arial" w:hAnsi="Arial" w:cs="Arial"/>
          <w:sz w:val="21"/>
          <w:szCs w:val="21"/>
        </w:rPr>
        <w:t>Henry Dikeman</w:t>
      </w:r>
    </w:p>
    <w:p w14:paraId="778BC1FF" w14:textId="15DC14CD" w:rsidR="004F4C33" w:rsidRPr="00995121" w:rsidRDefault="004F4C33" w:rsidP="004F4C33">
      <w:pPr>
        <w:jc w:val="right"/>
        <w:rPr>
          <w:rFonts w:ascii="Arial" w:hAnsi="Arial" w:cs="Arial"/>
          <w:sz w:val="21"/>
          <w:szCs w:val="21"/>
        </w:rPr>
      </w:pPr>
      <w:r w:rsidRPr="00995121">
        <w:rPr>
          <w:rFonts w:ascii="Arial" w:hAnsi="Arial" w:cs="Arial"/>
          <w:sz w:val="21"/>
          <w:szCs w:val="21"/>
        </w:rPr>
        <w:t>Student ID: 5305384</w:t>
      </w:r>
    </w:p>
    <w:p w14:paraId="02760D76" w14:textId="47A3CE9A" w:rsidR="004F4C33" w:rsidRPr="00995121" w:rsidRDefault="00CE0913" w:rsidP="004F4C33">
      <w:pPr>
        <w:jc w:val="right"/>
        <w:rPr>
          <w:rFonts w:ascii="Arial" w:hAnsi="Arial" w:cs="Arial"/>
          <w:sz w:val="21"/>
          <w:szCs w:val="21"/>
        </w:rPr>
      </w:pPr>
      <w:r>
        <w:rPr>
          <w:rFonts w:ascii="Arial" w:hAnsi="Arial" w:cs="Arial"/>
          <w:sz w:val="21"/>
          <w:szCs w:val="21"/>
        </w:rPr>
        <w:t>March</w:t>
      </w:r>
      <w:r w:rsidR="00907F44">
        <w:rPr>
          <w:rFonts w:ascii="Arial" w:hAnsi="Arial" w:cs="Arial"/>
          <w:sz w:val="21"/>
          <w:szCs w:val="21"/>
        </w:rPr>
        <w:t xml:space="preserve"> 2</w:t>
      </w:r>
      <w:r w:rsidR="0037317C">
        <w:rPr>
          <w:rFonts w:ascii="Arial" w:hAnsi="Arial" w:cs="Arial"/>
          <w:sz w:val="21"/>
          <w:szCs w:val="21"/>
        </w:rPr>
        <w:t>6</w:t>
      </w:r>
      <w:r w:rsidR="00907F44" w:rsidRPr="00907F44">
        <w:rPr>
          <w:rFonts w:ascii="Arial" w:hAnsi="Arial" w:cs="Arial"/>
          <w:sz w:val="21"/>
          <w:szCs w:val="21"/>
          <w:vertAlign w:val="superscript"/>
        </w:rPr>
        <w:t>th</w:t>
      </w:r>
      <w:r w:rsidR="004F4C33" w:rsidRPr="00995121">
        <w:rPr>
          <w:rFonts w:ascii="Arial" w:hAnsi="Arial" w:cs="Arial"/>
          <w:sz w:val="21"/>
          <w:szCs w:val="21"/>
        </w:rPr>
        <w:t>, 2020</w:t>
      </w:r>
    </w:p>
    <w:p w14:paraId="2E32A8CE" w14:textId="5165C1CA"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A. Introduction</w:t>
      </w:r>
    </w:p>
    <w:p w14:paraId="7682CA92" w14:textId="3D7CEC10" w:rsidR="00CE0913" w:rsidRPr="00995121" w:rsidRDefault="00CE0913" w:rsidP="001F4C03">
      <w:pPr>
        <w:jc w:val="both"/>
        <w:rPr>
          <w:rFonts w:ascii="Arial" w:hAnsi="Arial" w:cs="Arial"/>
          <w:sz w:val="22"/>
          <w:szCs w:val="22"/>
        </w:rPr>
      </w:pPr>
      <w:r>
        <w:rPr>
          <w:rFonts w:ascii="Arial" w:hAnsi="Arial" w:cs="Arial"/>
          <w:sz w:val="22"/>
          <w:szCs w:val="22"/>
        </w:rPr>
        <w:t>The mechanics of hydrocarbon detonation shed light on many of the complex processes occurring during a combustion reaction. Modelling the structure and mechanics of detonation are also important in their own right, since hydrocarbon detonation has the potential to be an extremely dangerous event if unexpected. Understanding the detonation process at a microscopic and theoretical level enables researchers and industry engineers to properly understand the safety risk and physical phenomena present due to a hydrocarbon detonation. Additionally, the future of efficient combustive engine design is likely to be reliant upon detonation, and the success of future research is grounded upon a competent understanding of the backbone of detonation mechanism. This report determines the theoretical characteristics of propane-air combustion at a variety of initial conditions and mixing ratios, as well as simulating the induction period for propane-air mixtures at the detonation limits of the mixture.</w:t>
      </w:r>
    </w:p>
    <w:p w14:paraId="4D4F9DF5" w14:textId="026B9AAC" w:rsidR="004F4C33" w:rsidRPr="00995121" w:rsidRDefault="004F4C33" w:rsidP="004F4C33">
      <w:pPr>
        <w:rPr>
          <w:rFonts w:ascii="Arial" w:hAnsi="Arial" w:cs="Arial"/>
          <w:sz w:val="22"/>
          <w:szCs w:val="22"/>
        </w:rPr>
      </w:pPr>
    </w:p>
    <w:p w14:paraId="751963B7" w14:textId="26D3771B"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B. Methods</w:t>
      </w:r>
    </w:p>
    <w:p w14:paraId="198CFFFB" w14:textId="0874ACAC" w:rsidR="00446996" w:rsidRPr="00995121" w:rsidRDefault="00CE0913" w:rsidP="00E46216">
      <w:pPr>
        <w:jc w:val="both"/>
        <w:rPr>
          <w:rFonts w:ascii="Arial" w:hAnsi="Arial" w:cs="Arial"/>
          <w:sz w:val="22"/>
          <w:szCs w:val="22"/>
        </w:rPr>
      </w:pPr>
      <w:r>
        <w:rPr>
          <w:rFonts w:ascii="Arial" w:hAnsi="Arial" w:cs="Arial"/>
          <w:sz w:val="22"/>
          <w:szCs w:val="22"/>
        </w:rPr>
        <w:t xml:space="preserve">This report employs the Cantera combustion simulation library as a backbone for most major analysis, including induction time simulation and reaction kinetics simulations. </w:t>
      </w:r>
    </w:p>
    <w:p w14:paraId="3A33D9AB" w14:textId="723245E4" w:rsidR="00CC23B1" w:rsidRPr="00995121" w:rsidRDefault="00CC23B1" w:rsidP="004F4C33">
      <w:pPr>
        <w:rPr>
          <w:rFonts w:ascii="Arial" w:hAnsi="Arial" w:cs="Arial"/>
          <w:sz w:val="22"/>
          <w:szCs w:val="22"/>
        </w:rPr>
      </w:pPr>
    </w:p>
    <w:p w14:paraId="0DB034B1" w14:textId="2DE408DA" w:rsidR="00CC23B1" w:rsidRDefault="00CE0913" w:rsidP="00E46216">
      <w:pPr>
        <w:jc w:val="both"/>
        <w:rPr>
          <w:rFonts w:ascii="Arial" w:hAnsi="Arial" w:cs="Arial"/>
          <w:sz w:val="22"/>
          <w:szCs w:val="22"/>
        </w:rPr>
      </w:pPr>
      <w:r>
        <w:rPr>
          <w:rFonts w:ascii="Arial" w:hAnsi="Arial" w:cs="Arial"/>
          <w:sz w:val="22"/>
          <w:szCs w:val="22"/>
        </w:rPr>
        <w:t>Induction time was determined using a PFR reactor module within the Cantera library, with mechanics dictated by the coupled series of governing equations below:</w:t>
      </w:r>
    </w:p>
    <w:p w14:paraId="7CE73FF9" w14:textId="4E8E3947" w:rsidR="00CB46F8" w:rsidRDefault="00CB46F8" w:rsidP="004F4C33">
      <w:pPr>
        <w:rPr>
          <w:rFonts w:ascii="Arial" w:hAnsi="Arial" w:cs="Arial"/>
          <w:sz w:val="22"/>
          <w:szCs w:val="22"/>
        </w:rPr>
      </w:pPr>
    </w:p>
    <w:tbl>
      <w:tblPr>
        <w:tblStyle w:val="TableGrid"/>
        <w:tblW w:w="9450" w:type="dxa"/>
        <w:tblLook w:val="04A0" w:firstRow="1" w:lastRow="0" w:firstColumn="1" w:lastColumn="0" w:noHBand="0" w:noVBand="1"/>
      </w:tblPr>
      <w:tblGrid>
        <w:gridCol w:w="2155"/>
        <w:gridCol w:w="7295"/>
      </w:tblGrid>
      <w:tr w:rsidR="00EE1562" w14:paraId="24825297" w14:textId="77777777" w:rsidTr="00E37668">
        <w:trPr>
          <w:trHeight w:val="594"/>
        </w:trPr>
        <w:tc>
          <w:tcPr>
            <w:tcW w:w="2155" w:type="dxa"/>
            <w:tcBorders>
              <w:top w:val="single" w:sz="18" w:space="0" w:color="auto"/>
              <w:left w:val="nil"/>
              <w:bottom w:val="single" w:sz="18" w:space="0" w:color="auto"/>
              <w:right w:val="nil"/>
            </w:tcBorders>
            <w:vAlign w:val="center"/>
          </w:tcPr>
          <w:p w14:paraId="6C893CD2" w14:textId="74DC5654" w:rsidR="00EE1562" w:rsidRPr="00A33463" w:rsidRDefault="00EE1562" w:rsidP="00E37668">
            <w:pPr>
              <w:jc w:val="center"/>
              <w:rPr>
                <w:rFonts w:ascii="Arial" w:hAnsi="Arial" w:cs="Arial"/>
                <w:b/>
                <w:bCs/>
                <w:sz w:val="22"/>
                <w:szCs w:val="22"/>
              </w:rPr>
            </w:pPr>
            <w:r w:rsidRPr="00A33463">
              <w:rPr>
                <w:rFonts w:ascii="Arial" w:hAnsi="Arial" w:cs="Arial"/>
                <w:b/>
                <w:bCs/>
                <w:sz w:val="22"/>
                <w:szCs w:val="22"/>
              </w:rPr>
              <w:t>Balance Equation</w:t>
            </w:r>
          </w:p>
        </w:tc>
        <w:tc>
          <w:tcPr>
            <w:tcW w:w="7295" w:type="dxa"/>
            <w:tcBorders>
              <w:top w:val="single" w:sz="18" w:space="0" w:color="auto"/>
              <w:left w:val="nil"/>
              <w:bottom w:val="single" w:sz="18" w:space="0" w:color="auto"/>
              <w:right w:val="nil"/>
            </w:tcBorders>
            <w:vAlign w:val="center"/>
          </w:tcPr>
          <w:p w14:paraId="67EF3CEC" w14:textId="012E57B6" w:rsidR="00EE1562" w:rsidRPr="00A33463" w:rsidRDefault="00EE1562" w:rsidP="00E37668">
            <w:pPr>
              <w:jc w:val="center"/>
              <w:rPr>
                <w:rFonts w:ascii="Arial" w:hAnsi="Arial" w:cs="Arial"/>
                <w:b/>
                <w:bCs/>
                <w:sz w:val="22"/>
                <w:szCs w:val="22"/>
              </w:rPr>
            </w:pPr>
            <w:r>
              <w:rPr>
                <w:rFonts w:ascii="Arial" w:hAnsi="Arial" w:cs="Arial"/>
                <w:b/>
                <w:bCs/>
                <w:sz w:val="22"/>
                <w:szCs w:val="22"/>
              </w:rPr>
              <w:t xml:space="preserve">Idealized Adiabatic </w:t>
            </w:r>
            <w:r w:rsidRPr="00A33463">
              <w:rPr>
                <w:rFonts w:ascii="Arial" w:hAnsi="Arial" w:cs="Arial"/>
                <w:b/>
                <w:bCs/>
                <w:sz w:val="22"/>
                <w:szCs w:val="22"/>
              </w:rPr>
              <w:t>PFR</w:t>
            </w:r>
            <w:r>
              <w:rPr>
                <w:rFonts w:ascii="Arial" w:hAnsi="Arial" w:cs="Arial"/>
                <w:b/>
                <w:bCs/>
                <w:sz w:val="22"/>
                <w:szCs w:val="22"/>
              </w:rPr>
              <w:t xml:space="preserve"> Model</w:t>
            </w:r>
          </w:p>
        </w:tc>
      </w:tr>
      <w:tr w:rsidR="00EE1562" w14:paraId="38E9CEC4" w14:textId="77777777" w:rsidTr="00E37668">
        <w:trPr>
          <w:trHeight w:val="855"/>
        </w:trPr>
        <w:tc>
          <w:tcPr>
            <w:tcW w:w="2155" w:type="dxa"/>
            <w:tcBorders>
              <w:top w:val="single" w:sz="18" w:space="0" w:color="auto"/>
              <w:left w:val="nil"/>
              <w:right w:val="nil"/>
            </w:tcBorders>
            <w:vAlign w:val="center"/>
          </w:tcPr>
          <w:p w14:paraId="36A7315D" w14:textId="35DAE889" w:rsidR="00EE1562" w:rsidRDefault="00EE1562" w:rsidP="00E37668">
            <w:pPr>
              <w:jc w:val="center"/>
              <w:rPr>
                <w:rFonts w:ascii="Arial" w:hAnsi="Arial" w:cs="Arial"/>
                <w:sz w:val="22"/>
                <w:szCs w:val="22"/>
              </w:rPr>
            </w:pPr>
            <w:r>
              <w:rPr>
                <w:rFonts w:ascii="Arial" w:hAnsi="Arial" w:cs="Arial"/>
                <w:sz w:val="22"/>
                <w:szCs w:val="22"/>
              </w:rPr>
              <w:t>Mass</w:t>
            </w:r>
          </w:p>
        </w:tc>
        <w:tc>
          <w:tcPr>
            <w:tcW w:w="7295" w:type="dxa"/>
            <w:tcBorders>
              <w:top w:val="single" w:sz="18" w:space="0" w:color="auto"/>
              <w:left w:val="nil"/>
              <w:right w:val="nil"/>
            </w:tcBorders>
            <w:vAlign w:val="center"/>
          </w:tcPr>
          <w:p w14:paraId="471D93B4" w14:textId="5A4067FA" w:rsidR="00EE1562" w:rsidRDefault="00EE1562" w:rsidP="00E37668">
            <w:pPr>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num>
                  <m:den>
                    <m:r>
                      <w:rPr>
                        <w:rFonts w:ascii="Cambria Math" w:hAnsi="Cambria Math" w:cs="Arial"/>
                        <w:sz w:val="22"/>
                        <w:szCs w:val="22"/>
                      </w:rPr>
                      <m:t>dx</m:t>
                    </m:r>
                  </m:den>
                </m:f>
                <m:r>
                  <w:rPr>
                    <w:rFonts w:ascii="Cambria Math" w:hAnsi="Cambria Math" w:cs="Arial"/>
                    <w:sz w:val="22"/>
                    <w:szCs w:val="22"/>
                  </w:rPr>
                  <m:t>=0</m:t>
                </m:r>
              </m:oMath>
            </m:oMathPara>
          </w:p>
        </w:tc>
      </w:tr>
      <w:tr w:rsidR="00EE1562" w14:paraId="290F77D9" w14:textId="77777777" w:rsidTr="00E37668">
        <w:trPr>
          <w:trHeight w:val="903"/>
        </w:trPr>
        <w:tc>
          <w:tcPr>
            <w:tcW w:w="2155" w:type="dxa"/>
            <w:tcBorders>
              <w:left w:val="nil"/>
              <w:right w:val="nil"/>
            </w:tcBorders>
            <w:vAlign w:val="center"/>
          </w:tcPr>
          <w:p w14:paraId="7CADF4D0" w14:textId="38000228" w:rsidR="00EE1562" w:rsidRDefault="00EE1562" w:rsidP="00E37668">
            <w:pPr>
              <w:jc w:val="center"/>
              <w:rPr>
                <w:rFonts w:ascii="Arial" w:hAnsi="Arial" w:cs="Arial"/>
                <w:sz w:val="22"/>
                <w:szCs w:val="22"/>
              </w:rPr>
            </w:pPr>
            <w:r>
              <w:rPr>
                <w:rFonts w:ascii="Arial" w:hAnsi="Arial" w:cs="Arial"/>
                <w:sz w:val="22"/>
                <w:szCs w:val="22"/>
              </w:rPr>
              <w:t>Species</w:t>
            </w:r>
          </w:p>
        </w:tc>
        <w:tc>
          <w:tcPr>
            <w:tcW w:w="7295" w:type="dxa"/>
            <w:tcBorders>
              <w:left w:val="nil"/>
              <w:right w:val="nil"/>
            </w:tcBorders>
            <w:vAlign w:val="center"/>
          </w:tcPr>
          <w:p w14:paraId="3895D7EF" w14:textId="458C36FF" w:rsidR="00EE1562" w:rsidRDefault="00EE1562" w:rsidP="00E37668">
            <w:pPr>
              <w:jc w:val="center"/>
              <w:rPr>
                <w:rFonts w:ascii="Arial" w:hAnsi="Arial" w:cs="Arial"/>
                <w:sz w:val="22"/>
                <w:szCs w:val="22"/>
              </w:rPr>
            </w:pPr>
            <m:oMathPara>
              <m:oMath>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m:oMathPara>
          </w:p>
        </w:tc>
      </w:tr>
      <w:tr w:rsidR="00EE1562" w14:paraId="73ED6338" w14:textId="77777777" w:rsidTr="00E37668">
        <w:trPr>
          <w:trHeight w:val="903"/>
        </w:trPr>
        <w:tc>
          <w:tcPr>
            <w:tcW w:w="2155" w:type="dxa"/>
            <w:tcBorders>
              <w:left w:val="nil"/>
              <w:right w:val="nil"/>
            </w:tcBorders>
            <w:vAlign w:val="center"/>
          </w:tcPr>
          <w:p w14:paraId="51759087" w14:textId="234D5282" w:rsidR="00EE1562" w:rsidRDefault="00EE1562" w:rsidP="00E37668">
            <w:pPr>
              <w:jc w:val="center"/>
              <w:rPr>
                <w:rFonts w:ascii="Arial" w:hAnsi="Arial" w:cs="Arial"/>
                <w:sz w:val="22"/>
                <w:szCs w:val="22"/>
              </w:rPr>
            </w:pPr>
            <w:r>
              <w:rPr>
                <w:rFonts w:ascii="Arial" w:hAnsi="Arial" w:cs="Arial"/>
                <w:sz w:val="22"/>
                <w:szCs w:val="22"/>
              </w:rPr>
              <w:t>Energy</w:t>
            </w:r>
          </w:p>
        </w:tc>
        <w:tc>
          <w:tcPr>
            <w:tcW w:w="7295" w:type="dxa"/>
            <w:tcBorders>
              <w:left w:val="nil"/>
              <w:right w:val="nil"/>
            </w:tcBorders>
            <w:vAlign w:val="center"/>
          </w:tcPr>
          <w:p w14:paraId="26367CF0" w14:textId="7BC67B8E" w:rsidR="00EE1562" w:rsidRDefault="00EE1562" w:rsidP="00E37668">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Pmix</m:t>
                        </m:r>
                      </m:sub>
                    </m:sSub>
                  </m:e>
                </m:d>
                <m:f>
                  <m:fPr>
                    <m:ctrlPr>
                      <w:rPr>
                        <w:rFonts w:ascii="Cambria Math" w:hAnsi="Cambria Math" w:cs="Arial"/>
                        <w:i/>
                        <w:sz w:val="22"/>
                        <w:szCs w:val="22"/>
                      </w:rPr>
                    </m:ctrlPr>
                  </m:fPr>
                  <m:num>
                    <m:r>
                      <w:rPr>
                        <w:rFonts w:ascii="Cambria Math" w:hAnsi="Cambria Math" w:cs="Arial"/>
                        <w:sz w:val="22"/>
                        <w:szCs w:val="22"/>
                      </w:rPr>
                      <m:t>dT</m:t>
                    </m:r>
                  </m:num>
                  <m:den>
                    <m:r>
                      <w:rPr>
                        <w:rFonts w:ascii="Cambria Math" w:hAnsi="Cambria Math" w:cs="Arial"/>
                        <w:sz w:val="22"/>
                        <w:szCs w:val="22"/>
                      </w:rPr>
                      <m:t>dx</m:t>
                    </m:r>
                  </m:den>
                </m:f>
                <m:r>
                  <w:rPr>
                    <w:rFonts w:ascii="Cambria Math" w:hAnsi="Cambria Math" w:cs="Arial"/>
                    <w:sz w:val="22"/>
                    <w:szCs w:val="22"/>
                  </w:rPr>
                  <m:t>=</m:t>
                </m:r>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oMath>
            </m:oMathPara>
          </w:p>
        </w:tc>
      </w:tr>
      <w:tr w:rsidR="00EE1562" w14:paraId="4249BA08" w14:textId="77777777" w:rsidTr="00E37668">
        <w:trPr>
          <w:trHeight w:val="903"/>
        </w:trPr>
        <w:tc>
          <w:tcPr>
            <w:tcW w:w="2155" w:type="dxa"/>
            <w:tcBorders>
              <w:left w:val="nil"/>
              <w:right w:val="nil"/>
            </w:tcBorders>
            <w:vAlign w:val="center"/>
          </w:tcPr>
          <w:p w14:paraId="33D65D12" w14:textId="15A926E1" w:rsidR="00EE1562" w:rsidRDefault="00EE1562" w:rsidP="00E37668">
            <w:pPr>
              <w:jc w:val="center"/>
              <w:rPr>
                <w:rFonts w:ascii="Arial" w:hAnsi="Arial" w:cs="Arial"/>
                <w:sz w:val="22"/>
                <w:szCs w:val="22"/>
              </w:rPr>
            </w:pPr>
            <w:r>
              <w:rPr>
                <w:rFonts w:ascii="Arial" w:hAnsi="Arial" w:cs="Arial"/>
                <w:sz w:val="22"/>
                <w:szCs w:val="22"/>
              </w:rPr>
              <w:t>Momentum</w:t>
            </w:r>
          </w:p>
        </w:tc>
        <w:tc>
          <w:tcPr>
            <w:tcW w:w="7295" w:type="dxa"/>
            <w:tcBorders>
              <w:left w:val="nil"/>
              <w:right w:val="nil"/>
            </w:tcBorders>
            <w:vAlign w:val="center"/>
          </w:tcPr>
          <w:p w14:paraId="41BD5095" w14:textId="7A024DEB" w:rsidR="00EE1562" w:rsidRDefault="00EE1562" w:rsidP="00E37668">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e>
                </m:d>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num>
                  <m:den>
                    <m:r>
                      <w:rPr>
                        <w:rFonts w:ascii="Cambria Math" w:hAnsi="Cambria Math" w:cs="Arial"/>
                        <w:sz w:val="22"/>
                        <w:szCs w:val="22"/>
                      </w:rPr>
                      <m:t>dx</m:t>
                    </m:r>
                  </m:den>
                </m:f>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w</m:t>
                    </m:r>
                  </m:sub>
                </m:sSub>
                <m:r>
                  <w:rPr>
                    <w:rFonts w:ascii="Cambria Math" w:hAnsi="Cambria Math" w:cs="Arial"/>
                    <w:sz w:val="22"/>
                    <w:szCs w:val="22"/>
                  </w:rPr>
                  <m:t>P</m:t>
                </m:r>
              </m:oMath>
            </m:oMathPara>
          </w:p>
        </w:tc>
      </w:tr>
    </w:tbl>
    <w:p w14:paraId="4233E040" w14:textId="5E27FDAD" w:rsidR="00CB46F8" w:rsidRPr="00995121" w:rsidRDefault="00CB46F8" w:rsidP="004F4C33">
      <w:pPr>
        <w:rPr>
          <w:rFonts w:ascii="Arial" w:hAnsi="Arial" w:cs="Arial"/>
          <w:sz w:val="22"/>
          <w:szCs w:val="22"/>
        </w:rPr>
      </w:pPr>
    </w:p>
    <w:p w14:paraId="4C80237A" w14:textId="77902187" w:rsidR="00924139" w:rsidRDefault="00924139" w:rsidP="009534F8">
      <w:pPr>
        <w:jc w:val="both"/>
        <w:rPr>
          <w:rFonts w:ascii="Arial" w:hAnsi="Arial" w:cs="Arial"/>
          <w:sz w:val="22"/>
          <w:szCs w:val="22"/>
        </w:rPr>
      </w:pPr>
      <w:r>
        <w:rPr>
          <w:rFonts w:ascii="Arial" w:hAnsi="Arial" w:cs="Arial"/>
          <w:sz w:val="22"/>
          <w:szCs w:val="22"/>
        </w:rPr>
        <w:t>This sets of equations are integrated with respect to time to yield an estimation of the progression of the reaction as a function of residence time. This residence time is used as a proxy for the autoinduction time for the gas mixture used as the entry mixture, since this ideal reactor model neglects axial mixing and assumes uniform plug flow.</w:t>
      </w:r>
      <w:r w:rsidR="00386133">
        <w:rPr>
          <w:rFonts w:ascii="Arial" w:hAnsi="Arial" w:cs="Arial"/>
          <w:sz w:val="22"/>
          <w:szCs w:val="22"/>
        </w:rPr>
        <w:t xml:space="preserve"> Autoinduction period, for the purposes of this report, is considered a rise in temperature of 150 K from the PFR entrance condition of the gas mixture.</w:t>
      </w:r>
    </w:p>
    <w:p w14:paraId="5B70B09C" w14:textId="77777777" w:rsidR="00924139" w:rsidRDefault="00924139" w:rsidP="009534F8">
      <w:pPr>
        <w:jc w:val="both"/>
        <w:rPr>
          <w:rFonts w:ascii="Arial" w:hAnsi="Arial" w:cs="Arial"/>
          <w:sz w:val="22"/>
          <w:szCs w:val="22"/>
        </w:rPr>
      </w:pPr>
    </w:p>
    <w:p w14:paraId="55C393FA" w14:textId="6A5B50E2" w:rsidR="00DF1361" w:rsidRDefault="00CE0913" w:rsidP="009534F8">
      <w:pPr>
        <w:jc w:val="both"/>
        <w:rPr>
          <w:rFonts w:ascii="Arial" w:hAnsi="Arial" w:cs="Arial"/>
          <w:sz w:val="22"/>
          <w:szCs w:val="22"/>
        </w:rPr>
      </w:pPr>
      <w:r>
        <w:rPr>
          <w:rFonts w:ascii="Arial" w:hAnsi="Arial" w:cs="Arial"/>
          <w:sz w:val="22"/>
          <w:szCs w:val="22"/>
        </w:rPr>
        <w:lastRenderedPageBreak/>
        <w:t xml:space="preserve">To </w:t>
      </w:r>
      <w:r w:rsidR="00924139">
        <w:rPr>
          <w:rFonts w:ascii="Arial" w:hAnsi="Arial" w:cs="Arial"/>
          <w:sz w:val="22"/>
          <w:szCs w:val="22"/>
        </w:rPr>
        <w:t xml:space="preserve">construct the chemical source term estimation for this simulation, the </w:t>
      </w:r>
      <w:hyperlink r:id="rId5" w:history="1">
        <w:r w:rsidR="00924139" w:rsidRPr="009534F8">
          <w:rPr>
            <w:rStyle w:val="Hyperlink"/>
            <w:rFonts w:ascii="Arial" w:hAnsi="Arial" w:cs="Arial"/>
            <w:sz w:val="22"/>
            <w:szCs w:val="22"/>
          </w:rPr>
          <w:t>GRI-30 reaction mechanism from UC-Berkeley</w:t>
        </w:r>
      </w:hyperlink>
      <w:r w:rsidR="00924139">
        <w:rPr>
          <w:rFonts w:ascii="Arial" w:hAnsi="Arial" w:cs="Arial"/>
          <w:sz w:val="22"/>
          <w:szCs w:val="22"/>
        </w:rPr>
        <w:t xml:space="preserve"> was used to evaluate hydrocarbon combustion. </w:t>
      </w:r>
    </w:p>
    <w:p w14:paraId="4C3ADB92" w14:textId="6A972146" w:rsidR="00924139" w:rsidRDefault="00924139" w:rsidP="009534F8">
      <w:pPr>
        <w:jc w:val="both"/>
        <w:rPr>
          <w:rFonts w:ascii="Arial" w:hAnsi="Arial" w:cs="Arial"/>
          <w:sz w:val="22"/>
          <w:szCs w:val="22"/>
        </w:rPr>
      </w:pPr>
      <w:r>
        <w:rPr>
          <w:rFonts w:ascii="Arial" w:hAnsi="Arial" w:cs="Arial"/>
          <w:sz w:val="22"/>
          <w:szCs w:val="22"/>
        </w:rPr>
        <w:t xml:space="preserve">In addition to the core Cantera package, the </w:t>
      </w:r>
      <w:proofErr w:type="spellStart"/>
      <w:r>
        <w:rPr>
          <w:rFonts w:ascii="Arial" w:hAnsi="Arial" w:cs="Arial"/>
          <w:sz w:val="22"/>
          <w:szCs w:val="22"/>
        </w:rPr>
        <w:t>SDToolbox</w:t>
      </w:r>
      <w:proofErr w:type="spellEnd"/>
      <w:r>
        <w:rPr>
          <w:rFonts w:ascii="Arial" w:hAnsi="Arial" w:cs="Arial"/>
          <w:sz w:val="22"/>
          <w:szCs w:val="22"/>
        </w:rPr>
        <w:t xml:space="preserve"> module from </w:t>
      </w:r>
      <w:proofErr w:type="spellStart"/>
      <w:r>
        <w:rPr>
          <w:rFonts w:ascii="Arial" w:hAnsi="Arial" w:cs="Arial"/>
          <w:sz w:val="22"/>
          <w:szCs w:val="22"/>
        </w:rPr>
        <w:t>CalTech</w:t>
      </w:r>
      <w:proofErr w:type="spellEnd"/>
      <w:r>
        <w:rPr>
          <w:rFonts w:ascii="Arial" w:hAnsi="Arial" w:cs="Arial"/>
          <w:sz w:val="22"/>
          <w:szCs w:val="22"/>
        </w:rPr>
        <w:t xml:space="preserve"> was used to determine the gas condition after the detonation shock and subsequent reaction. This toolbox contains several useful functions for detonation analysis, all of which were implemented in Python using the robust Cantera equilibrium and kinetics solvers as a structural backbone with the SciPy package performing much of the nonlinear optimizations necessary.</w:t>
      </w:r>
    </w:p>
    <w:p w14:paraId="42E468E0" w14:textId="4F98292C" w:rsidR="00924139" w:rsidRDefault="00924139" w:rsidP="009534F8">
      <w:pPr>
        <w:jc w:val="both"/>
        <w:rPr>
          <w:rFonts w:ascii="Arial" w:hAnsi="Arial" w:cs="Arial"/>
          <w:sz w:val="22"/>
          <w:szCs w:val="22"/>
        </w:rPr>
      </w:pPr>
    </w:p>
    <w:p w14:paraId="768A186F" w14:textId="69AF8EA4" w:rsidR="00386133" w:rsidRDefault="00924139" w:rsidP="009534F8">
      <w:pPr>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SDToolbox</w:t>
      </w:r>
      <w:proofErr w:type="spellEnd"/>
      <w:r>
        <w:rPr>
          <w:rFonts w:ascii="Arial" w:hAnsi="Arial" w:cs="Arial"/>
          <w:sz w:val="22"/>
          <w:szCs w:val="22"/>
        </w:rPr>
        <w:t xml:space="preserve"> library includes functions for solution of the C</w:t>
      </w:r>
      <w:r w:rsidR="00386133">
        <w:rPr>
          <w:rFonts w:ascii="Arial" w:hAnsi="Arial" w:cs="Arial"/>
          <w:sz w:val="22"/>
          <w:szCs w:val="22"/>
        </w:rPr>
        <w:t>hapman-</w:t>
      </w:r>
      <w:proofErr w:type="spellStart"/>
      <w:r w:rsidR="00386133">
        <w:rPr>
          <w:rFonts w:ascii="Arial" w:hAnsi="Arial" w:cs="Arial"/>
          <w:sz w:val="22"/>
          <w:szCs w:val="22"/>
        </w:rPr>
        <w:t>Jouget</w:t>
      </w:r>
      <w:proofErr w:type="spellEnd"/>
      <w:r>
        <w:rPr>
          <w:rFonts w:ascii="Arial" w:hAnsi="Arial" w:cs="Arial"/>
          <w:sz w:val="22"/>
          <w:szCs w:val="22"/>
        </w:rPr>
        <w:t xml:space="preserve"> </w:t>
      </w:r>
      <w:r w:rsidR="00386133">
        <w:rPr>
          <w:rFonts w:ascii="Arial" w:hAnsi="Arial" w:cs="Arial"/>
          <w:sz w:val="22"/>
          <w:szCs w:val="22"/>
        </w:rPr>
        <w:t xml:space="preserve">(CJ) </w:t>
      </w:r>
      <w:r>
        <w:rPr>
          <w:rFonts w:ascii="Arial" w:hAnsi="Arial" w:cs="Arial"/>
          <w:sz w:val="22"/>
          <w:szCs w:val="22"/>
        </w:rPr>
        <w:t xml:space="preserve">detonation speed, calculation of the speed of sound at any gas condition, and physical gas conditions following a </w:t>
      </w:r>
      <w:r w:rsidR="00386133">
        <w:rPr>
          <w:rFonts w:ascii="Arial" w:hAnsi="Arial" w:cs="Arial"/>
          <w:sz w:val="22"/>
          <w:szCs w:val="22"/>
        </w:rPr>
        <w:t xml:space="preserve">pressure </w:t>
      </w:r>
      <w:r>
        <w:rPr>
          <w:rFonts w:ascii="Arial" w:hAnsi="Arial" w:cs="Arial"/>
          <w:sz w:val="22"/>
          <w:szCs w:val="22"/>
        </w:rPr>
        <w:t xml:space="preserve">shock. While the Python implementation of these utilities is less robust than their Cantera counterparts, the ability to seamlessly integrate detonation analysis with standard Cantera equilibrium and reaction kinetics simulations is </w:t>
      </w:r>
      <w:r w:rsidR="00386133">
        <w:rPr>
          <w:rFonts w:ascii="Arial" w:hAnsi="Arial" w:cs="Arial"/>
          <w:sz w:val="22"/>
          <w:szCs w:val="22"/>
        </w:rPr>
        <w:t>extremely practical for detonation analysis.</w:t>
      </w:r>
    </w:p>
    <w:p w14:paraId="1D83F195" w14:textId="69D7AFE0" w:rsidR="00386133" w:rsidRDefault="00386133" w:rsidP="009534F8">
      <w:pPr>
        <w:jc w:val="both"/>
        <w:rPr>
          <w:rFonts w:ascii="Arial" w:hAnsi="Arial" w:cs="Arial"/>
          <w:sz w:val="22"/>
          <w:szCs w:val="22"/>
        </w:rPr>
      </w:pPr>
    </w:p>
    <w:p w14:paraId="128320E9" w14:textId="2EBD9A06" w:rsidR="00386133" w:rsidRDefault="00164CE9" w:rsidP="009534F8">
      <w:pPr>
        <w:jc w:val="both"/>
        <w:rPr>
          <w:rFonts w:ascii="Arial" w:hAnsi="Arial" w:cs="Arial"/>
          <w:sz w:val="22"/>
          <w:szCs w:val="22"/>
        </w:rPr>
      </w:pPr>
      <w:r>
        <w:rPr>
          <w:rFonts w:ascii="Arial" w:hAnsi="Arial" w:cs="Arial"/>
          <w:sz w:val="22"/>
          <w:szCs w:val="22"/>
        </w:rPr>
        <w:t xml:space="preserve">Detonation can be considered an equilibrium process between heat released upon combustion and the pressure wave that this reaction generates and is sustained by. </w:t>
      </w:r>
      <w:r w:rsidR="00386133">
        <w:rPr>
          <w:rFonts w:ascii="Arial" w:hAnsi="Arial" w:cs="Arial"/>
          <w:sz w:val="22"/>
          <w:szCs w:val="22"/>
        </w:rPr>
        <w:t>Calculation of the detonation speed is reliant upon the simultaneous solution of the following sets of equations:</w:t>
      </w:r>
    </w:p>
    <w:p w14:paraId="49CEB6DB" w14:textId="1CE3CE8E" w:rsidR="00386133" w:rsidRDefault="00386133" w:rsidP="009534F8">
      <w:pPr>
        <w:jc w:val="both"/>
        <w:rPr>
          <w:rFonts w:ascii="Arial" w:hAnsi="Arial" w:cs="Arial"/>
          <w:sz w:val="22"/>
          <w:szCs w:val="22"/>
        </w:rPr>
      </w:pPr>
    </w:p>
    <w:tbl>
      <w:tblPr>
        <w:tblStyle w:val="TableGrid"/>
        <w:tblW w:w="9450" w:type="dxa"/>
        <w:tblLook w:val="04A0" w:firstRow="1" w:lastRow="0" w:firstColumn="1" w:lastColumn="0" w:noHBand="0" w:noVBand="1"/>
      </w:tblPr>
      <w:tblGrid>
        <w:gridCol w:w="2155"/>
        <w:gridCol w:w="7295"/>
      </w:tblGrid>
      <w:tr w:rsidR="00E37668" w:rsidRPr="00A33463" w14:paraId="433E8A84" w14:textId="77777777" w:rsidTr="001E1092">
        <w:trPr>
          <w:trHeight w:val="594"/>
        </w:trPr>
        <w:tc>
          <w:tcPr>
            <w:tcW w:w="2155" w:type="dxa"/>
            <w:tcBorders>
              <w:top w:val="single" w:sz="18" w:space="0" w:color="auto"/>
              <w:left w:val="nil"/>
              <w:bottom w:val="single" w:sz="18" w:space="0" w:color="auto"/>
              <w:right w:val="nil"/>
            </w:tcBorders>
            <w:vAlign w:val="center"/>
          </w:tcPr>
          <w:p w14:paraId="15AF958B" w14:textId="77777777" w:rsidR="00E37668" w:rsidRPr="00A33463" w:rsidRDefault="00E37668" w:rsidP="001E1092">
            <w:pPr>
              <w:jc w:val="center"/>
              <w:rPr>
                <w:rFonts w:ascii="Arial" w:hAnsi="Arial" w:cs="Arial"/>
                <w:b/>
                <w:bCs/>
                <w:sz w:val="22"/>
                <w:szCs w:val="22"/>
              </w:rPr>
            </w:pPr>
            <w:r w:rsidRPr="00A33463">
              <w:rPr>
                <w:rFonts w:ascii="Arial" w:hAnsi="Arial" w:cs="Arial"/>
                <w:b/>
                <w:bCs/>
                <w:sz w:val="22"/>
                <w:szCs w:val="22"/>
              </w:rPr>
              <w:t>Balance Equation</w:t>
            </w:r>
          </w:p>
        </w:tc>
        <w:tc>
          <w:tcPr>
            <w:tcW w:w="7295" w:type="dxa"/>
            <w:tcBorders>
              <w:top w:val="single" w:sz="18" w:space="0" w:color="auto"/>
              <w:left w:val="nil"/>
              <w:bottom w:val="single" w:sz="18" w:space="0" w:color="auto"/>
              <w:right w:val="nil"/>
            </w:tcBorders>
            <w:vAlign w:val="center"/>
          </w:tcPr>
          <w:p w14:paraId="0C08A8C0" w14:textId="1D79D321" w:rsidR="00E37668" w:rsidRPr="00A33463" w:rsidRDefault="00E37668" w:rsidP="001E1092">
            <w:pPr>
              <w:jc w:val="center"/>
              <w:rPr>
                <w:rFonts w:ascii="Arial" w:hAnsi="Arial" w:cs="Arial"/>
                <w:b/>
                <w:bCs/>
                <w:sz w:val="22"/>
                <w:szCs w:val="22"/>
              </w:rPr>
            </w:pPr>
            <w:r>
              <w:rPr>
                <w:rFonts w:ascii="Arial" w:hAnsi="Arial" w:cs="Arial"/>
                <w:b/>
                <w:bCs/>
                <w:sz w:val="22"/>
                <w:szCs w:val="22"/>
              </w:rPr>
              <w:t>Chapman-</w:t>
            </w:r>
            <w:proofErr w:type="spellStart"/>
            <w:r>
              <w:rPr>
                <w:rFonts w:ascii="Arial" w:hAnsi="Arial" w:cs="Arial"/>
                <w:b/>
                <w:bCs/>
                <w:sz w:val="22"/>
                <w:szCs w:val="22"/>
              </w:rPr>
              <w:t>Jouget</w:t>
            </w:r>
            <w:proofErr w:type="spellEnd"/>
            <w:r>
              <w:rPr>
                <w:rFonts w:ascii="Arial" w:hAnsi="Arial" w:cs="Arial"/>
                <w:b/>
                <w:bCs/>
                <w:sz w:val="22"/>
                <w:szCs w:val="22"/>
              </w:rPr>
              <w:t xml:space="preserve"> Detonation Model</w:t>
            </w:r>
          </w:p>
        </w:tc>
      </w:tr>
      <w:tr w:rsidR="00E37668" w14:paraId="4F1FEAE0" w14:textId="77777777" w:rsidTr="001E1092">
        <w:trPr>
          <w:trHeight w:val="855"/>
        </w:trPr>
        <w:tc>
          <w:tcPr>
            <w:tcW w:w="2155" w:type="dxa"/>
            <w:tcBorders>
              <w:top w:val="single" w:sz="18" w:space="0" w:color="auto"/>
              <w:left w:val="nil"/>
              <w:right w:val="nil"/>
            </w:tcBorders>
            <w:vAlign w:val="center"/>
          </w:tcPr>
          <w:p w14:paraId="5154CFB4" w14:textId="77777777" w:rsidR="00E37668" w:rsidRDefault="00E37668" w:rsidP="001E1092">
            <w:pPr>
              <w:jc w:val="center"/>
              <w:rPr>
                <w:rFonts w:ascii="Arial" w:hAnsi="Arial" w:cs="Arial"/>
                <w:sz w:val="22"/>
                <w:szCs w:val="22"/>
              </w:rPr>
            </w:pPr>
            <w:r>
              <w:rPr>
                <w:rFonts w:ascii="Arial" w:hAnsi="Arial" w:cs="Arial"/>
                <w:sz w:val="22"/>
                <w:szCs w:val="22"/>
              </w:rPr>
              <w:t>Mass</w:t>
            </w:r>
          </w:p>
        </w:tc>
        <w:tc>
          <w:tcPr>
            <w:tcW w:w="7295" w:type="dxa"/>
            <w:tcBorders>
              <w:top w:val="single" w:sz="18" w:space="0" w:color="auto"/>
              <w:left w:val="nil"/>
              <w:right w:val="nil"/>
            </w:tcBorders>
            <w:vAlign w:val="center"/>
          </w:tcPr>
          <w:p w14:paraId="3DB11FDB" w14:textId="43ED7D08" w:rsidR="00E37668" w:rsidRDefault="00E37668" w:rsidP="001E1092">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1</m:t>
                    </m:r>
                  </m:sub>
                </m:sSub>
              </m:oMath>
            </m:oMathPara>
          </w:p>
        </w:tc>
      </w:tr>
      <w:tr w:rsidR="00E37668" w14:paraId="7F1BDA0F" w14:textId="77777777" w:rsidTr="001E1092">
        <w:trPr>
          <w:trHeight w:val="903"/>
        </w:trPr>
        <w:tc>
          <w:tcPr>
            <w:tcW w:w="2155" w:type="dxa"/>
            <w:tcBorders>
              <w:left w:val="nil"/>
              <w:right w:val="nil"/>
            </w:tcBorders>
            <w:vAlign w:val="center"/>
          </w:tcPr>
          <w:p w14:paraId="168276CF" w14:textId="3667223C" w:rsidR="00E37668" w:rsidRDefault="00B72977" w:rsidP="001E1092">
            <w:pPr>
              <w:jc w:val="center"/>
              <w:rPr>
                <w:rFonts w:ascii="Arial" w:hAnsi="Arial" w:cs="Arial"/>
                <w:sz w:val="22"/>
                <w:szCs w:val="22"/>
              </w:rPr>
            </w:pPr>
            <w:r>
              <w:rPr>
                <w:rFonts w:ascii="Arial" w:hAnsi="Arial" w:cs="Arial"/>
                <w:sz w:val="22"/>
                <w:szCs w:val="22"/>
              </w:rPr>
              <w:t xml:space="preserve">Virial </w:t>
            </w:r>
            <w:proofErr w:type="spellStart"/>
            <w:r>
              <w:rPr>
                <w:rFonts w:ascii="Arial" w:hAnsi="Arial" w:cs="Arial"/>
                <w:sz w:val="22"/>
                <w:szCs w:val="22"/>
              </w:rPr>
              <w:t>EoS</w:t>
            </w:r>
            <w:proofErr w:type="spellEnd"/>
          </w:p>
        </w:tc>
        <w:tc>
          <w:tcPr>
            <w:tcW w:w="7295" w:type="dxa"/>
            <w:tcBorders>
              <w:left w:val="nil"/>
              <w:right w:val="nil"/>
            </w:tcBorders>
            <w:vAlign w:val="center"/>
          </w:tcPr>
          <w:p w14:paraId="2614981A" w14:textId="73C2F820" w:rsidR="00E37668" w:rsidRDefault="00B72977" w:rsidP="001E1092">
            <w:pPr>
              <w:jc w:val="center"/>
              <w:rPr>
                <w:rFonts w:ascii="Arial" w:hAnsi="Arial" w:cs="Arial"/>
                <w:sz w:val="22"/>
                <w:szCs w:val="22"/>
              </w:rPr>
            </w:pPr>
            <m:oMathPara>
              <m:oMath>
                <m:r>
                  <w:rPr>
                    <w:rFonts w:ascii="Cambria Math" w:hAnsi="Cambria Math" w:cs="Arial"/>
                    <w:sz w:val="22"/>
                    <w:szCs w:val="22"/>
                  </w:rPr>
                  <m:t>P=ρ</m:t>
                </m:r>
                <m:f>
                  <m:fPr>
                    <m:ctrlPr>
                      <w:rPr>
                        <w:rFonts w:ascii="Cambria Math" w:hAnsi="Cambria Math" w:cs="Arial"/>
                        <w:i/>
                        <w:color w:val="000000" w:themeColor="text1"/>
                        <w:sz w:val="22"/>
                        <w:szCs w:val="22"/>
                      </w:rPr>
                    </m:ctrlPr>
                  </m:fPr>
                  <m:num>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num>
                  <m:den>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den>
                </m:f>
                <m:r>
                  <w:rPr>
                    <w:rFonts w:ascii="Cambria Math" w:hAnsi="Cambria Math" w:cs="Arial"/>
                    <w:color w:val="000000" w:themeColor="text1"/>
                    <w:sz w:val="22"/>
                    <w:szCs w:val="22"/>
                  </w:rPr>
                  <m:t>T</m:t>
                </m:r>
              </m:oMath>
            </m:oMathPara>
          </w:p>
        </w:tc>
      </w:tr>
      <w:tr w:rsidR="00B72977" w14:paraId="02B0A41A" w14:textId="77777777" w:rsidTr="001E1092">
        <w:trPr>
          <w:trHeight w:val="903"/>
        </w:trPr>
        <w:tc>
          <w:tcPr>
            <w:tcW w:w="2155" w:type="dxa"/>
            <w:tcBorders>
              <w:left w:val="nil"/>
              <w:right w:val="nil"/>
            </w:tcBorders>
            <w:vAlign w:val="center"/>
          </w:tcPr>
          <w:p w14:paraId="33B8DADC" w14:textId="637E122F" w:rsidR="00B72977" w:rsidRDefault="00B72977" w:rsidP="001E1092">
            <w:pPr>
              <w:jc w:val="center"/>
              <w:rPr>
                <w:rFonts w:ascii="Arial" w:hAnsi="Arial" w:cs="Arial"/>
                <w:sz w:val="22"/>
                <w:szCs w:val="22"/>
              </w:rPr>
            </w:pPr>
            <w:r>
              <w:rPr>
                <w:rFonts w:ascii="Arial" w:hAnsi="Arial" w:cs="Arial"/>
                <w:sz w:val="22"/>
                <w:szCs w:val="22"/>
              </w:rPr>
              <w:t xml:space="preserve">Caloric </w:t>
            </w:r>
            <w:proofErr w:type="spellStart"/>
            <w:r>
              <w:rPr>
                <w:rFonts w:ascii="Arial" w:hAnsi="Arial" w:cs="Arial"/>
                <w:sz w:val="22"/>
                <w:szCs w:val="22"/>
              </w:rPr>
              <w:t>EoS</w:t>
            </w:r>
            <w:proofErr w:type="spellEnd"/>
          </w:p>
        </w:tc>
        <w:tc>
          <w:tcPr>
            <w:tcW w:w="7295" w:type="dxa"/>
            <w:tcBorders>
              <w:left w:val="nil"/>
              <w:right w:val="nil"/>
            </w:tcBorders>
            <w:vAlign w:val="center"/>
          </w:tcPr>
          <w:p w14:paraId="55B10243" w14:textId="1CB446FB" w:rsidR="00B72977" w:rsidRDefault="00B72977" w:rsidP="001E1092">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r>
                  <w:rPr>
                    <w:rFonts w:ascii="Cambria Math" w:hAnsi="Cambria Math" w:cs="Arial"/>
                    <w:sz w:val="22"/>
                    <w:szCs w:val="22"/>
                  </w:rPr>
                  <m:t>=</m:t>
                </m:r>
                <m:nary>
                  <m:naryPr>
                    <m:limLoc m:val="undOvr"/>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ref</m:t>
                        </m:r>
                      </m:sub>
                    </m:sSub>
                  </m:sub>
                  <m:sup>
                    <m:r>
                      <w:rPr>
                        <w:rFonts w:ascii="Cambria Math" w:hAnsi="Cambria Math" w:cs="Arial"/>
                        <w:sz w:val="22"/>
                        <w:szCs w:val="22"/>
                      </w:rPr>
                      <m:t>T</m:t>
                    </m:r>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pi</m:t>
                        </m:r>
                      </m:sub>
                    </m:sSub>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T</m:t>
                            </m:r>
                          </m:e>
                          <m:sup>
                            <m:r>
                              <w:rPr>
                                <w:rFonts w:ascii="Cambria Math" w:hAnsi="Cambria Math" w:cs="Arial"/>
                                <w:sz w:val="22"/>
                                <w:szCs w:val="22"/>
                              </w:rPr>
                              <m:t>'</m:t>
                            </m:r>
                          </m:sup>
                        </m:sSup>
                      </m:e>
                    </m:d>
                    <m:r>
                      <w:rPr>
                        <w:rFonts w:ascii="Cambria Math" w:hAnsi="Cambria Math" w:cs="Arial"/>
                        <w:sz w:val="22"/>
                        <w:szCs w:val="22"/>
                      </w:rPr>
                      <m:t>dT'</m:t>
                    </m:r>
                  </m:e>
                </m:nary>
              </m:oMath>
            </m:oMathPara>
          </w:p>
        </w:tc>
      </w:tr>
      <w:tr w:rsidR="00E37668" w14:paraId="61D2E8F2" w14:textId="77777777" w:rsidTr="001E1092">
        <w:trPr>
          <w:trHeight w:val="903"/>
        </w:trPr>
        <w:tc>
          <w:tcPr>
            <w:tcW w:w="2155" w:type="dxa"/>
            <w:tcBorders>
              <w:left w:val="nil"/>
              <w:right w:val="nil"/>
            </w:tcBorders>
            <w:vAlign w:val="center"/>
          </w:tcPr>
          <w:p w14:paraId="6A896FA0" w14:textId="77777777" w:rsidR="00E37668" w:rsidRDefault="00E37668" w:rsidP="001E1092">
            <w:pPr>
              <w:jc w:val="center"/>
              <w:rPr>
                <w:rFonts w:ascii="Arial" w:hAnsi="Arial" w:cs="Arial"/>
                <w:sz w:val="22"/>
                <w:szCs w:val="22"/>
              </w:rPr>
            </w:pPr>
            <w:r>
              <w:rPr>
                <w:rFonts w:ascii="Arial" w:hAnsi="Arial" w:cs="Arial"/>
                <w:sz w:val="22"/>
                <w:szCs w:val="22"/>
              </w:rPr>
              <w:t>Energy</w:t>
            </w:r>
          </w:p>
        </w:tc>
        <w:tc>
          <w:tcPr>
            <w:tcW w:w="7295" w:type="dxa"/>
            <w:tcBorders>
              <w:left w:val="nil"/>
              <w:right w:val="nil"/>
            </w:tcBorders>
            <w:vAlign w:val="center"/>
          </w:tcPr>
          <w:p w14:paraId="358C48D5" w14:textId="2D0DFC0D" w:rsidR="00E37668" w:rsidRDefault="00B72977" w:rsidP="001E1092">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1,sens</m:t>
                    </m:r>
                  </m:sub>
                </m:sSub>
                <m:r>
                  <w:rPr>
                    <w:rFonts w:ascii="Cambria Math" w:hAnsi="Cambria Math" w:cs="Arial"/>
                    <w:sz w:val="22"/>
                    <w:szCs w:val="22"/>
                  </w:rPr>
                  <m:t>+</m:t>
                </m:r>
                <m:f>
                  <m:fPr>
                    <m:type m:val="lin"/>
                    <m:ctrlPr>
                      <w:rPr>
                        <w:rFonts w:ascii="Cambria Math" w:hAnsi="Cambria Math" w:cs="Arial"/>
                        <w:i/>
                        <w:sz w:val="22"/>
                        <w:szCs w:val="22"/>
                      </w:rPr>
                    </m:ctrlPr>
                  </m:fPr>
                  <m:num>
                    <m:sSup>
                      <m:sSupPr>
                        <m:ctrlPr>
                          <w:rPr>
                            <w:rFonts w:ascii="Cambria Math" w:hAnsi="Cambria Math" w:cs="Arial"/>
                            <w:i/>
                            <w:sz w:val="22"/>
                            <w:szCs w:val="22"/>
                          </w:rPr>
                        </m:ctrlPr>
                      </m:sSupPr>
                      <m:e>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1</m:t>
                            </m:r>
                          </m:sub>
                        </m:sSub>
                      </m:e>
                      <m:sup>
                        <m:r>
                          <w:rPr>
                            <w:rFonts w:ascii="Cambria Math" w:hAnsi="Cambria Math" w:cs="Arial"/>
                            <w:sz w:val="22"/>
                            <w:szCs w:val="22"/>
                          </w:rPr>
                          <m:t>2</m:t>
                        </m:r>
                      </m:sup>
                    </m:sSup>
                  </m:num>
                  <m:den>
                    <m:r>
                      <w:rPr>
                        <w:rFonts w:ascii="Cambria Math" w:hAnsi="Cambria Math" w:cs="Arial"/>
                        <w:sz w:val="22"/>
                        <w:szCs w:val="22"/>
                      </w:rPr>
                      <m:t>2</m:t>
                    </m:r>
                  </m:den>
                </m:f>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2</m:t>
                    </m:r>
                    <m:r>
                      <w:rPr>
                        <w:rFonts w:ascii="Cambria Math" w:hAnsi="Cambria Math" w:cs="Arial"/>
                        <w:sz w:val="22"/>
                        <w:szCs w:val="22"/>
                      </w:rPr>
                      <m:t>,sens</m:t>
                    </m:r>
                  </m:sub>
                </m:sSub>
                <m:r>
                  <w:rPr>
                    <w:rFonts w:ascii="Cambria Math" w:hAnsi="Cambria Math" w:cs="Arial"/>
                    <w:sz w:val="22"/>
                    <w:szCs w:val="22"/>
                  </w:rPr>
                  <m:t>+</m:t>
                </m:r>
                <m:f>
                  <m:fPr>
                    <m:type m:val="lin"/>
                    <m:ctrlPr>
                      <w:rPr>
                        <w:rFonts w:ascii="Cambria Math" w:hAnsi="Cambria Math" w:cs="Arial"/>
                        <w:i/>
                        <w:sz w:val="22"/>
                        <w:szCs w:val="22"/>
                      </w:rPr>
                    </m:ctrlPr>
                  </m:fPr>
                  <m:num>
                    <m:sSup>
                      <m:sSupPr>
                        <m:ctrlPr>
                          <w:rPr>
                            <w:rFonts w:ascii="Cambria Math" w:hAnsi="Cambria Math" w:cs="Arial"/>
                            <w:i/>
                            <w:sz w:val="22"/>
                            <w:szCs w:val="22"/>
                          </w:rPr>
                        </m:ctrlPr>
                      </m:sSupPr>
                      <m:e>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2</m:t>
                            </m:r>
                          </m:sub>
                        </m:sSub>
                      </m:e>
                      <m:sup>
                        <m:r>
                          <w:rPr>
                            <w:rFonts w:ascii="Cambria Math" w:hAnsi="Cambria Math" w:cs="Arial"/>
                            <w:sz w:val="22"/>
                            <w:szCs w:val="22"/>
                          </w:rPr>
                          <m:t>2</m:t>
                        </m:r>
                      </m:sup>
                    </m:sSup>
                  </m:num>
                  <m:den>
                    <m:r>
                      <w:rPr>
                        <w:rFonts w:ascii="Cambria Math" w:hAnsi="Cambria Math" w:cs="Arial"/>
                        <w:sz w:val="22"/>
                        <w:szCs w:val="22"/>
                      </w:rPr>
                      <m:t>2</m:t>
                    </m:r>
                  </m:den>
                </m:f>
              </m:oMath>
            </m:oMathPara>
          </w:p>
        </w:tc>
      </w:tr>
      <w:tr w:rsidR="00E37668" w14:paraId="71C9C222" w14:textId="77777777" w:rsidTr="001E1092">
        <w:trPr>
          <w:trHeight w:val="903"/>
        </w:trPr>
        <w:tc>
          <w:tcPr>
            <w:tcW w:w="2155" w:type="dxa"/>
            <w:tcBorders>
              <w:left w:val="nil"/>
              <w:right w:val="nil"/>
            </w:tcBorders>
            <w:vAlign w:val="center"/>
          </w:tcPr>
          <w:p w14:paraId="733F7662" w14:textId="77777777" w:rsidR="00E37668" w:rsidRDefault="00E37668" w:rsidP="001E1092">
            <w:pPr>
              <w:jc w:val="center"/>
              <w:rPr>
                <w:rFonts w:ascii="Arial" w:hAnsi="Arial" w:cs="Arial"/>
                <w:sz w:val="22"/>
                <w:szCs w:val="22"/>
              </w:rPr>
            </w:pPr>
            <w:r>
              <w:rPr>
                <w:rFonts w:ascii="Arial" w:hAnsi="Arial" w:cs="Arial"/>
                <w:sz w:val="22"/>
                <w:szCs w:val="22"/>
              </w:rPr>
              <w:t>Momentum</w:t>
            </w:r>
          </w:p>
        </w:tc>
        <w:tc>
          <w:tcPr>
            <w:tcW w:w="7295" w:type="dxa"/>
            <w:tcBorders>
              <w:left w:val="nil"/>
              <w:right w:val="nil"/>
            </w:tcBorders>
            <w:vAlign w:val="center"/>
          </w:tcPr>
          <w:p w14:paraId="64AD9213" w14:textId="19F1512F" w:rsidR="00E37668" w:rsidRDefault="00E37668" w:rsidP="001E1092">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2</m:t>
                    </m:r>
                  </m:sub>
                </m:sSub>
                <m:sSup>
                  <m:sSupPr>
                    <m:ctrlPr>
                      <w:rPr>
                        <w:rFonts w:ascii="Cambria Math" w:hAnsi="Cambria Math" w:cs="Arial"/>
                        <w:i/>
                        <w:sz w:val="22"/>
                        <w:szCs w:val="22"/>
                      </w:rPr>
                    </m:ctrlPr>
                  </m:sSupPr>
                  <m:e>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2</m:t>
                        </m:r>
                      </m:sub>
                    </m:sSub>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1</m:t>
                    </m:r>
                  </m:sub>
                </m:sSub>
                <m:sSup>
                  <m:sSupPr>
                    <m:ctrlPr>
                      <w:rPr>
                        <w:rFonts w:ascii="Cambria Math" w:hAnsi="Cambria Math" w:cs="Arial"/>
                        <w:i/>
                        <w:sz w:val="22"/>
                        <w:szCs w:val="22"/>
                      </w:rPr>
                    </m:ctrlPr>
                  </m:sSupPr>
                  <m:e>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1</m:t>
                        </m:r>
                      </m:sub>
                    </m:sSub>
                  </m:e>
                  <m:sup>
                    <m:r>
                      <w:rPr>
                        <w:rFonts w:ascii="Cambria Math" w:hAnsi="Cambria Math" w:cs="Arial"/>
                        <w:sz w:val="22"/>
                        <w:szCs w:val="22"/>
                      </w:rPr>
                      <m:t>2</m:t>
                    </m:r>
                  </m:sup>
                </m:sSup>
              </m:oMath>
            </m:oMathPara>
          </w:p>
        </w:tc>
      </w:tr>
    </w:tbl>
    <w:p w14:paraId="1B83C272" w14:textId="28C74C42" w:rsidR="00386133" w:rsidRDefault="00386133" w:rsidP="009534F8">
      <w:pPr>
        <w:jc w:val="both"/>
        <w:rPr>
          <w:rFonts w:ascii="Arial" w:hAnsi="Arial" w:cs="Arial"/>
          <w:sz w:val="22"/>
          <w:szCs w:val="22"/>
        </w:rPr>
      </w:pPr>
    </w:p>
    <w:p w14:paraId="00C54657" w14:textId="27F7558C" w:rsidR="00386133" w:rsidRDefault="00386133" w:rsidP="009534F8">
      <w:pPr>
        <w:jc w:val="both"/>
        <w:rPr>
          <w:rFonts w:ascii="Arial" w:hAnsi="Arial" w:cs="Arial"/>
          <w:sz w:val="22"/>
          <w:szCs w:val="22"/>
        </w:rPr>
      </w:pPr>
      <w:r>
        <w:rPr>
          <w:rFonts w:ascii="Arial" w:hAnsi="Arial" w:cs="Arial"/>
          <w:sz w:val="22"/>
          <w:szCs w:val="22"/>
        </w:rPr>
        <w:t xml:space="preserve">However, since there exist in this set of equations 6 unknowns and only 5 equations, a final specification must be made that the product flowrate downstream of the detonation zone has a Mach number equal to 1. This condition generates a unique solution for detonation, which is referred to as the upper CJ point. This point is also the unique point where the Rayleigh mass transfer relationship is tangent to the </w:t>
      </w:r>
      <w:proofErr w:type="spellStart"/>
      <w:r>
        <w:rPr>
          <w:rFonts w:ascii="Arial" w:hAnsi="Arial" w:cs="Arial"/>
          <w:sz w:val="22"/>
          <w:szCs w:val="22"/>
        </w:rPr>
        <w:t>Hugoniot</w:t>
      </w:r>
      <w:proofErr w:type="spellEnd"/>
      <w:r>
        <w:rPr>
          <w:rFonts w:ascii="Arial" w:hAnsi="Arial" w:cs="Arial"/>
          <w:sz w:val="22"/>
          <w:szCs w:val="22"/>
        </w:rPr>
        <w:t xml:space="preserve"> heat release relationship.</w:t>
      </w:r>
    </w:p>
    <w:p w14:paraId="5699AE81" w14:textId="60C8721D" w:rsidR="00386133" w:rsidRDefault="00386133" w:rsidP="009534F8">
      <w:pPr>
        <w:jc w:val="both"/>
        <w:rPr>
          <w:rFonts w:ascii="Arial" w:hAnsi="Arial" w:cs="Arial"/>
          <w:sz w:val="22"/>
          <w:szCs w:val="22"/>
        </w:rPr>
      </w:pPr>
    </w:p>
    <w:p w14:paraId="61835C14" w14:textId="4A7EB761" w:rsidR="00ED5072" w:rsidRDefault="00386133" w:rsidP="00CE5B18">
      <w:pPr>
        <w:jc w:val="both"/>
        <w:rPr>
          <w:rFonts w:ascii="Arial" w:hAnsi="Arial" w:cs="Arial"/>
          <w:sz w:val="22"/>
          <w:szCs w:val="22"/>
        </w:rPr>
      </w:pPr>
      <w:r>
        <w:rPr>
          <w:rFonts w:ascii="Arial" w:hAnsi="Arial" w:cs="Arial"/>
          <w:sz w:val="22"/>
          <w:szCs w:val="22"/>
        </w:rPr>
        <w:t xml:space="preserve">Solution of this set of now 6 equations and 6 unknowns is performed by the </w:t>
      </w:r>
      <w:proofErr w:type="spellStart"/>
      <w:r>
        <w:rPr>
          <w:rFonts w:ascii="Arial" w:hAnsi="Arial" w:cs="Arial"/>
          <w:sz w:val="22"/>
          <w:szCs w:val="22"/>
        </w:rPr>
        <w:t>SDToolbox</w:t>
      </w:r>
      <w:proofErr w:type="spellEnd"/>
      <w:r>
        <w:rPr>
          <w:rFonts w:ascii="Arial" w:hAnsi="Arial" w:cs="Arial"/>
          <w:sz w:val="22"/>
          <w:szCs w:val="22"/>
        </w:rPr>
        <w:t xml:space="preserve"> </w:t>
      </w:r>
      <w:r w:rsidR="00C82D3C">
        <w:rPr>
          <w:rFonts w:ascii="Arial" w:hAnsi="Arial" w:cs="Arial"/>
          <w:sz w:val="22"/>
          <w:szCs w:val="22"/>
        </w:rPr>
        <w:t>library and</w:t>
      </w:r>
      <w:r>
        <w:rPr>
          <w:rFonts w:ascii="Arial" w:hAnsi="Arial" w:cs="Arial"/>
          <w:sz w:val="22"/>
          <w:szCs w:val="22"/>
        </w:rPr>
        <w:t xml:space="preserve"> yields a detonation condition considered to be the </w:t>
      </w:r>
      <w:r w:rsidR="00C82D3C">
        <w:rPr>
          <w:rFonts w:ascii="Arial" w:hAnsi="Arial" w:cs="Arial"/>
          <w:sz w:val="22"/>
          <w:szCs w:val="22"/>
        </w:rPr>
        <w:t>minimum and equilibrium</w:t>
      </w:r>
      <w:r>
        <w:rPr>
          <w:rFonts w:ascii="Arial" w:hAnsi="Arial" w:cs="Arial"/>
          <w:sz w:val="22"/>
          <w:szCs w:val="22"/>
        </w:rPr>
        <w:t xml:space="preserve"> detonation speed at a given initial condition</w:t>
      </w:r>
      <w:r w:rsidR="00C82D3C">
        <w:rPr>
          <w:rFonts w:ascii="Arial" w:hAnsi="Arial" w:cs="Arial"/>
          <w:sz w:val="22"/>
          <w:szCs w:val="22"/>
        </w:rPr>
        <w:t>.</w:t>
      </w:r>
    </w:p>
    <w:p w14:paraId="7A4DE977" w14:textId="77777777" w:rsidR="00CE5B18" w:rsidRPr="00CE5B18" w:rsidRDefault="00CE5B18" w:rsidP="00CE5B18">
      <w:pPr>
        <w:jc w:val="both"/>
        <w:rPr>
          <w:rFonts w:ascii="Arial" w:hAnsi="Arial" w:cs="Arial"/>
          <w:sz w:val="22"/>
          <w:szCs w:val="22"/>
        </w:rPr>
      </w:pPr>
    </w:p>
    <w:p w14:paraId="61DBA6EC" w14:textId="0F8D4559" w:rsidR="004F4C33" w:rsidRDefault="004F4C33" w:rsidP="004F4C33">
      <w:pPr>
        <w:rPr>
          <w:rFonts w:ascii="Arial" w:hAnsi="Arial" w:cs="Arial"/>
          <w:i/>
          <w:iCs/>
          <w:color w:val="000000" w:themeColor="text1"/>
          <w:sz w:val="22"/>
          <w:szCs w:val="22"/>
          <w:u w:val="single"/>
        </w:rPr>
      </w:pPr>
      <w:r w:rsidRPr="00C82D3C">
        <w:rPr>
          <w:rFonts w:ascii="Arial" w:hAnsi="Arial" w:cs="Arial"/>
          <w:i/>
          <w:iCs/>
          <w:color w:val="000000" w:themeColor="text1"/>
          <w:sz w:val="22"/>
          <w:szCs w:val="22"/>
          <w:u w:val="single"/>
        </w:rPr>
        <w:lastRenderedPageBreak/>
        <w:t>C. Results and Discussion</w:t>
      </w:r>
    </w:p>
    <w:p w14:paraId="39AA33C2" w14:textId="7735B51F" w:rsidR="00C82D3C" w:rsidRDefault="00C82D3C" w:rsidP="00B262BA">
      <w:pPr>
        <w:jc w:val="both"/>
        <w:rPr>
          <w:rFonts w:ascii="Arial" w:hAnsi="Arial" w:cs="Arial"/>
          <w:color w:val="000000" w:themeColor="text1"/>
          <w:sz w:val="22"/>
          <w:szCs w:val="22"/>
        </w:rPr>
      </w:pPr>
      <w:r>
        <w:rPr>
          <w:rFonts w:ascii="Arial" w:hAnsi="Arial" w:cs="Arial"/>
          <w:color w:val="000000" w:themeColor="text1"/>
          <w:sz w:val="22"/>
          <w:szCs w:val="22"/>
        </w:rPr>
        <w:t xml:space="preserve">In this report, detonation of a propane-air mixture at a range of different starting conditions were considered. Propane-air mixtures were evaluated for 2.2 to 9.2 mol% propane in air, which represent the experimental detonation limits determined for </w:t>
      </w:r>
      <w:r w:rsidR="00B262BA">
        <w:rPr>
          <w:rFonts w:ascii="Arial" w:hAnsi="Arial" w:cs="Arial"/>
          <w:color w:val="000000" w:themeColor="text1"/>
          <w:sz w:val="22"/>
          <w:szCs w:val="22"/>
        </w:rPr>
        <w:t xml:space="preserve">propane-air mixtures initially at 300 K and 1 atm. </w:t>
      </w:r>
    </w:p>
    <w:p w14:paraId="62725228" w14:textId="56C6B7F3" w:rsidR="00B262BA" w:rsidRDefault="00B262BA" w:rsidP="00B262BA">
      <w:pPr>
        <w:jc w:val="both"/>
        <w:rPr>
          <w:rFonts w:ascii="Arial" w:hAnsi="Arial" w:cs="Arial"/>
          <w:color w:val="000000" w:themeColor="text1"/>
          <w:sz w:val="22"/>
          <w:szCs w:val="22"/>
        </w:rPr>
      </w:pPr>
    </w:p>
    <w:p w14:paraId="3BEAAE72" w14:textId="73210BD0" w:rsidR="00B262BA" w:rsidRDefault="00B262BA" w:rsidP="00B262BA">
      <w:pPr>
        <w:jc w:val="both"/>
        <w:rPr>
          <w:rFonts w:ascii="Arial" w:hAnsi="Arial" w:cs="Arial"/>
          <w:color w:val="000000" w:themeColor="text1"/>
          <w:sz w:val="22"/>
          <w:szCs w:val="22"/>
        </w:rPr>
      </w:pPr>
      <w:r>
        <w:rPr>
          <w:rFonts w:ascii="Arial" w:hAnsi="Arial" w:cs="Arial"/>
          <w:color w:val="000000" w:themeColor="text1"/>
          <w:sz w:val="22"/>
          <w:szCs w:val="22"/>
        </w:rPr>
        <w:t>Detonation speed was first determined for the mixtures:</w:t>
      </w:r>
    </w:p>
    <w:p w14:paraId="060F2174" w14:textId="669998A5" w:rsidR="00B262BA" w:rsidRDefault="00626849" w:rsidP="00A53F25">
      <w:pPr>
        <w:jc w:val="cente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D81DA65" wp14:editId="3107746A">
            <wp:extent cx="4686300" cy="35147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3514725"/>
                    </a:xfrm>
                    <a:prstGeom prst="rect">
                      <a:avLst/>
                    </a:prstGeom>
                  </pic:spPr>
                </pic:pic>
              </a:graphicData>
            </a:graphic>
          </wp:inline>
        </w:drawing>
      </w:r>
    </w:p>
    <w:p w14:paraId="1ABB80AA" w14:textId="1322AEC7" w:rsidR="00A53F25" w:rsidRPr="00A53F25" w:rsidRDefault="00A53F25" w:rsidP="00A53F25">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1 | </w:t>
      </w:r>
      <w:r>
        <w:rPr>
          <w:rFonts w:ascii="Arial" w:hAnsi="Arial" w:cs="Arial"/>
          <w:b/>
          <w:bCs/>
          <w:color w:val="000000" w:themeColor="text1"/>
          <w:sz w:val="18"/>
          <w:szCs w:val="18"/>
        </w:rPr>
        <w:t>Variance in detonation speed as a function of initial physical state and composition</w:t>
      </w:r>
    </w:p>
    <w:p w14:paraId="1A32678E" w14:textId="0609CA79" w:rsidR="00A53F25" w:rsidRDefault="00A53F25" w:rsidP="00A53F25">
      <w:pPr>
        <w:jc w:val="center"/>
        <w:rPr>
          <w:rFonts w:ascii="Arial" w:hAnsi="Arial" w:cs="Arial"/>
          <w:color w:val="000000" w:themeColor="text1"/>
          <w:sz w:val="22"/>
          <w:szCs w:val="22"/>
        </w:rPr>
      </w:pPr>
    </w:p>
    <w:p w14:paraId="40A92DC4" w14:textId="3B3956CA" w:rsidR="00626849" w:rsidRDefault="0062684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While detonation speed is only loosely coupled to the initial pressure, speed is more strongly dependent on the initial temperature of the reactant gas mixture. This is evident in the small changes in detonation speed between the reactant mixtures at 100 kPa and 500 kPa, while a significant deviation in the detonation speed trend is present when the initial temperature is doubled to 600 K. </w:t>
      </w:r>
    </w:p>
    <w:p w14:paraId="21C35B47" w14:textId="5E9168BD" w:rsidR="00164CE9" w:rsidRDefault="00164CE9" w:rsidP="00626849">
      <w:pPr>
        <w:jc w:val="both"/>
        <w:rPr>
          <w:rFonts w:ascii="Arial" w:hAnsi="Arial" w:cs="Arial"/>
          <w:color w:val="000000" w:themeColor="text1"/>
          <w:sz w:val="22"/>
          <w:szCs w:val="22"/>
        </w:rPr>
      </w:pPr>
    </w:p>
    <w:p w14:paraId="6FFF425E" w14:textId="482890E6" w:rsidR="004D362D" w:rsidRDefault="00164CE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At the outer limits of inlet composition, speed also decreases due to the lower heat release available to sustain the shockwave, since the </w:t>
      </w:r>
      <w:r w:rsidR="00321776">
        <w:rPr>
          <w:rFonts w:ascii="Arial" w:hAnsi="Arial" w:cs="Arial"/>
          <w:color w:val="000000" w:themeColor="text1"/>
          <w:sz w:val="22"/>
          <w:szCs w:val="22"/>
        </w:rPr>
        <w:t>concentration of oxidant and fuel is nonideal for heat release.</w:t>
      </w:r>
      <w:r w:rsidR="008909BF">
        <w:rPr>
          <w:rFonts w:ascii="Arial" w:hAnsi="Arial" w:cs="Arial"/>
          <w:color w:val="000000" w:themeColor="text1"/>
          <w:sz w:val="22"/>
          <w:szCs w:val="22"/>
        </w:rPr>
        <w:t xml:space="preserve"> </w:t>
      </w:r>
      <w:r w:rsidR="004D362D">
        <w:rPr>
          <w:rFonts w:ascii="Arial" w:hAnsi="Arial" w:cs="Arial"/>
          <w:color w:val="000000" w:themeColor="text1"/>
          <w:sz w:val="22"/>
          <w:szCs w:val="22"/>
        </w:rPr>
        <w:t xml:space="preserve">This rigorous </w:t>
      </w:r>
      <w:r w:rsidR="008909BF">
        <w:rPr>
          <w:rFonts w:ascii="Arial" w:hAnsi="Arial" w:cs="Arial"/>
          <w:color w:val="000000" w:themeColor="text1"/>
          <w:sz w:val="22"/>
          <w:szCs w:val="22"/>
        </w:rPr>
        <w:t>calculation</w:t>
      </w:r>
      <w:r w:rsidR="004D362D">
        <w:rPr>
          <w:rFonts w:ascii="Arial" w:hAnsi="Arial" w:cs="Arial"/>
          <w:color w:val="000000" w:themeColor="text1"/>
          <w:sz w:val="22"/>
          <w:szCs w:val="22"/>
        </w:rPr>
        <w:t xml:space="preserve"> can be compared with a simplified approximation for detonation speed, which is shown below:</w:t>
      </w:r>
    </w:p>
    <w:p w14:paraId="3C86F87F" w14:textId="20F7F376" w:rsidR="004D362D" w:rsidRDefault="004D362D" w:rsidP="00626849">
      <w:pPr>
        <w:jc w:val="both"/>
        <w:rPr>
          <w:rFonts w:ascii="Arial" w:hAnsi="Arial" w:cs="Arial"/>
          <w:color w:val="000000" w:themeColor="text1"/>
          <w:sz w:val="22"/>
          <w:szCs w:val="22"/>
        </w:rPr>
      </w:pPr>
    </w:p>
    <w:p w14:paraId="6343A8BE" w14:textId="2175C56D" w:rsidR="004D362D" w:rsidRDefault="008909BF" w:rsidP="00626849">
      <w:pPr>
        <w:jc w:val="both"/>
        <w:rPr>
          <w:rFonts w:ascii="Arial" w:hAnsi="Arial" w:cs="Arial"/>
          <w:color w:val="000000" w:themeColor="text1"/>
          <w:sz w:val="22"/>
          <w:szCs w:val="22"/>
        </w:rPr>
      </w:pPr>
      <m:oMathPara>
        <m:oMath>
          <m:r>
            <w:rPr>
              <w:rFonts w:ascii="Cambria Math" w:hAnsi="Cambria Math" w:cs="Arial"/>
              <w:color w:val="000000" w:themeColor="text1"/>
              <w:sz w:val="22"/>
              <w:szCs w:val="22"/>
            </w:rPr>
            <m:t>D≅</m:t>
          </m:r>
          <m:f>
            <m:fPr>
              <m:ctrlPr>
                <w:rPr>
                  <w:rFonts w:ascii="Cambria Math" w:hAnsi="Cambria Math" w:cs="Arial"/>
                  <w:i/>
                  <w:color w:val="000000" w:themeColor="text1"/>
                  <w:sz w:val="22"/>
                  <w:szCs w:val="22"/>
                </w:rPr>
              </m:ctrlPr>
            </m:fPr>
            <m:num>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den>
          </m:f>
          <m:rad>
            <m:radPr>
              <m:degHide m:val="1"/>
              <m:ctrlPr>
                <w:rPr>
                  <w:rFonts w:ascii="Cambria Math" w:hAnsi="Cambria Math" w:cs="Arial"/>
                  <w:i/>
                  <w:color w:val="000000" w:themeColor="text1"/>
                  <w:sz w:val="22"/>
                  <w:szCs w:val="22"/>
                </w:rPr>
              </m:ctrlPr>
            </m:radPr>
            <m:deg/>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f>
                <m:fPr>
                  <m:ctrlPr>
                    <w:rPr>
                      <w:rFonts w:ascii="Cambria Math" w:hAnsi="Cambria Math" w:cs="Arial"/>
                      <w:i/>
                      <w:color w:val="000000" w:themeColor="text1"/>
                      <w:sz w:val="22"/>
                      <w:szCs w:val="22"/>
                    </w:rPr>
                  </m:ctrlPr>
                </m:fPr>
                <m:num>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num>
                <m:den>
                  <m:sSub>
                    <m:sSubPr>
                      <m:ctrlPr>
                        <w:rPr>
                          <w:rFonts w:ascii="Cambria Math" w:hAnsi="Cambria Math" w:cs="Arial"/>
                          <w:i/>
                          <w:color w:val="000000" w:themeColor="text1"/>
                          <w:sz w:val="22"/>
                          <w:szCs w:val="22"/>
                        </w:rPr>
                      </m:ctrlPr>
                    </m:sSubPr>
                    <m:e>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e>
                    <m:sub>
                      <m:r>
                        <w:rPr>
                          <w:rFonts w:ascii="Cambria Math" w:hAnsi="Cambria Math" w:cs="Arial"/>
                          <w:color w:val="000000" w:themeColor="text1"/>
                          <w:sz w:val="22"/>
                          <w:szCs w:val="22"/>
                        </w:rPr>
                        <m:t>2</m:t>
                      </m:r>
                    </m:sub>
                  </m:sSub>
                </m:den>
              </m:f>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T</m:t>
                  </m:r>
                </m:e>
                <m:sub>
                  <m:r>
                    <w:rPr>
                      <w:rFonts w:ascii="Cambria Math" w:hAnsi="Cambria Math" w:cs="Arial"/>
                      <w:color w:val="000000" w:themeColor="text1"/>
                      <w:sz w:val="22"/>
                      <w:szCs w:val="22"/>
                    </w:rPr>
                    <m:t>2</m:t>
                  </m:r>
                </m:sub>
              </m:sSub>
            </m:e>
          </m:rad>
        </m:oMath>
      </m:oMathPara>
    </w:p>
    <w:p w14:paraId="352F1870" w14:textId="574BAEF4" w:rsidR="0042256A" w:rsidRDefault="0042256A" w:rsidP="00626849">
      <w:pPr>
        <w:jc w:val="both"/>
        <w:rPr>
          <w:rFonts w:ascii="Arial" w:hAnsi="Arial" w:cs="Arial"/>
          <w:color w:val="000000" w:themeColor="text1"/>
          <w:sz w:val="22"/>
          <w:szCs w:val="22"/>
        </w:rPr>
      </w:pPr>
    </w:p>
    <w:p w14:paraId="0D83B9F5" w14:textId="7C0B84F3" w:rsidR="008909BF" w:rsidRDefault="008909BF" w:rsidP="00626849">
      <w:pPr>
        <w:jc w:val="both"/>
        <w:rPr>
          <w:rFonts w:ascii="Arial" w:hAnsi="Arial" w:cs="Arial"/>
          <w:color w:val="000000" w:themeColor="text1"/>
          <w:sz w:val="22"/>
          <w:szCs w:val="22"/>
        </w:rPr>
      </w:pPr>
      <w:r>
        <w:rPr>
          <w:rFonts w:ascii="Arial" w:hAnsi="Arial" w:cs="Arial"/>
          <w:color w:val="000000" w:themeColor="text1"/>
          <w:sz w:val="22"/>
          <w:szCs w:val="22"/>
        </w:rPr>
        <w:t>Using physical values for N</w:t>
      </w:r>
      <w:r>
        <w:rPr>
          <w:rFonts w:ascii="Arial" w:hAnsi="Arial" w:cs="Arial"/>
          <w:color w:val="000000" w:themeColor="text1"/>
          <w:sz w:val="22"/>
          <w:szCs w:val="22"/>
          <w:vertAlign w:val="subscript"/>
        </w:rPr>
        <w:t>2</w:t>
      </w:r>
      <w:r>
        <w:rPr>
          <w:rFonts w:ascii="Arial" w:hAnsi="Arial" w:cs="Arial"/>
          <w:color w:val="000000" w:themeColor="text1"/>
          <w:sz w:val="22"/>
          <w:szCs w:val="22"/>
        </w:rPr>
        <w:t xml:space="preserve"> at 2700 K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m:t>
        </m:r>
      </m:oMath>
      <w:r>
        <w:rPr>
          <w:rFonts w:ascii="Arial" w:hAnsi="Arial" w:cs="Arial"/>
          <w:color w:val="000000" w:themeColor="text1"/>
          <w:sz w:val="22"/>
          <w:szCs w:val="22"/>
        </w:rPr>
        <w:t xml:space="preserve"> 1.29, </w:t>
      </w:r>
      <m:oMath>
        <m:sSub>
          <m:sSubPr>
            <m:ctrlPr>
              <w:rPr>
                <w:rFonts w:ascii="Cambria Math" w:hAnsi="Cambria Math" w:cs="Arial"/>
                <w:i/>
                <w:color w:val="000000" w:themeColor="text1"/>
                <w:sz w:val="22"/>
                <w:szCs w:val="22"/>
              </w:rPr>
            </m:ctrlPr>
          </m:sSubPr>
          <m:e>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m:t>
        </m:r>
      </m:oMath>
      <w:r>
        <w:rPr>
          <w:rFonts w:ascii="Arial" w:hAnsi="Arial" w:cs="Arial"/>
          <w:color w:val="000000" w:themeColor="text1"/>
          <w:sz w:val="22"/>
          <w:szCs w:val="22"/>
        </w:rPr>
        <w:t xml:space="preserve"> 28) since N</w:t>
      </w:r>
      <w:r>
        <w:rPr>
          <w:rFonts w:ascii="Arial" w:hAnsi="Arial" w:cs="Arial"/>
          <w:color w:val="000000" w:themeColor="text1"/>
          <w:sz w:val="22"/>
          <w:szCs w:val="22"/>
          <w:vertAlign w:val="subscript"/>
        </w:rPr>
        <w:t>2</w:t>
      </w:r>
      <w:r>
        <w:rPr>
          <w:rFonts w:ascii="Arial" w:hAnsi="Arial" w:cs="Arial"/>
          <w:color w:val="000000" w:themeColor="text1"/>
          <w:sz w:val="22"/>
          <w:szCs w:val="22"/>
        </w:rPr>
        <w:t xml:space="preserve"> is the majority of the reactant mixture, the rigorously calculated values from the plot above </w:t>
      </w:r>
      <w:r w:rsidR="00D15E89">
        <w:rPr>
          <w:rFonts w:ascii="Arial" w:hAnsi="Arial" w:cs="Arial"/>
          <w:color w:val="000000" w:themeColor="text1"/>
          <w:sz w:val="22"/>
          <w:szCs w:val="22"/>
        </w:rPr>
        <w:t>when outlet temperature is</w:t>
      </w:r>
      <w:r>
        <w:rPr>
          <w:rFonts w:ascii="Arial" w:hAnsi="Arial" w:cs="Arial"/>
          <w:color w:val="000000" w:themeColor="text1"/>
          <w:sz w:val="22"/>
          <w:szCs w:val="22"/>
        </w:rPr>
        <w:t xml:space="preserve"> 2700 K </w:t>
      </w:r>
      <w:r w:rsidR="00D15E89">
        <w:rPr>
          <w:rFonts w:ascii="Arial" w:hAnsi="Arial" w:cs="Arial"/>
          <w:color w:val="000000" w:themeColor="text1"/>
          <w:sz w:val="22"/>
          <w:szCs w:val="22"/>
        </w:rPr>
        <w:t xml:space="preserve">(values plotted below) </w:t>
      </w:r>
      <w:r>
        <w:rPr>
          <w:rFonts w:ascii="Arial" w:hAnsi="Arial" w:cs="Arial"/>
          <w:color w:val="000000" w:themeColor="text1"/>
          <w:sz w:val="22"/>
          <w:szCs w:val="22"/>
        </w:rPr>
        <w:t>are compared to the simplified approximation at the same temperature, tabulated below:</w:t>
      </w:r>
    </w:p>
    <w:p w14:paraId="6B9BE426" w14:textId="568C7931" w:rsidR="008909BF" w:rsidRDefault="008909BF" w:rsidP="00626849">
      <w:pPr>
        <w:jc w:val="both"/>
        <w:rPr>
          <w:rFonts w:ascii="Arial" w:hAnsi="Arial" w:cs="Arial"/>
          <w:color w:val="000000" w:themeColor="text1"/>
          <w:sz w:val="22"/>
          <w:szCs w:val="22"/>
        </w:rPr>
      </w:pPr>
    </w:p>
    <w:p w14:paraId="5A6EB6D7" w14:textId="77C5B058" w:rsidR="008909BF" w:rsidRPr="008909BF" w:rsidRDefault="008909BF" w:rsidP="008909BF">
      <w:pPr>
        <w:jc w:val="center"/>
        <w:rPr>
          <w:rFonts w:ascii="Arial" w:hAnsi="Arial" w:cs="Arial"/>
          <w:b/>
          <w:bCs/>
          <w:color w:val="000000" w:themeColor="text1"/>
          <w:sz w:val="22"/>
          <w:szCs w:val="22"/>
        </w:rPr>
      </w:pPr>
      <w:r w:rsidRPr="008909BF">
        <w:rPr>
          <w:rFonts w:ascii="Arial" w:hAnsi="Arial" w:cs="Arial"/>
          <w:b/>
          <w:bCs/>
          <w:color w:val="000000" w:themeColor="text1"/>
          <w:sz w:val="22"/>
          <w:szCs w:val="22"/>
        </w:rPr>
        <w:lastRenderedPageBreak/>
        <w:t xml:space="preserve">Table 1 | </w:t>
      </w:r>
      <w:r w:rsidR="00D15E89">
        <w:rPr>
          <w:rFonts w:ascii="Arial" w:hAnsi="Arial" w:cs="Arial"/>
          <w:b/>
          <w:bCs/>
          <w:color w:val="000000" w:themeColor="text1"/>
          <w:sz w:val="22"/>
          <w:szCs w:val="22"/>
        </w:rPr>
        <w:t>Simplified detonation speed calculations</w:t>
      </w:r>
    </w:p>
    <w:p w14:paraId="64693543" w14:textId="77777777" w:rsidR="008909BF" w:rsidRPr="008909BF" w:rsidRDefault="008909BF" w:rsidP="008909BF">
      <w:pPr>
        <w:jc w:val="center"/>
        <w:rPr>
          <w:rFonts w:ascii="Arial" w:hAnsi="Arial" w:cs="Arial"/>
          <w:b/>
          <w:bCs/>
          <w:color w:val="000000" w:themeColor="text1"/>
          <w:sz w:val="4"/>
          <w:szCs w:val="4"/>
        </w:rPr>
      </w:pPr>
    </w:p>
    <w:tbl>
      <w:tblPr>
        <w:tblStyle w:val="TableGrid"/>
        <w:tblW w:w="9540" w:type="dxa"/>
        <w:tblLook w:val="04A0" w:firstRow="1" w:lastRow="0" w:firstColumn="1" w:lastColumn="0" w:noHBand="0" w:noVBand="1"/>
      </w:tblPr>
      <w:tblGrid>
        <w:gridCol w:w="3060"/>
        <w:gridCol w:w="2160"/>
        <w:gridCol w:w="2160"/>
        <w:gridCol w:w="2160"/>
      </w:tblGrid>
      <w:tr w:rsidR="00D15E89" w:rsidRPr="008909BF" w14:paraId="18B5BFCD" w14:textId="321D45CF" w:rsidTr="00D15E89">
        <w:trPr>
          <w:trHeight w:val="432"/>
        </w:trPr>
        <w:tc>
          <w:tcPr>
            <w:tcW w:w="3060" w:type="dxa"/>
            <w:tcBorders>
              <w:top w:val="single" w:sz="18" w:space="0" w:color="000000"/>
              <w:left w:val="nil"/>
              <w:bottom w:val="single" w:sz="18" w:space="0" w:color="000000"/>
              <w:right w:val="nil"/>
            </w:tcBorders>
            <w:vAlign w:val="center"/>
          </w:tcPr>
          <w:p w14:paraId="332D3F68" w14:textId="77777777" w:rsidR="00D15E89" w:rsidRPr="00D15E89" w:rsidRDefault="00D15E89" w:rsidP="00D15E89">
            <w:pPr>
              <w:jc w:val="center"/>
              <w:rPr>
                <w:rFonts w:ascii="Arial" w:hAnsi="Arial" w:cs="Arial"/>
                <w:b/>
                <w:bCs/>
                <w:color w:val="000000" w:themeColor="text1"/>
                <w:sz w:val="4"/>
                <w:szCs w:val="4"/>
              </w:rPr>
            </w:pPr>
          </w:p>
          <w:p w14:paraId="69E63A1E" w14:textId="6ED2C6A8" w:rsidR="00D15E89" w:rsidRPr="00D15E89" w:rsidRDefault="00D15E89" w:rsidP="00D15E89">
            <w:pPr>
              <w:jc w:val="center"/>
              <w:rPr>
                <w:rFonts w:ascii="Arial" w:hAnsi="Arial" w:cs="Arial"/>
                <w:b/>
                <w:bCs/>
                <w:color w:val="000000" w:themeColor="text1"/>
                <w:sz w:val="22"/>
                <w:szCs w:val="22"/>
              </w:rPr>
            </w:pPr>
            <w:r w:rsidRPr="00D15E89">
              <w:rPr>
                <w:rFonts w:ascii="Arial" w:hAnsi="Arial" w:cs="Arial"/>
                <w:b/>
                <w:bCs/>
                <w:color w:val="000000" w:themeColor="text1"/>
                <w:sz w:val="22"/>
                <w:szCs w:val="22"/>
              </w:rPr>
              <w:t>Inlet Concentration</w:t>
            </w:r>
          </w:p>
        </w:tc>
        <w:tc>
          <w:tcPr>
            <w:tcW w:w="2160" w:type="dxa"/>
            <w:tcBorders>
              <w:top w:val="single" w:sz="18" w:space="0" w:color="000000"/>
              <w:left w:val="nil"/>
              <w:bottom w:val="single" w:sz="18" w:space="0" w:color="000000"/>
              <w:right w:val="nil"/>
            </w:tcBorders>
            <w:vAlign w:val="center"/>
          </w:tcPr>
          <w:p w14:paraId="2ECB9E67" w14:textId="22E75379" w:rsidR="00D15E89" w:rsidRPr="00D15E89" w:rsidRDefault="00D15E89" w:rsidP="00D15E89">
            <w:pPr>
              <w:jc w:val="center"/>
              <w:rPr>
                <w:rFonts w:ascii="Arial" w:hAnsi="Arial" w:cs="Arial"/>
                <w:b/>
                <w:bCs/>
                <w:color w:val="000000" w:themeColor="text1"/>
                <w:sz w:val="22"/>
                <w:szCs w:val="22"/>
              </w:rPr>
            </w:pPr>
            <w:proofErr w:type="spellStart"/>
            <w:r>
              <w:rPr>
                <w:rFonts w:ascii="Arial" w:hAnsi="Arial" w:cs="Arial"/>
                <w:b/>
                <w:bCs/>
                <w:color w:val="000000" w:themeColor="text1"/>
                <w:sz w:val="22"/>
                <w:szCs w:val="22"/>
              </w:rPr>
              <w:t>SDToolbox</w:t>
            </w:r>
            <w:proofErr w:type="spellEnd"/>
            <w:r>
              <w:rPr>
                <w:rFonts w:ascii="Arial" w:hAnsi="Arial" w:cs="Arial"/>
                <w:b/>
                <w:bCs/>
                <w:color w:val="000000" w:themeColor="text1"/>
                <w:sz w:val="22"/>
                <w:szCs w:val="22"/>
              </w:rPr>
              <w:t xml:space="preserve"> </w:t>
            </w:r>
            <w:r w:rsidRPr="00D15E89">
              <w:rPr>
                <w:rFonts w:ascii="Arial" w:hAnsi="Arial" w:cs="Arial"/>
                <w:b/>
                <w:bCs/>
                <w:color w:val="000000" w:themeColor="text1"/>
                <w:sz w:val="22"/>
                <w:szCs w:val="22"/>
              </w:rPr>
              <w:t>(m/s)</w:t>
            </w:r>
          </w:p>
        </w:tc>
        <w:tc>
          <w:tcPr>
            <w:tcW w:w="2160" w:type="dxa"/>
            <w:tcBorders>
              <w:top w:val="single" w:sz="18" w:space="0" w:color="000000"/>
              <w:left w:val="nil"/>
              <w:bottom w:val="single" w:sz="18" w:space="0" w:color="000000"/>
              <w:right w:val="nil"/>
            </w:tcBorders>
            <w:vAlign w:val="center"/>
          </w:tcPr>
          <w:p w14:paraId="5488A1D8" w14:textId="18F3E45E" w:rsidR="00D15E89" w:rsidRPr="00D15E89" w:rsidRDefault="00D15E89" w:rsidP="00D15E89">
            <w:pPr>
              <w:jc w:val="center"/>
              <w:rPr>
                <w:rFonts w:ascii="Arial" w:hAnsi="Arial" w:cs="Arial"/>
                <w:b/>
                <w:bCs/>
                <w:color w:val="000000" w:themeColor="text1"/>
                <w:sz w:val="22"/>
                <w:szCs w:val="22"/>
              </w:rPr>
            </w:pPr>
            <w:r>
              <w:rPr>
                <w:rFonts w:ascii="Arial" w:hAnsi="Arial" w:cs="Arial"/>
                <w:b/>
                <w:bCs/>
                <w:color w:val="000000" w:themeColor="text1"/>
                <w:sz w:val="22"/>
                <w:szCs w:val="22"/>
              </w:rPr>
              <w:t xml:space="preserve">Simplified </w:t>
            </w:r>
            <w:r w:rsidRPr="00D15E89">
              <w:rPr>
                <w:rFonts w:ascii="Arial" w:hAnsi="Arial" w:cs="Arial"/>
                <w:b/>
                <w:bCs/>
                <w:color w:val="000000" w:themeColor="text1"/>
                <w:sz w:val="22"/>
                <w:szCs w:val="22"/>
              </w:rPr>
              <w:t>(m/s)</w:t>
            </w:r>
          </w:p>
        </w:tc>
        <w:tc>
          <w:tcPr>
            <w:tcW w:w="2160" w:type="dxa"/>
            <w:tcBorders>
              <w:top w:val="single" w:sz="18" w:space="0" w:color="000000"/>
              <w:left w:val="nil"/>
              <w:bottom w:val="single" w:sz="18" w:space="0" w:color="000000"/>
              <w:right w:val="nil"/>
            </w:tcBorders>
            <w:vAlign w:val="center"/>
          </w:tcPr>
          <w:p w14:paraId="280BE926" w14:textId="238711D7" w:rsidR="00D15E89" w:rsidRDefault="00D15E89" w:rsidP="00D15E89">
            <w:pPr>
              <w:jc w:val="center"/>
              <w:rPr>
                <w:rFonts w:ascii="Arial" w:hAnsi="Arial" w:cs="Arial"/>
                <w:b/>
                <w:bCs/>
                <w:color w:val="000000" w:themeColor="text1"/>
                <w:sz w:val="22"/>
                <w:szCs w:val="22"/>
              </w:rPr>
            </w:pPr>
            <w:r>
              <w:rPr>
                <w:rFonts w:ascii="Arial" w:hAnsi="Arial" w:cs="Arial"/>
                <w:b/>
                <w:bCs/>
                <w:color w:val="000000" w:themeColor="text1"/>
                <w:sz w:val="22"/>
                <w:szCs w:val="22"/>
              </w:rPr>
              <w:t>Deviation</w:t>
            </w:r>
          </w:p>
        </w:tc>
      </w:tr>
      <w:tr w:rsidR="00D15E89" w:rsidRPr="008909BF" w14:paraId="31B87AE2" w14:textId="6BFC0D33" w:rsidTr="00D15E89">
        <w:trPr>
          <w:trHeight w:val="432"/>
        </w:trPr>
        <w:tc>
          <w:tcPr>
            <w:tcW w:w="3060" w:type="dxa"/>
            <w:tcBorders>
              <w:top w:val="single" w:sz="18" w:space="0" w:color="000000"/>
              <w:left w:val="nil"/>
              <w:right w:val="nil"/>
            </w:tcBorders>
            <w:vAlign w:val="center"/>
          </w:tcPr>
          <w:p w14:paraId="0F8BD745" w14:textId="43EEF67D"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T=300 K, P=100 kPa</w:t>
            </w:r>
          </w:p>
        </w:tc>
        <w:tc>
          <w:tcPr>
            <w:tcW w:w="2160" w:type="dxa"/>
            <w:tcBorders>
              <w:top w:val="single" w:sz="18" w:space="0" w:color="000000"/>
              <w:left w:val="nil"/>
              <w:right w:val="nil"/>
            </w:tcBorders>
            <w:vAlign w:val="center"/>
          </w:tcPr>
          <w:p w14:paraId="41F5E4DB" w14:textId="64863643"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1798</w:t>
            </w:r>
          </w:p>
        </w:tc>
        <w:tc>
          <w:tcPr>
            <w:tcW w:w="2160" w:type="dxa"/>
            <w:tcBorders>
              <w:top w:val="single" w:sz="18" w:space="0" w:color="000000"/>
              <w:left w:val="nil"/>
              <w:right w:val="nil"/>
            </w:tcBorders>
            <w:vAlign w:val="center"/>
          </w:tcPr>
          <w:p w14:paraId="1159810D" w14:textId="521A83E6"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top w:val="single" w:sz="18" w:space="0" w:color="000000"/>
              <w:left w:val="nil"/>
              <w:right w:val="nil"/>
            </w:tcBorders>
            <w:vAlign w:val="center"/>
          </w:tcPr>
          <w:p w14:paraId="3F9358C9" w14:textId="5381CC67"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0.4%</w:t>
            </w:r>
          </w:p>
        </w:tc>
      </w:tr>
      <w:tr w:rsidR="00D15E89" w:rsidRPr="008909BF" w14:paraId="60F0F714" w14:textId="12C1E938" w:rsidTr="00D15E89">
        <w:trPr>
          <w:trHeight w:val="432"/>
        </w:trPr>
        <w:tc>
          <w:tcPr>
            <w:tcW w:w="3060" w:type="dxa"/>
            <w:tcBorders>
              <w:left w:val="nil"/>
              <w:right w:val="nil"/>
            </w:tcBorders>
            <w:vAlign w:val="center"/>
          </w:tcPr>
          <w:p w14:paraId="0D4EFB8F" w14:textId="5C532757"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T=300 K, P=500 kPa</w:t>
            </w:r>
          </w:p>
        </w:tc>
        <w:tc>
          <w:tcPr>
            <w:tcW w:w="2160" w:type="dxa"/>
            <w:tcBorders>
              <w:left w:val="nil"/>
              <w:right w:val="nil"/>
            </w:tcBorders>
            <w:vAlign w:val="center"/>
          </w:tcPr>
          <w:p w14:paraId="5CE38E60" w14:textId="471C6626"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1833</w:t>
            </w:r>
          </w:p>
        </w:tc>
        <w:tc>
          <w:tcPr>
            <w:tcW w:w="2160" w:type="dxa"/>
            <w:tcBorders>
              <w:left w:val="nil"/>
              <w:right w:val="nil"/>
            </w:tcBorders>
            <w:vAlign w:val="center"/>
          </w:tcPr>
          <w:p w14:paraId="20D9DC9B" w14:textId="06CA837D"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left w:val="nil"/>
              <w:right w:val="nil"/>
            </w:tcBorders>
            <w:vAlign w:val="center"/>
          </w:tcPr>
          <w:p w14:paraId="341CC6C9" w14:textId="2F743B5D"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1.6%</w:t>
            </w:r>
          </w:p>
        </w:tc>
      </w:tr>
      <w:tr w:rsidR="00D15E89" w:rsidRPr="008909BF" w14:paraId="226A1945" w14:textId="4F02E4C3" w:rsidTr="00D15E89">
        <w:trPr>
          <w:trHeight w:val="432"/>
        </w:trPr>
        <w:tc>
          <w:tcPr>
            <w:tcW w:w="3060" w:type="dxa"/>
            <w:tcBorders>
              <w:left w:val="nil"/>
              <w:right w:val="nil"/>
            </w:tcBorders>
            <w:vAlign w:val="center"/>
          </w:tcPr>
          <w:p w14:paraId="1743B321" w14:textId="249F5302"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T=600 K, P=100 kPa</w:t>
            </w:r>
          </w:p>
        </w:tc>
        <w:tc>
          <w:tcPr>
            <w:tcW w:w="2160" w:type="dxa"/>
            <w:tcBorders>
              <w:left w:val="nil"/>
              <w:right w:val="nil"/>
            </w:tcBorders>
            <w:vAlign w:val="center"/>
          </w:tcPr>
          <w:p w14:paraId="41DEEC13" w14:textId="3D88B814"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1798</w:t>
            </w:r>
          </w:p>
        </w:tc>
        <w:tc>
          <w:tcPr>
            <w:tcW w:w="2160" w:type="dxa"/>
            <w:tcBorders>
              <w:left w:val="nil"/>
              <w:right w:val="nil"/>
            </w:tcBorders>
            <w:vAlign w:val="center"/>
          </w:tcPr>
          <w:p w14:paraId="20136082" w14:textId="55510197"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left w:val="nil"/>
              <w:right w:val="nil"/>
            </w:tcBorders>
            <w:vAlign w:val="center"/>
          </w:tcPr>
          <w:p w14:paraId="3D0EDB37" w14:textId="604616BE"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0.4%</w:t>
            </w:r>
          </w:p>
        </w:tc>
      </w:tr>
    </w:tbl>
    <w:p w14:paraId="2749D6F8" w14:textId="77777777" w:rsidR="008909BF" w:rsidRPr="008909BF" w:rsidRDefault="008909BF" w:rsidP="00626849">
      <w:pPr>
        <w:jc w:val="both"/>
        <w:rPr>
          <w:rFonts w:ascii="Arial" w:hAnsi="Arial" w:cs="Arial"/>
          <w:color w:val="000000" w:themeColor="text1"/>
          <w:sz w:val="22"/>
          <w:szCs w:val="22"/>
        </w:rPr>
      </w:pPr>
    </w:p>
    <w:p w14:paraId="1B618845" w14:textId="0343E211" w:rsidR="00D15E89" w:rsidRPr="0075738E" w:rsidRDefault="00D15E8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As shown </w:t>
      </w:r>
      <w:r w:rsidR="0075738E">
        <w:rPr>
          <w:rFonts w:ascii="Arial" w:hAnsi="Arial" w:cs="Arial"/>
          <w:color w:val="000000" w:themeColor="text1"/>
          <w:sz w:val="22"/>
          <w:szCs w:val="22"/>
        </w:rPr>
        <w:t xml:space="preserve">in Table 1 </w:t>
      </w:r>
      <w:r>
        <w:rPr>
          <w:rFonts w:ascii="Arial" w:hAnsi="Arial" w:cs="Arial"/>
          <w:color w:val="000000" w:themeColor="text1"/>
          <w:sz w:val="22"/>
          <w:szCs w:val="22"/>
        </w:rPr>
        <w:t xml:space="preserve">above, the deviation in detonation pressures from </w:t>
      </w:r>
      <w:r w:rsidR="0075738E">
        <w:rPr>
          <w:rFonts w:ascii="Arial" w:hAnsi="Arial" w:cs="Arial"/>
          <w:color w:val="000000" w:themeColor="text1"/>
          <w:sz w:val="22"/>
          <w:szCs w:val="22"/>
        </w:rPr>
        <w:t>the simplified estimation is nearly negligible for all reaction mixtures. This is especially remarkable given the highly simplified assumptions used when constructing the above model, not least approximating the mixture as a pure N</w:t>
      </w:r>
      <w:r w:rsidR="0075738E">
        <w:rPr>
          <w:rFonts w:ascii="Arial" w:hAnsi="Arial" w:cs="Arial"/>
          <w:color w:val="000000" w:themeColor="text1"/>
          <w:sz w:val="22"/>
          <w:szCs w:val="22"/>
          <w:vertAlign w:val="subscript"/>
        </w:rPr>
        <w:t>2</w:t>
      </w:r>
      <w:r w:rsidR="0075738E">
        <w:rPr>
          <w:rFonts w:ascii="Arial" w:hAnsi="Arial" w:cs="Arial"/>
          <w:color w:val="000000" w:themeColor="text1"/>
          <w:sz w:val="22"/>
          <w:szCs w:val="22"/>
        </w:rPr>
        <w:t xml:space="preserve"> stream. While this simplified detonation speed approximation is useful for quick estimations of detonation speed, for full estimations of the conditions inside the 1-dimensional ZND detonation wave, including induction time, pressure, temperature, and Mach number, the full simulation must be evaluated.</w:t>
      </w:r>
    </w:p>
    <w:p w14:paraId="5B0E6118" w14:textId="77777777" w:rsidR="00D15E89" w:rsidRDefault="00D15E89" w:rsidP="00626849">
      <w:pPr>
        <w:jc w:val="both"/>
        <w:rPr>
          <w:rFonts w:ascii="Arial" w:hAnsi="Arial" w:cs="Arial"/>
          <w:color w:val="000000" w:themeColor="text1"/>
          <w:sz w:val="22"/>
          <w:szCs w:val="22"/>
        </w:rPr>
      </w:pPr>
    </w:p>
    <w:p w14:paraId="45898DEB" w14:textId="07B58DD2" w:rsidR="0042256A" w:rsidRDefault="0042256A" w:rsidP="00626849">
      <w:pPr>
        <w:jc w:val="both"/>
        <w:rPr>
          <w:rFonts w:ascii="Arial" w:hAnsi="Arial" w:cs="Arial"/>
          <w:color w:val="000000" w:themeColor="text1"/>
          <w:sz w:val="22"/>
          <w:szCs w:val="22"/>
        </w:rPr>
      </w:pPr>
      <w:r>
        <w:rPr>
          <w:rFonts w:ascii="Arial" w:hAnsi="Arial" w:cs="Arial"/>
          <w:color w:val="000000" w:themeColor="text1"/>
          <w:sz w:val="22"/>
          <w:szCs w:val="22"/>
        </w:rPr>
        <w:t>This speed is directly related to the Mach number for detonation, which corresponds to the ratio between the reactant flow and the speed of sound in the reactant mixture</w:t>
      </w:r>
      <w:r w:rsidR="00E7347F">
        <w:rPr>
          <w:rFonts w:ascii="Arial" w:hAnsi="Arial" w:cs="Arial"/>
          <w:color w:val="000000" w:themeColor="text1"/>
          <w:sz w:val="22"/>
          <w:szCs w:val="22"/>
        </w:rPr>
        <w:t>:</w:t>
      </w:r>
    </w:p>
    <w:p w14:paraId="429F3963" w14:textId="71695A76" w:rsidR="00E7347F" w:rsidRDefault="00E7347F" w:rsidP="00626849">
      <w:pPr>
        <w:jc w:val="both"/>
        <w:rPr>
          <w:rFonts w:ascii="Arial" w:hAnsi="Arial" w:cs="Arial"/>
          <w:color w:val="000000" w:themeColor="text1"/>
          <w:sz w:val="22"/>
          <w:szCs w:val="22"/>
        </w:rPr>
      </w:pPr>
    </w:p>
    <w:p w14:paraId="71C0565A" w14:textId="3B27B191" w:rsidR="00E7347F" w:rsidRDefault="00E7347F" w:rsidP="00E7347F">
      <w:pPr>
        <w:jc w:val="cente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5CFD43E6" wp14:editId="72EA9392">
            <wp:extent cx="4013200" cy="3009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2903" cy="3017177"/>
                    </a:xfrm>
                    <a:prstGeom prst="rect">
                      <a:avLst/>
                    </a:prstGeom>
                  </pic:spPr>
                </pic:pic>
              </a:graphicData>
            </a:graphic>
          </wp:inline>
        </w:drawing>
      </w:r>
    </w:p>
    <w:p w14:paraId="659C6C5A" w14:textId="69027EDF" w:rsidR="00A73FE0" w:rsidRPr="00A53F25" w:rsidRDefault="00A73FE0" w:rsidP="00A73FE0">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w:t>
      </w:r>
      <w:r>
        <w:rPr>
          <w:rFonts w:ascii="Arial" w:hAnsi="Arial" w:cs="Arial"/>
          <w:b/>
          <w:bCs/>
          <w:color w:val="000000" w:themeColor="text1"/>
          <w:sz w:val="18"/>
          <w:szCs w:val="18"/>
        </w:rPr>
        <w:t>2</w:t>
      </w:r>
      <w:r w:rsidRPr="00A53F25">
        <w:rPr>
          <w:rFonts w:ascii="Arial" w:hAnsi="Arial" w:cs="Arial"/>
          <w:b/>
          <w:bCs/>
          <w:color w:val="000000" w:themeColor="text1"/>
          <w:sz w:val="18"/>
          <w:szCs w:val="18"/>
        </w:rPr>
        <w:t xml:space="preserve"> | </w:t>
      </w:r>
      <w:r>
        <w:rPr>
          <w:rFonts w:ascii="Arial" w:hAnsi="Arial" w:cs="Arial"/>
          <w:b/>
          <w:bCs/>
          <w:color w:val="000000" w:themeColor="text1"/>
          <w:sz w:val="18"/>
          <w:szCs w:val="18"/>
        </w:rPr>
        <w:t>Variance in Mach number as a function of initial physical state and composition</w:t>
      </w:r>
    </w:p>
    <w:p w14:paraId="7CD3D4EC" w14:textId="1FCA253A" w:rsidR="00A73FE0" w:rsidRDefault="00A73FE0" w:rsidP="00A73FE0">
      <w:pPr>
        <w:rPr>
          <w:rFonts w:ascii="Arial" w:hAnsi="Arial" w:cs="Arial"/>
          <w:color w:val="000000" w:themeColor="text1"/>
          <w:sz w:val="22"/>
          <w:szCs w:val="22"/>
        </w:rPr>
      </w:pPr>
    </w:p>
    <w:p w14:paraId="2902F159" w14:textId="629E10E2" w:rsidR="00A73FE0" w:rsidRDefault="00A73FE0" w:rsidP="00A73FE0">
      <w:pPr>
        <w:jc w:val="both"/>
        <w:rPr>
          <w:rFonts w:ascii="Arial" w:hAnsi="Arial" w:cs="Arial"/>
          <w:color w:val="000000" w:themeColor="text1"/>
          <w:sz w:val="22"/>
          <w:szCs w:val="22"/>
        </w:rPr>
      </w:pPr>
      <w:r>
        <w:rPr>
          <w:rFonts w:ascii="Arial" w:hAnsi="Arial" w:cs="Arial"/>
          <w:color w:val="000000" w:themeColor="text1"/>
          <w:sz w:val="22"/>
          <w:szCs w:val="22"/>
        </w:rPr>
        <w:t>From this plot, it becomes clear the near-negligible effect that initial pressure holds on the reactant feed Mach number for detonation. However, temperature shows a much stronger effect on Mach number.</w:t>
      </w:r>
    </w:p>
    <w:p w14:paraId="64FA938D" w14:textId="7BFB862C" w:rsidR="00A73FE0" w:rsidRDefault="00A73FE0" w:rsidP="00A73FE0">
      <w:pPr>
        <w:jc w:val="both"/>
        <w:rPr>
          <w:rFonts w:ascii="Arial" w:hAnsi="Arial" w:cs="Arial"/>
          <w:color w:val="000000" w:themeColor="text1"/>
          <w:sz w:val="22"/>
          <w:szCs w:val="22"/>
        </w:rPr>
      </w:pPr>
    </w:p>
    <w:p w14:paraId="7B623004" w14:textId="00D90F21" w:rsidR="009C6D01" w:rsidRDefault="00A73FE0" w:rsidP="00A73FE0">
      <w:pPr>
        <w:jc w:val="both"/>
        <w:rPr>
          <w:rFonts w:ascii="Arial" w:hAnsi="Arial" w:cs="Arial"/>
          <w:color w:val="000000" w:themeColor="text1"/>
          <w:sz w:val="22"/>
          <w:szCs w:val="22"/>
        </w:rPr>
      </w:pPr>
      <w:r>
        <w:rPr>
          <w:rFonts w:ascii="Arial" w:hAnsi="Arial" w:cs="Arial"/>
          <w:color w:val="000000" w:themeColor="text1"/>
          <w:sz w:val="22"/>
          <w:szCs w:val="22"/>
        </w:rPr>
        <w:t xml:space="preserve">An intuitive explanation for this phenomenon is uncovered by considering the structure of a </w:t>
      </w:r>
      <w:proofErr w:type="spellStart"/>
      <w:r>
        <w:rPr>
          <w:rFonts w:ascii="Arial" w:hAnsi="Arial" w:cs="Arial"/>
          <w:color w:val="000000" w:themeColor="text1"/>
          <w:sz w:val="22"/>
          <w:szCs w:val="22"/>
        </w:rPr>
        <w:t>Zeldovich</w:t>
      </w:r>
      <w:proofErr w:type="spellEnd"/>
      <w:r>
        <w:rPr>
          <w:rFonts w:ascii="Arial" w:hAnsi="Arial" w:cs="Arial"/>
          <w:color w:val="000000" w:themeColor="text1"/>
          <w:sz w:val="22"/>
          <w:szCs w:val="22"/>
        </w:rPr>
        <w:t>-von Neumann-Doering (ZND) detonation wave. This wave consists of a supersonic reactant zone, shock zone with elevated temperature and pressure, reaction zone where combustion rapidly occurs, and equilibrated product flow. The ZND detonation wave propagates using the temperature and pressure rise from the shock to rapidly trigger autoignition. This autoignition process</w:t>
      </w:r>
      <w:r w:rsidR="00164CE9">
        <w:rPr>
          <w:rFonts w:ascii="Arial" w:hAnsi="Arial" w:cs="Arial"/>
          <w:color w:val="000000" w:themeColor="text1"/>
          <w:sz w:val="22"/>
          <w:szCs w:val="22"/>
        </w:rPr>
        <w:t xml:space="preserve">, like typical autoignition, is highly dependent on temperature to encourage </w:t>
      </w:r>
      <w:r w:rsidR="00164CE9">
        <w:rPr>
          <w:rFonts w:ascii="Arial" w:hAnsi="Arial" w:cs="Arial"/>
          <w:color w:val="000000" w:themeColor="text1"/>
          <w:sz w:val="22"/>
          <w:szCs w:val="22"/>
        </w:rPr>
        <w:lastRenderedPageBreak/>
        <w:t>the production of reactive radical species. When the inlet temperature to the detonation process is elevated, so is the temperature within the induction region, and thus the width of the induction zone is smaller due to the much faster autoignition process</w:t>
      </w:r>
      <w:r w:rsidR="009C6D01">
        <w:rPr>
          <w:rFonts w:ascii="Arial" w:hAnsi="Arial" w:cs="Arial"/>
          <w:color w:val="000000" w:themeColor="text1"/>
          <w:sz w:val="22"/>
          <w:szCs w:val="22"/>
        </w:rPr>
        <w:t>, which decreases the speed necessary to maintain sonic flow downstream of the rapid combustion reaction.</w:t>
      </w:r>
    </w:p>
    <w:p w14:paraId="076354B6" w14:textId="08B5702F" w:rsidR="00164CE9" w:rsidRDefault="00164CE9" w:rsidP="00A73FE0">
      <w:pPr>
        <w:jc w:val="both"/>
        <w:rPr>
          <w:rFonts w:ascii="Arial" w:hAnsi="Arial" w:cs="Arial"/>
          <w:color w:val="000000" w:themeColor="text1"/>
          <w:sz w:val="22"/>
          <w:szCs w:val="22"/>
        </w:rPr>
      </w:pPr>
    </w:p>
    <w:p w14:paraId="1E0B54A8" w14:textId="0C6C121B" w:rsidR="00A73FE0" w:rsidRDefault="009C6D01" w:rsidP="009C6D01">
      <w:pPr>
        <w:jc w:val="both"/>
        <w:rPr>
          <w:rFonts w:ascii="Arial" w:hAnsi="Arial" w:cs="Arial"/>
          <w:color w:val="000000" w:themeColor="text1"/>
          <w:sz w:val="22"/>
          <w:szCs w:val="22"/>
        </w:rPr>
      </w:pPr>
      <w:r>
        <w:rPr>
          <w:rFonts w:ascii="Arial" w:hAnsi="Arial" w:cs="Arial"/>
          <w:color w:val="000000" w:themeColor="text1"/>
          <w:sz w:val="22"/>
          <w:szCs w:val="22"/>
        </w:rPr>
        <w:t>Further insight can be gained on the combustion process by evaluating the pressure, temperature and specific heat downstream of the combustion reaction at each initial condition. These were evaluated at the outlet gas concentration</w:t>
      </w:r>
      <w:r w:rsidR="002149C1">
        <w:rPr>
          <w:rFonts w:ascii="Arial" w:hAnsi="Arial" w:cs="Arial"/>
          <w:color w:val="000000" w:themeColor="text1"/>
          <w:sz w:val="22"/>
          <w:szCs w:val="22"/>
        </w:rPr>
        <w:t>, after the combustion reaction has already occurred.</w:t>
      </w:r>
    </w:p>
    <w:p w14:paraId="43548D0F" w14:textId="4F827703" w:rsidR="009C6D01" w:rsidRDefault="009C6D01" w:rsidP="009C6D01">
      <w:pPr>
        <w:jc w:val="both"/>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81792" behindDoc="0" locked="0" layoutInCell="1" allowOverlap="1" wp14:anchorId="4DA11CB7" wp14:editId="520A74B1">
            <wp:simplePos x="0" y="0"/>
            <wp:positionH relativeFrom="column">
              <wp:posOffset>1346200</wp:posOffset>
            </wp:positionH>
            <wp:positionV relativeFrom="paragraph">
              <wp:posOffset>2800985</wp:posOffset>
            </wp:positionV>
            <wp:extent cx="3420533" cy="256540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0533" cy="2565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sz w:val="22"/>
          <w:szCs w:val="22"/>
        </w:rPr>
        <w:drawing>
          <wp:anchor distT="0" distB="0" distL="114300" distR="114300" simplePos="0" relativeHeight="251680768" behindDoc="0" locked="0" layoutInCell="1" allowOverlap="1" wp14:anchorId="74040813" wp14:editId="127CE734">
            <wp:simplePos x="0" y="0"/>
            <wp:positionH relativeFrom="column">
              <wp:posOffset>2933700</wp:posOffset>
            </wp:positionH>
            <wp:positionV relativeFrom="paragraph">
              <wp:posOffset>6350</wp:posOffset>
            </wp:positionV>
            <wp:extent cx="3733800" cy="2800350"/>
            <wp:effectExtent l="0" t="0" r="0" b="6350"/>
            <wp:wrapSquare wrapText="bothSides"/>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sz w:val="22"/>
          <w:szCs w:val="22"/>
        </w:rPr>
        <w:drawing>
          <wp:anchor distT="0" distB="0" distL="114300" distR="114300" simplePos="0" relativeHeight="251679744" behindDoc="0" locked="0" layoutInCell="1" allowOverlap="1" wp14:anchorId="2216B0B5" wp14:editId="4B7E78D5">
            <wp:simplePos x="0" y="0"/>
            <wp:positionH relativeFrom="column">
              <wp:posOffset>-499745</wp:posOffset>
            </wp:positionH>
            <wp:positionV relativeFrom="paragraph">
              <wp:posOffset>159</wp:posOffset>
            </wp:positionV>
            <wp:extent cx="3742267" cy="2806700"/>
            <wp:effectExtent l="0" t="0" r="4445"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2267" cy="2806700"/>
                    </a:xfrm>
                    <a:prstGeom prst="rect">
                      <a:avLst/>
                    </a:prstGeom>
                  </pic:spPr>
                </pic:pic>
              </a:graphicData>
            </a:graphic>
            <wp14:sizeRelH relativeFrom="page">
              <wp14:pctWidth>0</wp14:pctWidth>
            </wp14:sizeRelH>
            <wp14:sizeRelV relativeFrom="page">
              <wp14:pctHeight>0</wp14:pctHeight>
            </wp14:sizeRelV>
          </wp:anchor>
        </w:drawing>
      </w:r>
    </w:p>
    <w:p w14:paraId="5A64EC17" w14:textId="562E766F" w:rsidR="009C6D01" w:rsidRDefault="009C6D01" w:rsidP="009C6D01">
      <w:pPr>
        <w:jc w:val="both"/>
        <w:rPr>
          <w:rFonts w:ascii="Arial" w:hAnsi="Arial" w:cs="Arial"/>
          <w:color w:val="000000" w:themeColor="text1"/>
          <w:sz w:val="22"/>
          <w:szCs w:val="22"/>
        </w:rPr>
      </w:pPr>
    </w:p>
    <w:p w14:paraId="1ECE73CD" w14:textId="77777777" w:rsidR="00A53F25" w:rsidRPr="00C82D3C" w:rsidRDefault="00A53F25" w:rsidP="00A53F25">
      <w:pPr>
        <w:rPr>
          <w:rFonts w:ascii="Arial" w:hAnsi="Arial" w:cs="Arial"/>
          <w:color w:val="000000" w:themeColor="text1"/>
          <w:sz w:val="22"/>
          <w:szCs w:val="22"/>
        </w:rPr>
      </w:pPr>
    </w:p>
    <w:p w14:paraId="22667EB5" w14:textId="77777777" w:rsidR="009C6D01" w:rsidRDefault="009C6D01" w:rsidP="001628BE">
      <w:pPr>
        <w:rPr>
          <w:rFonts w:ascii="Arial" w:hAnsi="Arial" w:cs="Arial"/>
          <w:color w:val="000000" w:themeColor="text1"/>
          <w:sz w:val="22"/>
          <w:szCs w:val="22"/>
          <w:highlight w:val="yellow"/>
        </w:rPr>
      </w:pPr>
    </w:p>
    <w:p w14:paraId="16D33F42" w14:textId="77777777" w:rsidR="009C6D01" w:rsidRDefault="009C6D01" w:rsidP="001628BE">
      <w:pPr>
        <w:rPr>
          <w:rFonts w:ascii="Arial" w:hAnsi="Arial" w:cs="Arial"/>
          <w:color w:val="000000" w:themeColor="text1"/>
          <w:sz w:val="22"/>
          <w:szCs w:val="22"/>
          <w:highlight w:val="yellow"/>
        </w:rPr>
      </w:pPr>
    </w:p>
    <w:p w14:paraId="2DDA944C" w14:textId="77777777" w:rsidR="009C6D01" w:rsidRDefault="009C6D01" w:rsidP="001628BE">
      <w:pPr>
        <w:rPr>
          <w:rFonts w:ascii="Arial" w:hAnsi="Arial" w:cs="Arial"/>
          <w:color w:val="000000" w:themeColor="text1"/>
          <w:sz w:val="22"/>
          <w:szCs w:val="22"/>
          <w:highlight w:val="yellow"/>
        </w:rPr>
      </w:pPr>
    </w:p>
    <w:p w14:paraId="57F92928" w14:textId="77777777" w:rsidR="009C6D01" w:rsidRDefault="009C6D01" w:rsidP="001628BE">
      <w:pPr>
        <w:rPr>
          <w:rFonts w:ascii="Arial" w:hAnsi="Arial" w:cs="Arial"/>
          <w:color w:val="000000" w:themeColor="text1"/>
          <w:sz w:val="22"/>
          <w:szCs w:val="22"/>
          <w:highlight w:val="yellow"/>
        </w:rPr>
      </w:pPr>
    </w:p>
    <w:p w14:paraId="596B3CDF" w14:textId="77777777" w:rsidR="009C6D01" w:rsidRDefault="009C6D01" w:rsidP="001628BE">
      <w:pPr>
        <w:rPr>
          <w:rFonts w:ascii="Arial" w:hAnsi="Arial" w:cs="Arial"/>
          <w:color w:val="000000" w:themeColor="text1"/>
          <w:sz w:val="22"/>
          <w:szCs w:val="22"/>
          <w:highlight w:val="yellow"/>
        </w:rPr>
      </w:pPr>
    </w:p>
    <w:p w14:paraId="01AE5D8A" w14:textId="77777777" w:rsidR="009C6D01" w:rsidRDefault="009C6D01" w:rsidP="001628BE">
      <w:pPr>
        <w:rPr>
          <w:rFonts w:ascii="Arial" w:hAnsi="Arial" w:cs="Arial"/>
          <w:color w:val="000000" w:themeColor="text1"/>
          <w:sz w:val="22"/>
          <w:szCs w:val="22"/>
          <w:highlight w:val="yellow"/>
        </w:rPr>
      </w:pPr>
    </w:p>
    <w:p w14:paraId="5857A111" w14:textId="77777777" w:rsidR="009C6D01" w:rsidRDefault="009C6D01" w:rsidP="001628BE">
      <w:pPr>
        <w:rPr>
          <w:rFonts w:ascii="Arial" w:hAnsi="Arial" w:cs="Arial"/>
          <w:color w:val="000000" w:themeColor="text1"/>
          <w:sz w:val="22"/>
          <w:szCs w:val="22"/>
          <w:highlight w:val="yellow"/>
        </w:rPr>
      </w:pPr>
    </w:p>
    <w:p w14:paraId="69E7125E" w14:textId="77777777" w:rsidR="009C6D01" w:rsidRDefault="009C6D01" w:rsidP="001628BE">
      <w:pPr>
        <w:rPr>
          <w:rFonts w:ascii="Arial" w:hAnsi="Arial" w:cs="Arial"/>
          <w:color w:val="000000" w:themeColor="text1"/>
          <w:sz w:val="22"/>
          <w:szCs w:val="22"/>
          <w:highlight w:val="yellow"/>
        </w:rPr>
      </w:pPr>
    </w:p>
    <w:p w14:paraId="25907282" w14:textId="77777777" w:rsidR="009C6D01" w:rsidRDefault="009C6D01" w:rsidP="001628BE">
      <w:pPr>
        <w:rPr>
          <w:rFonts w:ascii="Arial" w:hAnsi="Arial" w:cs="Arial"/>
          <w:color w:val="000000" w:themeColor="text1"/>
          <w:sz w:val="22"/>
          <w:szCs w:val="22"/>
          <w:highlight w:val="yellow"/>
        </w:rPr>
      </w:pPr>
    </w:p>
    <w:p w14:paraId="6FB2A6DE" w14:textId="77777777" w:rsidR="009C6D01" w:rsidRDefault="009C6D01" w:rsidP="001628BE">
      <w:pPr>
        <w:rPr>
          <w:rFonts w:ascii="Arial" w:hAnsi="Arial" w:cs="Arial"/>
          <w:color w:val="000000" w:themeColor="text1"/>
          <w:sz w:val="22"/>
          <w:szCs w:val="22"/>
          <w:highlight w:val="yellow"/>
        </w:rPr>
      </w:pPr>
    </w:p>
    <w:p w14:paraId="486E2365" w14:textId="77777777" w:rsidR="009C6D01" w:rsidRDefault="009C6D01" w:rsidP="001628BE">
      <w:pPr>
        <w:rPr>
          <w:rFonts w:ascii="Arial" w:hAnsi="Arial" w:cs="Arial"/>
          <w:color w:val="000000" w:themeColor="text1"/>
          <w:sz w:val="22"/>
          <w:szCs w:val="22"/>
          <w:highlight w:val="yellow"/>
        </w:rPr>
      </w:pPr>
    </w:p>
    <w:p w14:paraId="65E1E723" w14:textId="77777777" w:rsidR="009C6D01" w:rsidRDefault="009C6D01" w:rsidP="001628BE">
      <w:pPr>
        <w:rPr>
          <w:rFonts w:ascii="Arial" w:hAnsi="Arial" w:cs="Arial"/>
          <w:color w:val="000000" w:themeColor="text1"/>
          <w:sz w:val="22"/>
          <w:szCs w:val="22"/>
          <w:highlight w:val="yellow"/>
        </w:rPr>
      </w:pPr>
    </w:p>
    <w:p w14:paraId="43FF58C7" w14:textId="77777777" w:rsidR="009C6D01" w:rsidRDefault="009C6D01" w:rsidP="001628BE">
      <w:pPr>
        <w:rPr>
          <w:rFonts w:ascii="Arial" w:hAnsi="Arial" w:cs="Arial"/>
          <w:color w:val="000000" w:themeColor="text1"/>
          <w:sz w:val="22"/>
          <w:szCs w:val="22"/>
          <w:highlight w:val="yellow"/>
        </w:rPr>
      </w:pPr>
    </w:p>
    <w:p w14:paraId="017B8818" w14:textId="4D0894FB" w:rsidR="009C6D01" w:rsidRPr="00A53F25" w:rsidRDefault="009C6D01" w:rsidP="009C6D01">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w:t>
      </w:r>
      <w:r>
        <w:rPr>
          <w:rFonts w:ascii="Arial" w:hAnsi="Arial" w:cs="Arial"/>
          <w:b/>
          <w:bCs/>
          <w:color w:val="000000" w:themeColor="text1"/>
          <w:sz w:val="18"/>
          <w:szCs w:val="18"/>
        </w:rPr>
        <w:t>3</w:t>
      </w:r>
      <w:r w:rsidRPr="00A53F25">
        <w:rPr>
          <w:rFonts w:ascii="Arial" w:hAnsi="Arial" w:cs="Arial"/>
          <w:b/>
          <w:bCs/>
          <w:color w:val="000000" w:themeColor="text1"/>
          <w:sz w:val="18"/>
          <w:szCs w:val="18"/>
        </w:rPr>
        <w:t xml:space="preserve"> | </w:t>
      </w:r>
      <w:r>
        <w:rPr>
          <w:rFonts w:ascii="Arial" w:hAnsi="Arial" w:cs="Arial"/>
          <w:b/>
          <w:bCs/>
          <w:color w:val="000000" w:themeColor="text1"/>
          <w:sz w:val="18"/>
          <w:szCs w:val="18"/>
        </w:rPr>
        <w:t>Variance in product specific heat ratio, pressure, and temperature as a function of composition and reactant feed condition</w:t>
      </w:r>
    </w:p>
    <w:p w14:paraId="5E01A45C" w14:textId="77777777" w:rsidR="009C6D01" w:rsidRDefault="009C6D01" w:rsidP="009C6D01">
      <w:pPr>
        <w:jc w:val="center"/>
        <w:rPr>
          <w:rFonts w:ascii="Arial" w:hAnsi="Arial" w:cs="Arial"/>
          <w:color w:val="000000" w:themeColor="text1"/>
          <w:sz w:val="22"/>
          <w:szCs w:val="22"/>
          <w:highlight w:val="yellow"/>
        </w:rPr>
      </w:pPr>
    </w:p>
    <w:p w14:paraId="7C71033C" w14:textId="169607D1" w:rsidR="00464D27" w:rsidRDefault="002149C1" w:rsidP="002149C1">
      <w:pPr>
        <w:jc w:val="both"/>
        <w:rPr>
          <w:rFonts w:ascii="Arial" w:hAnsi="Arial" w:cs="Arial"/>
          <w:color w:val="000000" w:themeColor="text1"/>
          <w:sz w:val="22"/>
          <w:szCs w:val="22"/>
        </w:rPr>
      </w:pPr>
      <w:r w:rsidRPr="002149C1">
        <w:rPr>
          <w:rFonts w:ascii="Arial" w:hAnsi="Arial" w:cs="Arial"/>
          <w:color w:val="000000" w:themeColor="text1"/>
          <w:sz w:val="22"/>
          <w:szCs w:val="22"/>
        </w:rPr>
        <w:t>As</w:t>
      </w:r>
      <w:r>
        <w:rPr>
          <w:rFonts w:ascii="Arial" w:hAnsi="Arial" w:cs="Arial"/>
          <w:color w:val="000000" w:themeColor="text1"/>
          <w:sz w:val="22"/>
          <w:szCs w:val="22"/>
        </w:rPr>
        <w:t xml:space="preserve"> expected, the pressure and temperature are elevated within the detonation of the reactant mixture which enters at 5</w:t>
      </w:r>
      <w:r w:rsidR="006665AF">
        <w:rPr>
          <w:rFonts w:ascii="Arial" w:hAnsi="Arial" w:cs="Arial"/>
          <w:color w:val="000000" w:themeColor="text1"/>
          <w:sz w:val="22"/>
          <w:szCs w:val="22"/>
        </w:rPr>
        <w:t xml:space="preserve"> atm, with an extremely dramatic increase in pressure downstream from the reaction. This is understandable given the dependence of autoignition reaction upon temperature: when initial pressure is higher, pressure must increase dramatically to reach a temperature capable of sustaining rapid combustion reaction, here reaching a peak of over 80 atm.</w:t>
      </w:r>
      <w:r w:rsidR="00464D27">
        <w:rPr>
          <w:rFonts w:ascii="Arial" w:hAnsi="Arial" w:cs="Arial"/>
          <w:color w:val="000000" w:themeColor="text1"/>
          <w:sz w:val="22"/>
          <w:szCs w:val="22"/>
        </w:rPr>
        <w:t xml:space="preserve"> Pressure remains lower when the reaction mixture enters at 600 K for a similar reason: reactant pressure must increase to a lesser degree to initiate rapid combustion.</w:t>
      </w:r>
    </w:p>
    <w:p w14:paraId="30070AD7" w14:textId="1937B42D" w:rsidR="006665AF" w:rsidRDefault="006665AF" w:rsidP="002149C1">
      <w:pPr>
        <w:jc w:val="both"/>
        <w:rPr>
          <w:rFonts w:ascii="Arial" w:hAnsi="Arial" w:cs="Arial"/>
          <w:color w:val="000000" w:themeColor="text1"/>
          <w:sz w:val="22"/>
          <w:szCs w:val="22"/>
        </w:rPr>
      </w:pPr>
    </w:p>
    <w:p w14:paraId="0907D334" w14:textId="09FC2178" w:rsidR="006665AF" w:rsidRDefault="00464D27" w:rsidP="002149C1">
      <w:pPr>
        <w:jc w:val="both"/>
        <w:rPr>
          <w:rFonts w:ascii="Arial" w:hAnsi="Arial" w:cs="Arial"/>
          <w:color w:val="000000" w:themeColor="text1"/>
          <w:sz w:val="22"/>
          <w:szCs w:val="22"/>
        </w:rPr>
      </w:pPr>
      <w:r>
        <w:rPr>
          <w:rFonts w:ascii="Arial" w:hAnsi="Arial" w:cs="Arial"/>
          <w:color w:val="000000" w:themeColor="text1"/>
          <w:sz w:val="22"/>
          <w:szCs w:val="22"/>
        </w:rPr>
        <w:t>[specific heat ratio]</w:t>
      </w:r>
    </w:p>
    <w:p w14:paraId="289CB1D7" w14:textId="1E5F5641" w:rsidR="00464D27" w:rsidRDefault="00464D27" w:rsidP="002149C1">
      <w:pPr>
        <w:jc w:val="both"/>
        <w:rPr>
          <w:rFonts w:ascii="Arial" w:hAnsi="Arial" w:cs="Arial"/>
          <w:color w:val="000000" w:themeColor="text1"/>
          <w:sz w:val="22"/>
          <w:szCs w:val="22"/>
        </w:rPr>
      </w:pPr>
    </w:p>
    <w:p w14:paraId="4EA703F0" w14:textId="086E8E2F" w:rsidR="008D4BF5" w:rsidRDefault="00464D27" w:rsidP="008D4BF5">
      <w:pPr>
        <w:jc w:val="both"/>
        <w:rPr>
          <w:rFonts w:ascii="Arial" w:hAnsi="Arial" w:cs="Arial"/>
          <w:color w:val="000000" w:themeColor="text1"/>
          <w:sz w:val="22"/>
          <w:szCs w:val="22"/>
        </w:rPr>
      </w:pPr>
      <w:r>
        <w:rPr>
          <w:rFonts w:ascii="Arial" w:hAnsi="Arial" w:cs="Arial"/>
          <w:color w:val="000000" w:themeColor="text1"/>
          <w:sz w:val="22"/>
          <w:szCs w:val="22"/>
        </w:rPr>
        <w:t>Finally, temperature follows a similar trend to that seen for detonation speed, with temperature reaching a maximum near 4 mol% propane and decreasing as the composition approaches the lean and rich detonation limits. However, for the reactant mixture that enter</w:t>
      </w:r>
      <w:r w:rsidR="003F0395">
        <w:rPr>
          <w:rFonts w:ascii="Arial" w:hAnsi="Arial" w:cs="Arial"/>
          <w:color w:val="000000" w:themeColor="text1"/>
          <w:sz w:val="22"/>
          <w:szCs w:val="22"/>
        </w:rPr>
        <w:t>s the detonation at elevated temperature,</w:t>
      </w:r>
      <w:r w:rsidR="006915FF">
        <w:rPr>
          <w:rFonts w:ascii="Arial" w:hAnsi="Arial" w:cs="Arial"/>
          <w:color w:val="000000" w:themeColor="text1"/>
          <w:sz w:val="22"/>
          <w:szCs w:val="22"/>
        </w:rPr>
        <w:t xml:space="preserve"> with T</w:t>
      </w:r>
      <w:r w:rsidR="006915FF">
        <w:rPr>
          <w:rFonts w:ascii="Arial" w:hAnsi="Arial" w:cs="Arial"/>
          <w:color w:val="000000" w:themeColor="text1"/>
          <w:sz w:val="22"/>
          <w:szCs w:val="22"/>
          <w:vertAlign w:val="subscript"/>
        </w:rPr>
        <w:t>0</w:t>
      </w:r>
      <w:r w:rsidR="006915FF">
        <w:rPr>
          <w:rFonts w:ascii="Arial" w:hAnsi="Arial" w:cs="Arial"/>
          <w:color w:val="000000" w:themeColor="text1"/>
          <w:sz w:val="22"/>
          <w:szCs w:val="22"/>
        </w:rPr>
        <w:t xml:space="preserve"> =</w:t>
      </w:r>
      <w:r w:rsidR="003F0395">
        <w:rPr>
          <w:rFonts w:ascii="Arial" w:hAnsi="Arial" w:cs="Arial"/>
          <w:color w:val="000000" w:themeColor="text1"/>
          <w:sz w:val="22"/>
          <w:szCs w:val="22"/>
        </w:rPr>
        <w:t xml:space="preserve"> 600 K, outlet temperature is correspondingly higher. </w:t>
      </w:r>
      <w:r w:rsidR="006915FF">
        <w:rPr>
          <w:rFonts w:ascii="Arial" w:hAnsi="Arial" w:cs="Arial"/>
          <w:color w:val="000000" w:themeColor="text1"/>
          <w:sz w:val="22"/>
          <w:szCs w:val="22"/>
        </w:rPr>
        <w:t>The same detonation speed trend is again seen for this reaction mixture, where higher entrance pressure triggers a higher peak detonation product temperature.</w:t>
      </w:r>
    </w:p>
    <w:p w14:paraId="1451468B" w14:textId="0D0BEF15" w:rsidR="008D4BF5" w:rsidRDefault="008D4BF5" w:rsidP="008D4BF5">
      <w:pPr>
        <w:jc w:val="both"/>
        <w:rPr>
          <w:rFonts w:ascii="Arial" w:hAnsi="Arial" w:cs="Arial"/>
          <w:color w:val="000000" w:themeColor="text1"/>
          <w:sz w:val="22"/>
          <w:szCs w:val="22"/>
        </w:rPr>
      </w:pPr>
    </w:p>
    <w:p w14:paraId="1DDFAF07" w14:textId="38380910" w:rsidR="008D4BF5" w:rsidRDefault="008D4BF5"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It is also worth investigating the autoignition delays at the lean and rich detonation limits </w:t>
      </w:r>
      <w:r w:rsidR="00B64FAE">
        <w:rPr>
          <w:rFonts w:ascii="Arial" w:hAnsi="Arial" w:cs="Arial"/>
          <w:color w:val="000000" w:themeColor="text1"/>
          <w:sz w:val="22"/>
          <w:szCs w:val="22"/>
        </w:rPr>
        <w:t xml:space="preserve">for propane-air </w:t>
      </w:r>
      <w:r>
        <w:rPr>
          <w:rFonts w:ascii="Arial" w:hAnsi="Arial" w:cs="Arial"/>
          <w:color w:val="000000" w:themeColor="text1"/>
          <w:sz w:val="22"/>
          <w:szCs w:val="22"/>
        </w:rPr>
        <w:t xml:space="preserve">at an initial temperature of 300 K and initial pressure of 100 kPa. </w:t>
      </w:r>
      <w:r w:rsidR="00B64FAE">
        <w:rPr>
          <w:rFonts w:ascii="Arial" w:hAnsi="Arial" w:cs="Arial"/>
          <w:color w:val="000000" w:themeColor="text1"/>
          <w:sz w:val="22"/>
          <w:szCs w:val="22"/>
        </w:rPr>
        <w:t xml:space="preserve">For these initial conditions, experimental data reports that the lean and rich detonation limits are 2.2 mol% and 9.2 mol% propane, respectively. </w:t>
      </w:r>
    </w:p>
    <w:p w14:paraId="58C081BA" w14:textId="6C3DB162" w:rsidR="00B64FAE" w:rsidRDefault="00B64FAE" w:rsidP="008D4BF5">
      <w:pPr>
        <w:jc w:val="both"/>
        <w:rPr>
          <w:rFonts w:ascii="Arial" w:hAnsi="Arial" w:cs="Arial"/>
          <w:color w:val="000000" w:themeColor="text1"/>
          <w:sz w:val="22"/>
          <w:szCs w:val="22"/>
        </w:rPr>
      </w:pPr>
    </w:p>
    <w:p w14:paraId="15CADD43" w14:textId="47A9E6AB" w:rsidR="00B64FAE" w:rsidRDefault="00B64FAE"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The autoignition delay was performed as indicated in the Methods section, where a </w:t>
      </w:r>
      <w:r w:rsidR="00DD21FF">
        <w:rPr>
          <w:rFonts w:ascii="Arial" w:hAnsi="Arial" w:cs="Arial"/>
          <w:color w:val="000000" w:themeColor="text1"/>
          <w:sz w:val="22"/>
          <w:szCs w:val="22"/>
        </w:rPr>
        <w:t xml:space="preserve">constant pressure </w:t>
      </w:r>
      <w:r>
        <w:rPr>
          <w:rFonts w:ascii="Arial" w:hAnsi="Arial" w:cs="Arial"/>
          <w:color w:val="000000" w:themeColor="text1"/>
          <w:sz w:val="22"/>
          <w:szCs w:val="22"/>
        </w:rPr>
        <w:t xml:space="preserve">PFR was loaded with a Cantera gas mixture and the reactor was advanced through time using the GRI-30 mechanism until a rapid temperature increase occurred (here, evaluated as a temperature rise of 150 K over inlet conditions). The time at which this temperature increase occurs is considered the autoignition time. The time step for this iteration may be iteratively adjusted until </w:t>
      </w:r>
      <w:r w:rsidR="00504B65">
        <w:rPr>
          <w:rFonts w:ascii="Arial" w:hAnsi="Arial" w:cs="Arial"/>
          <w:color w:val="000000" w:themeColor="text1"/>
          <w:sz w:val="22"/>
          <w:szCs w:val="22"/>
        </w:rPr>
        <w:t>the magnitude of the timestep is much less than the induction period (</w:t>
      </w:r>
      <m:oMath>
        <m:r>
          <m:rPr>
            <m:sty m:val="p"/>
          </m:rPr>
          <w:rPr>
            <w:rFonts w:ascii="Cambria Math" w:hAnsi="Cambria Math" w:cs="Arial"/>
            <w:color w:val="000000" w:themeColor="text1"/>
            <w:sz w:val="22"/>
            <w:szCs w:val="22"/>
          </w:rPr>
          <m:t>Δ</m:t>
        </m:r>
        <m:r>
          <w:rPr>
            <w:rFonts w:ascii="Cambria Math" w:hAnsi="Cambria Math" w:cs="Arial"/>
            <w:color w:val="000000" w:themeColor="text1"/>
            <w:sz w:val="22"/>
            <w:szCs w:val="22"/>
          </w:rPr>
          <m:t>t≪</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t</m:t>
            </m:r>
          </m:e>
          <m:sub>
            <m:r>
              <w:rPr>
                <w:rFonts w:ascii="Cambria Math" w:hAnsi="Cambria Math" w:cs="Arial"/>
                <w:color w:val="000000" w:themeColor="text1"/>
                <w:sz w:val="22"/>
                <w:szCs w:val="22"/>
              </w:rPr>
              <m:t>ignition</m:t>
            </m:r>
          </m:sub>
        </m:sSub>
      </m:oMath>
      <w:r w:rsidR="00F86828">
        <w:rPr>
          <w:rFonts w:ascii="Arial" w:hAnsi="Arial" w:cs="Arial"/>
          <w:color w:val="000000" w:themeColor="text1"/>
          <w:sz w:val="22"/>
          <w:szCs w:val="22"/>
        </w:rPr>
        <w:t>) to ensure sufficient precision for autoignition measurement.</w:t>
      </w:r>
    </w:p>
    <w:p w14:paraId="5EFD5486" w14:textId="37A08B52" w:rsidR="00F86828" w:rsidRDefault="00F86828" w:rsidP="008D4BF5">
      <w:pPr>
        <w:jc w:val="both"/>
        <w:rPr>
          <w:rFonts w:ascii="Arial" w:hAnsi="Arial" w:cs="Arial"/>
          <w:color w:val="000000" w:themeColor="text1"/>
          <w:sz w:val="22"/>
          <w:szCs w:val="22"/>
        </w:rPr>
      </w:pPr>
    </w:p>
    <w:p w14:paraId="13DCC2BD" w14:textId="50C04DA3" w:rsidR="00F86828" w:rsidRPr="008909BF" w:rsidRDefault="00F86828" w:rsidP="00F86828">
      <w:pPr>
        <w:jc w:val="center"/>
        <w:rPr>
          <w:rFonts w:ascii="Arial" w:hAnsi="Arial" w:cs="Arial"/>
          <w:b/>
          <w:bCs/>
          <w:color w:val="000000" w:themeColor="text1"/>
          <w:sz w:val="22"/>
          <w:szCs w:val="22"/>
        </w:rPr>
      </w:pPr>
      <w:r w:rsidRPr="008909BF">
        <w:rPr>
          <w:rFonts w:ascii="Arial" w:hAnsi="Arial" w:cs="Arial"/>
          <w:b/>
          <w:bCs/>
          <w:color w:val="000000" w:themeColor="text1"/>
          <w:sz w:val="22"/>
          <w:szCs w:val="22"/>
        </w:rPr>
        <w:t xml:space="preserve">Table </w:t>
      </w:r>
      <w:r>
        <w:rPr>
          <w:rFonts w:ascii="Arial" w:hAnsi="Arial" w:cs="Arial"/>
          <w:b/>
          <w:bCs/>
          <w:color w:val="000000" w:themeColor="text1"/>
          <w:sz w:val="22"/>
          <w:szCs w:val="22"/>
        </w:rPr>
        <w:t>2</w:t>
      </w:r>
      <w:r w:rsidRPr="008909BF">
        <w:rPr>
          <w:rFonts w:ascii="Arial" w:hAnsi="Arial" w:cs="Arial"/>
          <w:b/>
          <w:bCs/>
          <w:color w:val="000000" w:themeColor="text1"/>
          <w:sz w:val="22"/>
          <w:szCs w:val="22"/>
        </w:rPr>
        <w:t xml:space="preserve"> | </w:t>
      </w:r>
      <w:r>
        <w:rPr>
          <w:rFonts w:ascii="Arial" w:hAnsi="Arial" w:cs="Arial"/>
          <w:b/>
          <w:bCs/>
          <w:color w:val="000000" w:themeColor="text1"/>
          <w:sz w:val="22"/>
          <w:szCs w:val="22"/>
        </w:rPr>
        <w:t>Autoinduction times for rich (9.2 mol%) and lean (2.2 mol%) detonation limits</w:t>
      </w:r>
    </w:p>
    <w:p w14:paraId="1727848F" w14:textId="77777777" w:rsidR="00F86828" w:rsidRPr="008909BF" w:rsidRDefault="00F86828" w:rsidP="00F86828">
      <w:pPr>
        <w:jc w:val="center"/>
        <w:rPr>
          <w:rFonts w:ascii="Arial" w:hAnsi="Arial" w:cs="Arial"/>
          <w:b/>
          <w:bCs/>
          <w:color w:val="000000" w:themeColor="text1"/>
          <w:sz w:val="4"/>
          <w:szCs w:val="4"/>
        </w:rPr>
      </w:pPr>
    </w:p>
    <w:tbl>
      <w:tblPr>
        <w:tblStyle w:val="TableGrid"/>
        <w:tblW w:w="9360" w:type="dxa"/>
        <w:tblLook w:val="04A0" w:firstRow="1" w:lastRow="0" w:firstColumn="1" w:lastColumn="0" w:noHBand="0" w:noVBand="1"/>
      </w:tblPr>
      <w:tblGrid>
        <w:gridCol w:w="3060"/>
        <w:gridCol w:w="1755"/>
        <w:gridCol w:w="1755"/>
        <w:gridCol w:w="2790"/>
      </w:tblGrid>
      <w:tr w:rsidR="00F86828" w:rsidRPr="008909BF" w14:paraId="5AC244C6" w14:textId="77777777" w:rsidTr="00E102EF">
        <w:trPr>
          <w:trHeight w:val="432"/>
        </w:trPr>
        <w:tc>
          <w:tcPr>
            <w:tcW w:w="3060" w:type="dxa"/>
            <w:tcBorders>
              <w:top w:val="single" w:sz="18" w:space="0" w:color="000000"/>
              <w:left w:val="nil"/>
              <w:bottom w:val="single" w:sz="18" w:space="0" w:color="000000"/>
              <w:right w:val="nil"/>
            </w:tcBorders>
            <w:vAlign w:val="center"/>
          </w:tcPr>
          <w:p w14:paraId="621528C1" w14:textId="77777777" w:rsidR="00F86828" w:rsidRPr="00D15E89" w:rsidRDefault="00F86828" w:rsidP="001E1092">
            <w:pPr>
              <w:jc w:val="center"/>
              <w:rPr>
                <w:rFonts w:ascii="Arial" w:hAnsi="Arial" w:cs="Arial"/>
                <w:b/>
                <w:bCs/>
                <w:color w:val="000000" w:themeColor="text1"/>
                <w:sz w:val="4"/>
                <w:szCs w:val="4"/>
              </w:rPr>
            </w:pPr>
          </w:p>
          <w:p w14:paraId="60C966E7" w14:textId="1B744B03"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Concentration (mol%)</w:t>
            </w:r>
          </w:p>
        </w:tc>
        <w:tc>
          <w:tcPr>
            <w:tcW w:w="1755" w:type="dxa"/>
            <w:tcBorders>
              <w:top w:val="single" w:sz="18" w:space="0" w:color="000000"/>
              <w:left w:val="nil"/>
              <w:bottom w:val="single" w:sz="18" w:space="0" w:color="000000"/>
              <w:right w:val="nil"/>
            </w:tcBorders>
            <w:vAlign w:val="center"/>
          </w:tcPr>
          <w:p w14:paraId="297D9040" w14:textId="6F43CCC5"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P (atm)</w:t>
            </w:r>
          </w:p>
        </w:tc>
        <w:tc>
          <w:tcPr>
            <w:tcW w:w="1755" w:type="dxa"/>
            <w:tcBorders>
              <w:top w:val="single" w:sz="18" w:space="0" w:color="000000"/>
              <w:left w:val="nil"/>
              <w:bottom w:val="single" w:sz="18" w:space="0" w:color="000000"/>
              <w:right w:val="nil"/>
            </w:tcBorders>
            <w:vAlign w:val="center"/>
          </w:tcPr>
          <w:p w14:paraId="5113A30B" w14:textId="76860B91"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T (K)</w:t>
            </w:r>
          </w:p>
        </w:tc>
        <w:tc>
          <w:tcPr>
            <w:tcW w:w="2790" w:type="dxa"/>
            <w:tcBorders>
              <w:top w:val="single" w:sz="18" w:space="0" w:color="000000"/>
              <w:left w:val="nil"/>
              <w:bottom w:val="single" w:sz="18" w:space="0" w:color="000000"/>
              <w:right w:val="nil"/>
            </w:tcBorders>
            <w:vAlign w:val="center"/>
          </w:tcPr>
          <w:p w14:paraId="7962B4E2" w14:textId="221BCA31" w:rsidR="00F86828"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Induction Delay (s)</w:t>
            </w:r>
          </w:p>
        </w:tc>
      </w:tr>
      <w:tr w:rsidR="00F86828" w:rsidRPr="008909BF" w14:paraId="40173F21" w14:textId="77777777" w:rsidTr="00E102EF">
        <w:trPr>
          <w:trHeight w:val="432"/>
        </w:trPr>
        <w:tc>
          <w:tcPr>
            <w:tcW w:w="3060" w:type="dxa"/>
            <w:tcBorders>
              <w:top w:val="single" w:sz="18" w:space="0" w:color="000000"/>
              <w:left w:val="nil"/>
              <w:right w:val="nil"/>
            </w:tcBorders>
            <w:vAlign w:val="center"/>
          </w:tcPr>
          <w:p w14:paraId="69D557BD" w14:textId="690EA25D"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9.2 mol% (rich limit)</w:t>
            </w:r>
          </w:p>
        </w:tc>
        <w:tc>
          <w:tcPr>
            <w:tcW w:w="1755" w:type="dxa"/>
            <w:tcBorders>
              <w:top w:val="single" w:sz="18" w:space="0" w:color="000000"/>
              <w:left w:val="nil"/>
              <w:right w:val="nil"/>
            </w:tcBorders>
            <w:vAlign w:val="center"/>
          </w:tcPr>
          <w:p w14:paraId="3893D882" w14:textId="53410374"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30.15</w:t>
            </w:r>
          </w:p>
        </w:tc>
        <w:tc>
          <w:tcPr>
            <w:tcW w:w="1755" w:type="dxa"/>
            <w:tcBorders>
              <w:top w:val="single" w:sz="18" w:space="0" w:color="000000"/>
              <w:left w:val="nil"/>
              <w:right w:val="nil"/>
            </w:tcBorders>
            <w:vAlign w:val="center"/>
          </w:tcPr>
          <w:p w14:paraId="1AE5CDD1" w14:textId="7BC4CDFC"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280</w:t>
            </w:r>
          </w:p>
        </w:tc>
        <w:tc>
          <w:tcPr>
            <w:tcW w:w="2790" w:type="dxa"/>
            <w:tcBorders>
              <w:top w:val="single" w:sz="18" w:space="0" w:color="000000"/>
              <w:left w:val="nil"/>
              <w:right w:val="nil"/>
            </w:tcBorders>
            <w:vAlign w:val="center"/>
          </w:tcPr>
          <w:p w14:paraId="7D15958D" w14:textId="3F0A8DA2" w:rsidR="00F86828" w:rsidRPr="00E102EF" w:rsidRDefault="00F86828" w:rsidP="001E1092">
            <w:pPr>
              <w:jc w:val="center"/>
              <w:rPr>
                <w:rFonts w:ascii="Arial" w:hAnsi="Arial" w:cs="Arial"/>
                <w:color w:val="000000" w:themeColor="text1"/>
                <w:sz w:val="22"/>
                <w:szCs w:val="22"/>
                <w:vertAlign w:val="superscript"/>
              </w:rPr>
            </w:pPr>
            <w:r>
              <w:rPr>
                <w:rFonts w:ascii="Arial" w:hAnsi="Arial" w:cs="Arial"/>
                <w:color w:val="000000" w:themeColor="text1"/>
                <w:sz w:val="22"/>
                <w:szCs w:val="22"/>
              </w:rPr>
              <w:t>2</w:t>
            </w:r>
            <w:r w:rsidR="00E102EF">
              <w:rPr>
                <w:rFonts w:ascii="Arial" w:hAnsi="Arial" w:cs="Arial"/>
                <w:color w:val="000000" w:themeColor="text1"/>
                <w:sz w:val="22"/>
                <w:szCs w:val="22"/>
              </w:rPr>
              <w:t>.</w:t>
            </w:r>
            <w:r>
              <w:rPr>
                <w:rFonts w:ascii="Arial" w:hAnsi="Arial" w:cs="Arial"/>
                <w:color w:val="000000" w:themeColor="text1"/>
                <w:sz w:val="22"/>
                <w:szCs w:val="22"/>
              </w:rPr>
              <w:t>13</w:t>
            </w:r>
            <w:r w:rsidR="00E102EF">
              <w:rPr>
                <w:rFonts w:ascii="Arial" w:hAnsi="Arial" w:cs="Arial"/>
                <w:color w:val="000000" w:themeColor="text1"/>
                <w:sz w:val="22"/>
                <w:szCs w:val="22"/>
              </w:rPr>
              <w:t xml:space="preserve"> x 10</w:t>
            </w:r>
            <w:r w:rsidR="00E102EF">
              <w:rPr>
                <w:rFonts w:ascii="Arial" w:hAnsi="Arial" w:cs="Arial"/>
                <w:color w:val="000000" w:themeColor="text1"/>
                <w:sz w:val="22"/>
                <w:szCs w:val="22"/>
                <w:vertAlign w:val="superscript"/>
              </w:rPr>
              <w:t>4</w:t>
            </w:r>
          </w:p>
        </w:tc>
      </w:tr>
      <w:tr w:rsidR="00E102EF" w:rsidRPr="008909BF" w14:paraId="0293C6BC" w14:textId="77777777" w:rsidTr="00E102EF">
        <w:trPr>
          <w:trHeight w:val="432"/>
        </w:trPr>
        <w:tc>
          <w:tcPr>
            <w:tcW w:w="3060" w:type="dxa"/>
            <w:tcBorders>
              <w:left w:val="nil"/>
              <w:right w:val="nil"/>
            </w:tcBorders>
            <w:vAlign w:val="center"/>
          </w:tcPr>
          <w:p w14:paraId="6B4239C5" w14:textId="412E8AB0"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5 mol% (intermediate)</w:t>
            </w:r>
          </w:p>
        </w:tc>
        <w:tc>
          <w:tcPr>
            <w:tcW w:w="1755" w:type="dxa"/>
            <w:tcBorders>
              <w:left w:val="nil"/>
              <w:right w:val="nil"/>
            </w:tcBorders>
            <w:vAlign w:val="center"/>
          </w:tcPr>
          <w:p w14:paraId="66AF2A48" w14:textId="3EE90BDB"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35.13</w:t>
            </w:r>
          </w:p>
        </w:tc>
        <w:tc>
          <w:tcPr>
            <w:tcW w:w="1755" w:type="dxa"/>
            <w:tcBorders>
              <w:left w:val="nil"/>
              <w:right w:val="nil"/>
            </w:tcBorders>
            <w:vAlign w:val="center"/>
          </w:tcPr>
          <w:p w14:paraId="68F605C3" w14:textId="12CC4C5C"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1560</w:t>
            </w:r>
          </w:p>
        </w:tc>
        <w:tc>
          <w:tcPr>
            <w:tcW w:w="2790" w:type="dxa"/>
            <w:tcBorders>
              <w:left w:val="nil"/>
              <w:right w:val="nil"/>
            </w:tcBorders>
            <w:vAlign w:val="center"/>
          </w:tcPr>
          <w:p w14:paraId="4148027A" w14:textId="63C6499A" w:rsidR="00E102EF" w:rsidRPr="00E102EF" w:rsidRDefault="00E102EF" w:rsidP="001E1092">
            <w:pPr>
              <w:jc w:val="center"/>
              <w:rPr>
                <w:rFonts w:ascii="Arial" w:hAnsi="Arial" w:cs="Arial"/>
                <w:color w:val="000000" w:themeColor="text1"/>
                <w:sz w:val="22"/>
                <w:szCs w:val="22"/>
                <w:vertAlign w:val="superscript"/>
              </w:rPr>
            </w:pPr>
            <w:r>
              <w:rPr>
                <w:rFonts w:ascii="Arial" w:hAnsi="Arial" w:cs="Arial"/>
                <w:color w:val="000000" w:themeColor="text1"/>
                <w:sz w:val="22"/>
                <w:szCs w:val="22"/>
              </w:rPr>
              <w:t>4.83 x 10</w:t>
            </w:r>
            <w:r>
              <w:rPr>
                <w:rFonts w:ascii="Arial" w:hAnsi="Arial" w:cs="Arial"/>
                <w:color w:val="000000" w:themeColor="text1"/>
                <w:sz w:val="22"/>
                <w:szCs w:val="22"/>
                <w:vertAlign w:val="superscript"/>
              </w:rPr>
              <w:t>-6</w:t>
            </w:r>
          </w:p>
        </w:tc>
      </w:tr>
      <w:tr w:rsidR="00F86828" w:rsidRPr="008909BF" w14:paraId="2FCFD767" w14:textId="77777777" w:rsidTr="00E102EF">
        <w:trPr>
          <w:trHeight w:val="432"/>
        </w:trPr>
        <w:tc>
          <w:tcPr>
            <w:tcW w:w="3060" w:type="dxa"/>
            <w:tcBorders>
              <w:left w:val="nil"/>
              <w:right w:val="nil"/>
            </w:tcBorders>
            <w:vAlign w:val="center"/>
          </w:tcPr>
          <w:p w14:paraId="56DDA709" w14:textId="7AD1A91B"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2.2 mol% (lean limit)</w:t>
            </w:r>
          </w:p>
        </w:tc>
        <w:tc>
          <w:tcPr>
            <w:tcW w:w="1755" w:type="dxa"/>
            <w:tcBorders>
              <w:left w:val="nil"/>
              <w:right w:val="nil"/>
            </w:tcBorders>
            <w:vAlign w:val="center"/>
          </w:tcPr>
          <w:p w14:paraId="105DDA24" w14:textId="046C45F3" w:rsidR="00F86828" w:rsidRPr="008909BF" w:rsidRDefault="005A27E6" w:rsidP="001E1092">
            <w:pPr>
              <w:jc w:val="center"/>
              <w:rPr>
                <w:rFonts w:ascii="Arial" w:hAnsi="Arial" w:cs="Arial"/>
                <w:color w:val="000000" w:themeColor="text1"/>
                <w:sz w:val="22"/>
                <w:szCs w:val="22"/>
              </w:rPr>
            </w:pPr>
            <w:r>
              <w:rPr>
                <w:rFonts w:ascii="Arial" w:hAnsi="Arial" w:cs="Arial"/>
                <w:color w:val="000000" w:themeColor="text1"/>
                <w:sz w:val="22"/>
                <w:szCs w:val="22"/>
              </w:rPr>
              <w:t>23.50</w:t>
            </w:r>
          </w:p>
        </w:tc>
        <w:tc>
          <w:tcPr>
            <w:tcW w:w="1755" w:type="dxa"/>
            <w:tcBorders>
              <w:left w:val="nil"/>
              <w:right w:val="nil"/>
            </w:tcBorders>
            <w:vAlign w:val="center"/>
          </w:tcPr>
          <w:p w14:paraId="7B8650B2" w14:textId="7F314B80"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1</w:t>
            </w:r>
            <w:r w:rsidR="005A27E6">
              <w:rPr>
                <w:rFonts w:ascii="Arial" w:hAnsi="Arial" w:cs="Arial"/>
                <w:color w:val="000000" w:themeColor="text1"/>
                <w:sz w:val="22"/>
                <w:szCs w:val="22"/>
              </w:rPr>
              <w:t>266</w:t>
            </w:r>
          </w:p>
        </w:tc>
        <w:tc>
          <w:tcPr>
            <w:tcW w:w="2790" w:type="dxa"/>
            <w:tcBorders>
              <w:left w:val="nil"/>
              <w:right w:val="nil"/>
            </w:tcBorders>
            <w:vAlign w:val="center"/>
          </w:tcPr>
          <w:p w14:paraId="6AD2B0A7" w14:textId="0B5EE9D3" w:rsidR="00F86828"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69</w:t>
            </w:r>
            <w:r>
              <w:rPr>
                <w:rFonts w:ascii="Arial" w:hAnsi="Arial" w:cs="Arial"/>
                <w:color w:val="000000" w:themeColor="text1"/>
                <w:sz w:val="22"/>
                <w:szCs w:val="22"/>
              </w:rPr>
              <w:t xml:space="preserve"> x 10</w:t>
            </w:r>
            <w:r>
              <w:rPr>
                <w:rFonts w:ascii="Arial" w:hAnsi="Arial" w:cs="Arial"/>
                <w:color w:val="000000" w:themeColor="text1"/>
                <w:sz w:val="22"/>
                <w:szCs w:val="22"/>
                <w:vertAlign w:val="superscript"/>
              </w:rPr>
              <w:t>4</w:t>
            </w:r>
          </w:p>
        </w:tc>
      </w:tr>
    </w:tbl>
    <w:p w14:paraId="250D9F2F" w14:textId="6B5803F7" w:rsidR="00F86828" w:rsidRDefault="00F86828" w:rsidP="008D4BF5">
      <w:pPr>
        <w:jc w:val="both"/>
        <w:rPr>
          <w:rFonts w:ascii="Arial" w:hAnsi="Arial" w:cs="Arial"/>
          <w:color w:val="000000" w:themeColor="text1"/>
          <w:sz w:val="22"/>
          <w:szCs w:val="22"/>
        </w:rPr>
      </w:pPr>
    </w:p>
    <w:p w14:paraId="2A9D1ADC" w14:textId="5C031B84" w:rsidR="003F4AFF" w:rsidRDefault="00E102EF"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The rich and lean detonation limits signify the molar concentrations past which detonation can no longer occur, instead favoring deflagration. </w:t>
      </w:r>
      <w:r w:rsidR="00DD21FF">
        <w:rPr>
          <w:rFonts w:ascii="Arial" w:hAnsi="Arial" w:cs="Arial"/>
          <w:color w:val="000000" w:themeColor="text1"/>
          <w:sz w:val="22"/>
          <w:szCs w:val="22"/>
        </w:rPr>
        <w:t xml:space="preserve">This is evident when comparing the rich and lean limit autoignition time to the autoignition period for an intermediate composition value. The time delay is on the order of 100 times larger at the lean and rich detonation limits, supporting the experimental observation that sustained, steady detonation is unfavorable past these limits. </w:t>
      </w:r>
    </w:p>
    <w:p w14:paraId="7E437848" w14:textId="7D6A607B" w:rsidR="00DD21FF" w:rsidRDefault="00DD21FF" w:rsidP="008D4BF5">
      <w:pPr>
        <w:jc w:val="both"/>
        <w:rPr>
          <w:rFonts w:ascii="Arial" w:hAnsi="Arial" w:cs="Arial"/>
          <w:color w:val="000000" w:themeColor="text1"/>
          <w:sz w:val="22"/>
          <w:szCs w:val="22"/>
        </w:rPr>
      </w:pPr>
    </w:p>
    <w:p w14:paraId="75045879" w14:textId="1857B558" w:rsidR="00DD21FF" w:rsidRPr="008D4BF5" w:rsidRDefault="00DD21FF"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This has important implications for future development of detonation-driven combustion engines, where some fuel mixtures that may be favorable with other engine configurations are no longer feasible when detonation is desired. </w:t>
      </w:r>
      <w:r w:rsidR="00B87642">
        <w:rPr>
          <w:rFonts w:ascii="Arial" w:hAnsi="Arial" w:cs="Arial"/>
          <w:color w:val="000000" w:themeColor="text1"/>
          <w:sz w:val="22"/>
          <w:szCs w:val="22"/>
        </w:rPr>
        <w:t>This analysis is a necessity when assessing the feasibility of premixed fuel-air mixtures at the running pressure of a detonation engine or any detonation-driven process. Simplified, zero-dimensional calculations such as those shown above form a convenient complement with more intensive multi-dimensional direct numerical simulation methods when performing any rigorous combustion analysis.</w:t>
      </w:r>
    </w:p>
    <w:p w14:paraId="7DD00BC8" w14:textId="77777777" w:rsidR="006B661A" w:rsidRPr="00924139" w:rsidRDefault="006B661A" w:rsidP="004F4C33">
      <w:pPr>
        <w:rPr>
          <w:rFonts w:ascii="Arial" w:hAnsi="Arial" w:cs="Arial"/>
          <w:color w:val="000000" w:themeColor="text1"/>
          <w:sz w:val="22"/>
          <w:szCs w:val="22"/>
          <w:highlight w:val="yellow"/>
        </w:rPr>
      </w:pPr>
    </w:p>
    <w:p w14:paraId="2D18F46E" w14:textId="7C0DB591" w:rsidR="004F4C33" w:rsidRPr="00FB1BF7" w:rsidRDefault="004F4C33" w:rsidP="004F4C33">
      <w:pPr>
        <w:rPr>
          <w:rFonts w:ascii="Arial" w:hAnsi="Arial" w:cs="Arial"/>
          <w:i/>
          <w:iCs/>
          <w:color w:val="000000" w:themeColor="text1"/>
          <w:sz w:val="22"/>
          <w:szCs w:val="22"/>
          <w:u w:val="single"/>
        </w:rPr>
      </w:pPr>
      <w:r w:rsidRPr="00FB1BF7">
        <w:rPr>
          <w:rFonts w:ascii="Arial" w:hAnsi="Arial" w:cs="Arial"/>
          <w:i/>
          <w:iCs/>
          <w:color w:val="000000" w:themeColor="text1"/>
          <w:sz w:val="22"/>
          <w:szCs w:val="22"/>
          <w:u w:val="single"/>
        </w:rPr>
        <w:t>D. Summary and Conclusion</w:t>
      </w:r>
    </w:p>
    <w:p w14:paraId="72AEF84B" w14:textId="1B72EFAF" w:rsidR="00DE7930" w:rsidRPr="00FB1BF7" w:rsidRDefault="00FB1BF7" w:rsidP="00744A56">
      <w:pPr>
        <w:tabs>
          <w:tab w:val="left" w:pos="1605"/>
        </w:tabs>
        <w:jc w:val="both"/>
        <w:rPr>
          <w:rFonts w:ascii="Arial" w:hAnsi="Arial" w:cs="Arial"/>
          <w:color w:val="000000" w:themeColor="text1"/>
          <w:sz w:val="22"/>
          <w:szCs w:val="22"/>
        </w:rPr>
      </w:pPr>
      <w:r>
        <w:rPr>
          <w:rFonts w:ascii="Arial" w:hAnsi="Arial" w:cs="Arial"/>
          <w:color w:val="000000" w:themeColor="text1"/>
          <w:sz w:val="22"/>
          <w:szCs w:val="22"/>
        </w:rPr>
        <w:t xml:space="preserve">Precise and accurate </w:t>
      </w:r>
      <w:r w:rsidR="00CE5B18">
        <w:rPr>
          <w:rFonts w:ascii="Arial" w:hAnsi="Arial" w:cs="Arial"/>
          <w:color w:val="000000" w:themeColor="text1"/>
          <w:sz w:val="22"/>
          <w:szCs w:val="22"/>
        </w:rPr>
        <w:t>one</w:t>
      </w:r>
      <w:r>
        <w:rPr>
          <w:rFonts w:ascii="Arial" w:hAnsi="Arial" w:cs="Arial"/>
          <w:color w:val="000000" w:themeColor="text1"/>
          <w:sz w:val="22"/>
          <w:szCs w:val="22"/>
        </w:rPr>
        <w:t xml:space="preserve">-dimensional analysis of detonation phenomena are increasing in importance as more effort goes into the next generation of detonation-driven combustion engines. Proper understanding of the theory surrounding premixed fuel-air detonation mechanics, </w:t>
      </w:r>
      <w:r>
        <w:rPr>
          <w:rFonts w:ascii="Arial" w:hAnsi="Arial" w:cs="Arial"/>
          <w:color w:val="000000" w:themeColor="text1"/>
          <w:sz w:val="22"/>
          <w:szCs w:val="22"/>
        </w:rPr>
        <w:lastRenderedPageBreak/>
        <w:t xml:space="preserve">including feasible fuel-air mixtures and the speed of product gases to provide engine impulse, will be essential to the development of efficient and effective detonation systems. Further analysis in this area will certainly rely not just upon complex direct numerical simulation </w:t>
      </w:r>
      <w:r w:rsidR="005B113C">
        <w:rPr>
          <w:rFonts w:ascii="Arial" w:hAnsi="Arial" w:cs="Arial"/>
          <w:color w:val="000000" w:themeColor="text1"/>
          <w:sz w:val="22"/>
          <w:szCs w:val="22"/>
        </w:rPr>
        <w:t>techniques, but also approximate and quick analyses that use first principles to estimate the performance of detonation systems.</w:t>
      </w:r>
    </w:p>
    <w:p w14:paraId="7684AB17" w14:textId="5AA481D2" w:rsidR="00F91302" w:rsidRPr="00FB1BF7" w:rsidRDefault="00F91302" w:rsidP="00DE7930">
      <w:pPr>
        <w:tabs>
          <w:tab w:val="left" w:pos="1605"/>
        </w:tabs>
        <w:rPr>
          <w:rFonts w:ascii="Arial" w:hAnsi="Arial" w:cs="Arial"/>
          <w:color w:val="000000" w:themeColor="text1"/>
          <w:sz w:val="22"/>
          <w:szCs w:val="22"/>
        </w:rPr>
      </w:pPr>
    </w:p>
    <w:p w14:paraId="741547DA" w14:textId="20E3078C" w:rsidR="00F91302" w:rsidRPr="00FB1BF7" w:rsidRDefault="00F91302" w:rsidP="00DE7930">
      <w:pPr>
        <w:tabs>
          <w:tab w:val="left" w:pos="1605"/>
        </w:tabs>
        <w:rPr>
          <w:rFonts w:ascii="Arial" w:hAnsi="Arial" w:cs="Arial"/>
          <w:i/>
          <w:iCs/>
          <w:color w:val="000000" w:themeColor="text1"/>
          <w:sz w:val="22"/>
          <w:szCs w:val="22"/>
          <w:u w:val="single"/>
        </w:rPr>
      </w:pPr>
      <w:r w:rsidRPr="00FB1BF7">
        <w:rPr>
          <w:rFonts w:ascii="Arial" w:hAnsi="Arial" w:cs="Arial"/>
          <w:i/>
          <w:iCs/>
          <w:color w:val="000000" w:themeColor="text1"/>
          <w:sz w:val="22"/>
          <w:szCs w:val="22"/>
          <w:u w:val="single"/>
        </w:rPr>
        <w:t>E. Appendix</w:t>
      </w:r>
    </w:p>
    <w:p w14:paraId="40A538A9" w14:textId="7DA0AA60" w:rsidR="00F91302" w:rsidRPr="00FB1BF7" w:rsidRDefault="00DB7119" w:rsidP="00DE7930">
      <w:pPr>
        <w:tabs>
          <w:tab w:val="left" w:pos="1605"/>
        </w:tabs>
        <w:rPr>
          <w:rFonts w:ascii="Arial" w:hAnsi="Arial" w:cs="Arial"/>
          <w:color w:val="000000" w:themeColor="text1"/>
          <w:sz w:val="22"/>
          <w:szCs w:val="22"/>
        </w:rPr>
      </w:pPr>
      <w:r w:rsidRPr="00FB1BF7">
        <w:rPr>
          <w:rFonts w:ascii="Arial" w:hAnsi="Arial" w:cs="Arial"/>
          <w:color w:val="000000" w:themeColor="text1"/>
          <w:sz w:val="22"/>
          <w:szCs w:val="22"/>
        </w:rPr>
        <w:t>Python-</w:t>
      </w:r>
      <w:r w:rsidR="00F91302" w:rsidRPr="00FB1BF7">
        <w:rPr>
          <w:rFonts w:ascii="Arial" w:hAnsi="Arial" w:cs="Arial"/>
          <w:color w:val="000000" w:themeColor="text1"/>
          <w:sz w:val="22"/>
          <w:szCs w:val="22"/>
        </w:rPr>
        <w:t>Cantera programs</w:t>
      </w:r>
      <w:r w:rsidR="00FB1BF7">
        <w:rPr>
          <w:rFonts w:ascii="Arial" w:hAnsi="Arial" w:cs="Arial"/>
          <w:color w:val="000000" w:themeColor="text1"/>
          <w:sz w:val="22"/>
          <w:szCs w:val="22"/>
        </w:rPr>
        <w:t xml:space="preserve">: </w:t>
      </w:r>
      <w:hyperlink r:id="rId11" w:history="1">
        <w:r w:rsidR="00FB1BF7" w:rsidRPr="00B11427">
          <w:rPr>
            <w:rStyle w:val="Hyperlink"/>
            <w:rFonts w:ascii="Arial" w:hAnsi="Arial" w:cs="Arial"/>
            <w:sz w:val="22"/>
            <w:szCs w:val="22"/>
          </w:rPr>
          <w:t>https://github.com/hankdikeman/CombustionProj3</w:t>
        </w:r>
      </w:hyperlink>
      <w:r w:rsidR="00FB1BF7">
        <w:rPr>
          <w:rFonts w:ascii="Arial" w:hAnsi="Arial" w:cs="Arial"/>
          <w:color w:val="000000" w:themeColor="text1"/>
          <w:sz w:val="22"/>
          <w:szCs w:val="22"/>
        </w:rPr>
        <w:t xml:space="preserve"> </w:t>
      </w:r>
      <w:r w:rsidR="00657F16" w:rsidRPr="00FB1BF7">
        <w:rPr>
          <w:rFonts w:ascii="Arial" w:hAnsi="Arial" w:cs="Arial"/>
          <w:color w:val="000000" w:themeColor="text1"/>
          <w:sz w:val="22"/>
          <w:szCs w:val="22"/>
        </w:rPr>
        <w:t xml:space="preserve"> </w:t>
      </w:r>
    </w:p>
    <w:p w14:paraId="04031E9C" w14:textId="5A5657E4" w:rsidR="00F91302" w:rsidRPr="00924139" w:rsidRDefault="00F91302" w:rsidP="00DE7930">
      <w:pPr>
        <w:tabs>
          <w:tab w:val="left" w:pos="1605"/>
        </w:tabs>
        <w:rPr>
          <w:rFonts w:ascii="Arial" w:hAnsi="Arial" w:cs="Arial"/>
          <w:color w:val="000000" w:themeColor="text1"/>
          <w:sz w:val="22"/>
          <w:szCs w:val="22"/>
        </w:rPr>
      </w:pPr>
      <w:r w:rsidRPr="00FB1BF7">
        <w:rPr>
          <w:rFonts w:ascii="Arial" w:hAnsi="Arial" w:cs="Arial"/>
          <w:color w:val="000000" w:themeColor="text1"/>
          <w:sz w:val="22"/>
          <w:szCs w:val="22"/>
        </w:rPr>
        <w:t>All graphs:</w:t>
      </w:r>
      <w:r w:rsidR="00FB1BF7" w:rsidRPr="00FB1BF7">
        <w:t xml:space="preserve"> </w:t>
      </w:r>
      <w:hyperlink r:id="rId12" w:history="1">
        <w:r w:rsidR="00FB1BF7" w:rsidRPr="00B11427">
          <w:rPr>
            <w:rStyle w:val="Hyperlink"/>
            <w:rFonts w:ascii="Arial" w:hAnsi="Arial" w:cs="Arial"/>
            <w:sz w:val="22"/>
            <w:szCs w:val="22"/>
          </w:rPr>
          <w:t>https://github.com/hankdikeman/CombustionProj3/tree/main/Figures</w:t>
        </w:r>
      </w:hyperlink>
      <w:r w:rsidR="00FB1BF7">
        <w:rPr>
          <w:rFonts w:ascii="Arial" w:hAnsi="Arial" w:cs="Arial"/>
          <w:color w:val="000000" w:themeColor="text1"/>
          <w:sz w:val="22"/>
          <w:szCs w:val="22"/>
        </w:rPr>
        <w:t xml:space="preserve"> </w:t>
      </w:r>
    </w:p>
    <w:sectPr w:rsidR="00F91302" w:rsidRPr="00924139" w:rsidSect="004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7CE"/>
    <w:multiLevelType w:val="hybridMultilevel"/>
    <w:tmpl w:val="867A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97EE1"/>
    <w:multiLevelType w:val="hybridMultilevel"/>
    <w:tmpl w:val="076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6496D"/>
    <w:multiLevelType w:val="hybridMultilevel"/>
    <w:tmpl w:val="F8521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509"/>
    <w:multiLevelType w:val="hybridMultilevel"/>
    <w:tmpl w:val="A6CED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33"/>
    <w:rsid w:val="000026EA"/>
    <w:rsid w:val="00004925"/>
    <w:rsid w:val="000155B7"/>
    <w:rsid w:val="00022B9E"/>
    <w:rsid w:val="00025A30"/>
    <w:rsid w:val="0004241B"/>
    <w:rsid w:val="0005228A"/>
    <w:rsid w:val="000559B3"/>
    <w:rsid w:val="00073512"/>
    <w:rsid w:val="00086E36"/>
    <w:rsid w:val="000B4933"/>
    <w:rsid w:val="000F7554"/>
    <w:rsid w:val="001103FC"/>
    <w:rsid w:val="00121D0A"/>
    <w:rsid w:val="001300BE"/>
    <w:rsid w:val="001628BE"/>
    <w:rsid w:val="00164CE9"/>
    <w:rsid w:val="00176118"/>
    <w:rsid w:val="00191FD8"/>
    <w:rsid w:val="0019589F"/>
    <w:rsid w:val="0019650D"/>
    <w:rsid w:val="00196CA0"/>
    <w:rsid w:val="001B72AA"/>
    <w:rsid w:val="001C1805"/>
    <w:rsid w:val="001D46B7"/>
    <w:rsid w:val="001D5CD7"/>
    <w:rsid w:val="001E1EE4"/>
    <w:rsid w:val="001F4C03"/>
    <w:rsid w:val="001F6D63"/>
    <w:rsid w:val="0020047C"/>
    <w:rsid w:val="002149C1"/>
    <w:rsid w:val="00214B59"/>
    <w:rsid w:val="00222843"/>
    <w:rsid w:val="00224BCB"/>
    <w:rsid w:val="00236B55"/>
    <w:rsid w:val="002558EF"/>
    <w:rsid w:val="0027267D"/>
    <w:rsid w:val="002926BE"/>
    <w:rsid w:val="002A0AB6"/>
    <w:rsid w:val="002C040C"/>
    <w:rsid w:val="002C30FE"/>
    <w:rsid w:val="002C76CD"/>
    <w:rsid w:val="002F520C"/>
    <w:rsid w:val="00303CAC"/>
    <w:rsid w:val="003074E4"/>
    <w:rsid w:val="00315E08"/>
    <w:rsid w:val="0031721C"/>
    <w:rsid w:val="00321776"/>
    <w:rsid w:val="0035353A"/>
    <w:rsid w:val="00364D9E"/>
    <w:rsid w:val="003660A1"/>
    <w:rsid w:val="0037317C"/>
    <w:rsid w:val="00376AB1"/>
    <w:rsid w:val="00385DBB"/>
    <w:rsid w:val="00386133"/>
    <w:rsid w:val="00396A82"/>
    <w:rsid w:val="003B3CE3"/>
    <w:rsid w:val="003B7635"/>
    <w:rsid w:val="003E4002"/>
    <w:rsid w:val="003F0395"/>
    <w:rsid w:val="003F4AFF"/>
    <w:rsid w:val="004003AA"/>
    <w:rsid w:val="0040086B"/>
    <w:rsid w:val="0042256A"/>
    <w:rsid w:val="00436497"/>
    <w:rsid w:val="00440150"/>
    <w:rsid w:val="0044395D"/>
    <w:rsid w:val="004466F7"/>
    <w:rsid w:val="00446996"/>
    <w:rsid w:val="00464D27"/>
    <w:rsid w:val="0047512D"/>
    <w:rsid w:val="00481F77"/>
    <w:rsid w:val="00483DAA"/>
    <w:rsid w:val="004B0228"/>
    <w:rsid w:val="004C37D7"/>
    <w:rsid w:val="004C6F83"/>
    <w:rsid w:val="004D04A2"/>
    <w:rsid w:val="004D1B6D"/>
    <w:rsid w:val="004D362D"/>
    <w:rsid w:val="004D55A6"/>
    <w:rsid w:val="004F4C33"/>
    <w:rsid w:val="004F4CFF"/>
    <w:rsid w:val="00504B65"/>
    <w:rsid w:val="0050519E"/>
    <w:rsid w:val="00537BCC"/>
    <w:rsid w:val="00574972"/>
    <w:rsid w:val="00592639"/>
    <w:rsid w:val="005A0CF3"/>
    <w:rsid w:val="005A27E6"/>
    <w:rsid w:val="005B113C"/>
    <w:rsid w:val="005B7C49"/>
    <w:rsid w:val="005F55AA"/>
    <w:rsid w:val="00602680"/>
    <w:rsid w:val="00625930"/>
    <w:rsid w:val="00626849"/>
    <w:rsid w:val="00640998"/>
    <w:rsid w:val="006478FF"/>
    <w:rsid w:val="006569F7"/>
    <w:rsid w:val="00657F16"/>
    <w:rsid w:val="006619D3"/>
    <w:rsid w:val="006665AF"/>
    <w:rsid w:val="006915FF"/>
    <w:rsid w:val="006B049D"/>
    <w:rsid w:val="006B661A"/>
    <w:rsid w:val="006C022B"/>
    <w:rsid w:val="006D2817"/>
    <w:rsid w:val="006D6DF5"/>
    <w:rsid w:val="006F0814"/>
    <w:rsid w:val="006F32B4"/>
    <w:rsid w:val="007115A2"/>
    <w:rsid w:val="00720137"/>
    <w:rsid w:val="0072118A"/>
    <w:rsid w:val="007401FA"/>
    <w:rsid w:val="00744A56"/>
    <w:rsid w:val="0075152D"/>
    <w:rsid w:val="0075738E"/>
    <w:rsid w:val="00797005"/>
    <w:rsid w:val="007B3CFC"/>
    <w:rsid w:val="007C39F5"/>
    <w:rsid w:val="007C6630"/>
    <w:rsid w:val="007E09EE"/>
    <w:rsid w:val="007E66FF"/>
    <w:rsid w:val="007F3999"/>
    <w:rsid w:val="00827410"/>
    <w:rsid w:val="00830952"/>
    <w:rsid w:val="00832D7F"/>
    <w:rsid w:val="00837C55"/>
    <w:rsid w:val="00853047"/>
    <w:rsid w:val="008826AF"/>
    <w:rsid w:val="00883367"/>
    <w:rsid w:val="008909BF"/>
    <w:rsid w:val="008A29F2"/>
    <w:rsid w:val="008A371F"/>
    <w:rsid w:val="008A6EC5"/>
    <w:rsid w:val="008B5565"/>
    <w:rsid w:val="008D4BF5"/>
    <w:rsid w:val="0090266C"/>
    <w:rsid w:val="00907F44"/>
    <w:rsid w:val="00924139"/>
    <w:rsid w:val="00935724"/>
    <w:rsid w:val="009532AD"/>
    <w:rsid w:val="009534F8"/>
    <w:rsid w:val="00995084"/>
    <w:rsid w:val="00995121"/>
    <w:rsid w:val="009956D4"/>
    <w:rsid w:val="009C6D01"/>
    <w:rsid w:val="009D6CE6"/>
    <w:rsid w:val="009F65B5"/>
    <w:rsid w:val="00A06C6F"/>
    <w:rsid w:val="00A1100A"/>
    <w:rsid w:val="00A139F2"/>
    <w:rsid w:val="00A14677"/>
    <w:rsid w:val="00A33463"/>
    <w:rsid w:val="00A53F25"/>
    <w:rsid w:val="00A56F60"/>
    <w:rsid w:val="00A6584E"/>
    <w:rsid w:val="00A73FE0"/>
    <w:rsid w:val="00A76835"/>
    <w:rsid w:val="00A852F5"/>
    <w:rsid w:val="00AE46D8"/>
    <w:rsid w:val="00AE5724"/>
    <w:rsid w:val="00AF6C8C"/>
    <w:rsid w:val="00B15EB1"/>
    <w:rsid w:val="00B262BA"/>
    <w:rsid w:val="00B32554"/>
    <w:rsid w:val="00B344E1"/>
    <w:rsid w:val="00B64FAE"/>
    <w:rsid w:val="00B72977"/>
    <w:rsid w:val="00B832FC"/>
    <w:rsid w:val="00B87642"/>
    <w:rsid w:val="00B909ED"/>
    <w:rsid w:val="00BA1C3E"/>
    <w:rsid w:val="00BB05A4"/>
    <w:rsid w:val="00BD78E0"/>
    <w:rsid w:val="00BE5D99"/>
    <w:rsid w:val="00BF1578"/>
    <w:rsid w:val="00C45B96"/>
    <w:rsid w:val="00C62B43"/>
    <w:rsid w:val="00C77C9A"/>
    <w:rsid w:val="00C82D3C"/>
    <w:rsid w:val="00C86D97"/>
    <w:rsid w:val="00CA5351"/>
    <w:rsid w:val="00CB46F8"/>
    <w:rsid w:val="00CB5AD6"/>
    <w:rsid w:val="00CC1DA7"/>
    <w:rsid w:val="00CC23B1"/>
    <w:rsid w:val="00CE0913"/>
    <w:rsid w:val="00CE118A"/>
    <w:rsid w:val="00CE5705"/>
    <w:rsid w:val="00CE5B18"/>
    <w:rsid w:val="00D13325"/>
    <w:rsid w:val="00D15E89"/>
    <w:rsid w:val="00D220FC"/>
    <w:rsid w:val="00D46B0C"/>
    <w:rsid w:val="00D52E39"/>
    <w:rsid w:val="00D531AF"/>
    <w:rsid w:val="00D54A8B"/>
    <w:rsid w:val="00D5648F"/>
    <w:rsid w:val="00D63B0F"/>
    <w:rsid w:val="00D74494"/>
    <w:rsid w:val="00D9154F"/>
    <w:rsid w:val="00DA2411"/>
    <w:rsid w:val="00DB7119"/>
    <w:rsid w:val="00DD0857"/>
    <w:rsid w:val="00DD21FF"/>
    <w:rsid w:val="00DD5C6A"/>
    <w:rsid w:val="00DE6AA6"/>
    <w:rsid w:val="00DE7930"/>
    <w:rsid w:val="00DF1361"/>
    <w:rsid w:val="00E020CD"/>
    <w:rsid w:val="00E064DC"/>
    <w:rsid w:val="00E102EF"/>
    <w:rsid w:val="00E1570F"/>
    <w:rsid w:val="00E165A1"/>
    <w:rsid w:val="00E303B0"/>
    <w:rsid w:val="00E37668"/>
    <w:rsid w:val="00E46216"/>
    <w:rsid w:val="00E46B96"/>
    <w:rsid w:val="00E540A5"/>
    <w:rsid w:val="00E7347F"/>
    <w:rsid w:val="00E77225"/>
    <w:rsid w:val="00E96BBC"/>
    <w:rsid w:val="00ED4047"/>
    <w:rsid w:val="00ED5072"/>
    <w:rsid w:val="00EE1562"/>
    <w:rsid w:val="00EF186C"/>
    <w:rsid w:val="00EF238A"/>
    <w:rsid w:val="00F07FBD"/>
    <w:rsid w:val="00F605EB"/>
    <w:rsid w:val="00F64C13"/>
    <w:rsid w:val="00F833F3"/>
    <w:rsid w:val="00F86828"/>
    <w:rsid w:val="00F91302"/>
    <w:rsid w:val="00FA17E7"/>
    <w:rsid w:val="00FB1BF7"/>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86E"/>
  <w14:defaultImageDpi w14:val="32767"/>
  <w15:chartTrackingRefBased/>
  <w15:docId w15:val="{64CE784A-DFEB-8540-AE20-5543697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1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3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F0814"/>
    <w:rPr>
      <w:color w:val="808080"/>
    </w:rPr>
  </w:style>
  <w:style w:type="table" w:styleId="TableGrid">
    <w:name w:val="Table Grid"/>
    <w:basedOn w:val="TableNormal"/>
    <w:uiPriority w:val="39"/>
    <w:rsid w:val="00A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02"/>
    <w:rPr>
      <w:color w:val="0563C1" w:themeColor="hyperlink"/>
      <w:u w:val="single"/>
    </w:rPr>
  </w:style>
  <w:style w:type="character" w:styleId="UnresolvedMention">
    <w:name w:val="Unresolved Mention"/>
    <w:basedOn w:val="DefaultParagraphFont"/>
    <w:uiPriority w:val="99"/>
    <w:rsid w:val="00F91302"/>
    <w:rPr>
      <w:color w:val="605E5C"/>
      <w:shd w:val="clear" w:color="auto" w:fill="E1DFDD"/>
    </w:rPr>
  </w:style>
  <w:style w:type="character" w:styleId="FollowedHyperlink">
    <w:name w:val="FollowedHyperlink"/>
    <w:basedOn w:val="DefaultParagraphFont"/>
    <w:uiPriority w:val="99"/>
    <w:semiHidden/>
    <w:unhideWhenUsed/>
    <w:rsid w:val="00F91302"/>
    <w:rPr>
      <w:color w:val="954F72" w:themeColor="followedHyperlink"/>
      <w:u w:val="single"/>
    </w:rPr>
  </w:style>
  <w:style w:type="character" w:customStyle="1" w:styleId="textlayer--absolute">
    <w:name w:val="textlayer--absolute"/>
    <w:basedOn w:val="DefaultParagraphFont"/>
    <w:rsid w:val="00FC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5331">
      <w:bodyDiv w:val="1"/>
      <w:marLeft w:val="0"/>
      <w:marRight w:val="0"/>
      <w:marTop w:val="0"/>
      <w:marBottom w:val="0"/>
      <w:divBdr>
        <w:top w:val="none" w:sz="0" w:space="0" w:color="auto"/>
        <w:left w:val="none" w:sz="0" w:space="0" w:color="auto"/>
        <w:bottom w:val="none" w:sz="0" w:space="0" w:color="auto"/>
        <w:right w:val="none" w:sz="0" w:space="0" w:color="auto"/>
      </w:divBdr>
    </w:div>
    <w:div w:id="474295135">
      <w:bodyDiv w:val="1"/>
      <w:marLeft w:val="0"/>
      <w:marRight w:val="0"/>
      <w:marTop w:val="0"/>
      <w:marBottom w:val="0"/>
      <w:divBdr>
        <w:top w:val="none" w:sz="0" w:space="0" w:color="auto"/>
        <w:left w:val="none" w:sz="0" w:space="0" w:color="auto"/>
        <w:bottom w:val="none" w:sz="0" w:space="0" w:color="auto"/>
        <w:right w:val="none" w:sz="0" w:space="0" w:color="auto"/>
      </w:divBdr>
    </w:div>
    <w:div w:id="934050439">
      <w:bodyDiv w:val="1"/>
      <w:marLeft w:val="0"/>
      <w:marRight w:val="0"/>
      <w:marTop w:val="0"/>
      <w:marBottom w:val="0"/>
      <w:divBdr>
        <w:top w:val="none" w:sz="0" w:space="0" w:color="auto"/>
        <w:left w:val="none" w:sz="0" w:space="0" w:color="auto"/>
        <w:bottom w:val="none" w:sz="0" w:space="0" w:color="auto"/>
        <w:right w:val="none" w:sz="0" w:space="0" w:color="auto"/>
      </w:divBdr>
      <w:divsChild>
        <w:div w:id="1854955214">
          <w:marLeft w:val="0"/>
          <w:marRight w:val="0"/>
          <w:marTop w:val="0"/>
          <w:marBottom w:val="0"/>
          <w:divBdr>
            <w:top w:val="none" w:sz="0" w:space="0" w:color="auto"/>
            <w:left w:val="none" w:sz="0" w:space="0" w:color="auto"/>
            <w:bottom w:val="none" w:sz="0" w:space="0" w:color="auto"/>
            <w:right w:val="none" w:sz="0" w:space="0" w:color="auto"/>
          </w:divBdr>
          <w:divsChild>
            <w:div w:id="993295899">
              <w:marLeft w:val="0"/>
              <w:marRight w:val="0"/>
              <w:marTop w:val="0"/>
              <w:marBottom w:val="0"/>
              <w:divBdr>
                <w:top w:val="none" w:sz="0" w:space="0" w:color="auto"/>
                <w:left w:val="none" w:sz="0" w:space="0" w:color="auto"/>
                <w:bottom w:val="none" w:sz="0" w:space="0" w:color="auto"/>
                <w:right w:val="none" w:sz="0" w:space="0" w:color="auto"/>
              </w:divBdr>
              <w:divsChild>
                <w:div w:id="86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hankdikeman/CombustionProj3/tree/main/Fig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ankdikeman/CombustionProj3" TargetMode="External"/><Relationship Id="rId5" Type="http://schemas.openxmlformats.org/officeDocument/2006/relationships/hyperlink" Target="http://combustion.berkeley.edu/gri-mech/version30/text30.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Dikeman</dc:creator>
  <cp:keywords/>
  <dc:description/>
  <cp:lastModifiedBy>Henry Dikeman</cp:lastModifiedBy>
  <cp:revision>98</cp:revision>
  <cp:lastPrinted>2021-01-31T19:08:00Z</cp:lastPrinted>
  <dcterms:created xsi:type="dcterms:W3CDTF">2021-02-26T23:52:00Z</dcterms:created>
  <dcterms:modified xsi:type="dcterms:W3CDTF">2021-03-27T04:58:00Z</dcterms:modified>
</cp:coreProperties>
</file>