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3CBD8" w14:textId="77777777" w:rsidR="00527268" w:rsidRPr="00527268" w:rsidRDefault="00527268" w:rsidP="00527268">
      <w:pPr>
        <w:pStyle w:val="u2"/>
      </w:pPr>
      <w:r w:rsidRPr="00527268">
        <w:rPr>
          <w:rStyle w:val="u2Char"/>
          <w:b/>
          <w:bCs/>
        </w:rPr>
        <w:t>What is Coin98 Exchange</w:t>
      </w:r>
      <w:r w:rsidRPr="00527268">
        <w:t>?</w:t>
      </w:r>
    </w:p>
    <w:p w14:paraId="1783F3A9" w14:textId="77777777" w:rsidR="00527268" w:rsidRPr="00527268" w:rsidRDefault="00527268" w:rsidP="00527268">
      <w:pPr>
        <w:spacing w:before="100" w:beforeAutospacing="1" w:after="100" w:afterAutospacing="1" w:line="240" w:lineRule="auto"/>
        <w:textAlignment w:val="baseline"/>
        <w:rPr>
          <w:rFonts w:ascii="IBM Plex Sans" w:eastAsia="Times New Roman" w:hAnsi="IBM Plex Sans" w:cs="Times New Roman"/>
          <w:color w:val="333132"/>
          <w:sz w:val="27"/>
          <w:szCs w:val="27"/>
        </w:rPr>
      </w:pPr>
      <w:r w:rsidRPr="00527268">
        <w:rPr>
          <w:rFonts w:ascii="IBM Plex Sans" w:eastAsia="Times New Roman" w:hAnsi="IBM Plex Sans" w:cs="Times New Roman"/>
          <w:color w:val="333132"/>
          <w:sz w:val="27"/>
          <w:szCs w:val="27"/>
        </w:rPr>
        <w:t xml:space="preserve">Coin98 Exchange is a decentralized exchange (DEX), a Multi-chain liquidity aggregator that offers users a wide variety of </w:t>
      </w:r>
      <w:proofErr w:type="spellStart"/>
      <w:r w:rsidRPr="00527268">
        <w:rPr>
          <w:rFonts w:ascii="IBM Plex Sans" w:eastAsia="Times New Roman" w:hAnsi="IBM Plex Sans" w:cs="Times New Roman"/>
          <w:color w:val="333132"/>
          <w:sz w:val="27"/>
          <w:szCs w:val="27"/>
        </w:rPr>
        <w:t>DeFi</w:t>
      </w:r>
      <w:proofErr w:type="spellEnd"/>
      <w:r w:rsidRPr="00527268">
        <w:rPr>
          <w:rFonts w:ascii="IBM Plex Sans" w:eastAsia="Times New Roman" w:hAnsi="IBM Plex Sans" w:cs="Times New Roman"/>
          <w:color w:val="333132"/>
          <w:sz w:val="27"/>
          <w:szCs w:val="27"/>
        </w:rPr>
        <w:t xml:space="preserve"> services (swap, stake, lend, </w:t>
      </w:r>
      <w:proofErr w:type="gramStart"/>
      <w:r w:rsidRPr="00527268">
        <w:rPr>
          <w:rFonts w:ascii="IBM Plex Sans" w:eastAsia="Times New Roman" w:hAnsi="IBM Plex Sans" w:cs="Times New Roman"/>
          <w:color w:val="333132"/>
          <w:sz w:val="27"/>
          <w:szCs w:val="27"/>
        </w:rPr>
        <w:t>borrow,...</w:t>
      </w:r>
      <w:proofErr w:type="gramEnd"/>
      <w:r w:rsidRPr="00527268">
        <w:rPr>
          <w:rFonts w:ascii="IBM Plex Sans" w:eastAsia="Times New Roman" w:hAnsi="IBM Plex Sans" w:cs="Times New Roman"/>
          <w:color w:val="333132"/>
          <w:sz w:val="27"/>
          <w:szCs w:val="27"/>
        </w:rPr>
        <w:t>) through intuitive and simple interfaces.</w:t>
      </w:r>
    </w:p>
    <w:p w14:paraId="3C274E2C" w14:textId="77777777" w:rsidR="00527268" w:rsidRPr="00527268" w:rsidRDefault="00527268" w:rsidP="00527268">
      <w:pPr>
        <w:spacing w:before="100" w:beforeAutospacing="1" w:after="100" w:afterAutospacing="1" w:line="240" w:lineRule="auto"/>
        <w:textAlignment w:val="baseline"/>
        <w:rPr>
          <w:rFonts w:ascii="IBM Plex Sans" w:eastAsia="Times New Roman" w:hAnsi="IBM Plex Sans" w:cs="Times New Roman"/>
          <w:color w:val="333132"/>
          <w:sz w:val="27"/>
          <w:szCs w:val="27"/>
        </w:rPr>
      </w:pPr>
      <w:r w:rsidRPr="00527268">
        <w:rPr>
          <w:rFonts w:ascii="IBM Plex Sans" w:eastAsia="Times New Roman" w:hAnsi="IBM Plex Sans" w:cs="Times New Roman"/>
          <w:color w:val="333132"/>
          <w:sz w:val="27"/>
          <w:szCs w:val="27"/>
        </w:rPr>
        <w:t xml:space="preserve">Coin98 Exchange was born to solve the problem of liquidity fragmentation on many Blockchains, helping users to experience </w:t>
      </w:r>
      <w:proofErr w:type="spellStart"/>
      <w:r w:rsidRPr="00527268">
        <w:rPr>
          <w:rFonts w:ascii="IBM Plex Sans" w:eastAsia="Times New Roman" w:hAnsi="IBM Plex Sans" w:cs="Times New Roman"/>
          <w:color w:val="333132"/>
          <w:sz w:val="27"/>
          <w:szCs w:val="27"/>
        </w:rPr>
        <w:t>DeFi</w:t>
      </w:r>
      <w:proofErr w:type="spellEnd"/>
      <w:r w:rsidRPr="00527268">
        <w:rPr>
          <w:rFonts w:ascii="IBM Plex Sans" w:eastAsia="Times New Roman" w:hAnsi="IBM Plex Sans" w:cs="Times New Roman"/>
          <w:color w:val="333132"/>
          <w:sz w:val="27"/>
          <w:szCs w:val="27"/>
        </w:rPr>
        <w:t xml:space="preserve"> fully and seamlessly without the need for in-depth knowledge of blockchain technology.</w:t>
      </w:r>
    </w:p>
    <w:p w14:paraId="4AEEB52A" w14:textId="77777777" w:rsidR="00527268" w:rsidRPr="00527268" w:rsidRDefault="00527268" w:rsidP="00527268">
      <w:pPr>
        <w:spacing w:before="100" w:beforeAutospacing="1" w:after="100" w:afterAutospacing="1" w:line="240" w:lineRule="auto"/>
        <w:textAlignment w:val="baseline"/>
        <w:rPr>
          <w:rFonts w:ascii="IBM Plex Sans" w:eastAsia="Times New Roman" w:hAnsi="IBM Plex Sans" w:cs="Times New Roman"/>
          <w:color w:val="333132"/>
          <w:sz w:val="27"/>
          <w:szCs w:val="27"/>
        </w:rPr>
      </w:pPr>
      <w:r w:rsidRPr="00527268">
        <w:rPr>
          <w:rFonts w:ascii="IBM Plex Sans" w:eastAsia="Times New Roman" w:hAnsi="IBM Plex Sans" w:cs="Times New Roman"/>
          <w:color w:val="333132"/>
          <w:sz w:val="27"/>
          <w:szCs w:val="27"/>
        </w:rPr>
        <w:t xml:space="preserve">Known as a decentralized, non-custodial version of the leading CEXs in the market, Coin98 Exchange is gradually bringing essential services in the traditional economy to </w:t>
      </w:r>
      <w:proofErr w:type="spellStart"/>
      <w:r w:rsidRPr="00527268">
        <w:rPr>
          <w:rFonts w:ascii="IBM Plex Sans" w:eastAsia="Times New Roman" w:hAnsi="IBM Plex Sans" w:cs="Times New Roman"/>
          <w:color w:val="333132"/>
          <w:sz w:val="27"/>
          <w:szCs w:val="27"/>
        </w:rPr>
        <w:t>DeFi</w:t>
      </w:r>
      <w:proofErr w:type="spellEnd"/>
      <w:r w:rsidRPr="00527268">
        <w:rPr>
          <w:rFonts w:ascii="IBM Plex Sans" w:eastAsia="Times New Roman" w:hAnsi="IBM Plex Sans" w:cs="Times New Roman"/>
          <w:color w:val="333132"/>
          <w:sz w:val="27"/>
          <w:szCs w:val="27"/>
        </w:rPr>
        <w:t xml:space="preserve"> such as:</w:t>
      </w:r>
    </w:p>
    <w:p w14:paraId="42A8FB87" w14:textId="77777777" w:rsidR="00527268" w:rsidRPr="00527268" w:rsidRDefault="00527268" w:rsidP="00527268">
      <w:pPr>
        <w:numPr>
          <w:ilvl w:val="0"/>
          <w:numId w:val="2"/>
        </w:numPr>
        <w:spacing w:beforeAutospacing="1" w:after="0" w:afterAutospacing="1" w:line="240" w:lineRule="auto"/>
        <w:textAlignment w:val="baseline"/>
        <w:rPr>
          <w:rFonts w:ascii="var(--text-font)" w:eastAsia="Times New Roman" w:hAnsi="var(--text-font)" w:cs="Times New Roman"/>
          <w:color w:val="333132"/>
          <w:sz w:val="27"/>
          <w:szCs w:val="27"/>
        </w:rPr>
      </w:pPr>
      <w:r w:rsidRPr="00527268">
        <w:rPr>
          <w:rFonts w:ascii="var(--text-font)" w:eastAsia="Times New Roman" w:hAnsi="var(--text-font)" w:cs="Times New Roman"/>
          <w:color w:val="333132"/>
          <w:sz w:val="27"/>
          <w:szCs w:val="27"/>
        </w:rPr>
        <w:t>Trading with </w:t>
      </w:r>
      <w:r w:rsidRPr="00527268">
        <w:rPr>
          <w:rFonts w:ascii="inherit" w:eastAsia="Times New Roman" w:hAnsi="inherit" w:cs="Times New Roman"/>
          <w:b/>
          <w:bCs/>
          <w:color w:val="333132"/>
          <w:sz w:val="27"/>
          <w:szCs w:val="27"/>
          <w:bdr w:val="none" w:sz="0" w:space="0" w:color="auto" w:frame="1"/>
        </w:rPr>
        <w:t>Exchange</w:t>
      </w:r>
      <w:r w:rsidRPr="00527268">
        <w:rPr>
          <w:rFonts w:ascii="var(--text-font)" w:eastAsia="Times New Roman" w:hAnsi="var(--text-font)" w:cs="Times New Roman"/>
          <w:color w:val="333132"/>
          <w:sz w:val="27"/>
          <w:szCs w:val="27"/>
        </w:rPr>
        <w:t>;</w:t>
      </w:r>
    </w:p>
    <w:p w14:paraId="67C639C4" w14:textId="77777777" w:rsidR="00527268" w:rsidRPr="00527268" w:rsidRDefault="00527268" w:rsidP="00527268">
      <w:pPr>
        <w:numPr>
          <w:ilvl w:val="0"/>
          <w:numId w:val="2"/>
        </w:numPr>
        <w:spacing w:beforeAutospacing="1" w:after="0" w:afterAutospacing="1" w:line="240" w:lineRule="auto"/>
        <w:textAlignment w:val="baseline"/>
        <w:rPr>
          <w:rFonts w:ascii="var(--text-font)" w:eastAsia="Times New Roman" w:hAnsi="var(--text-font)" w:cs="Times New Roman"/>
          <w:color w:val="333132"/>
          <w:sz w:val="27"/>
          <w:szCs w:val="27"/>
        </w:rPr>
      </w:pPr>
      <w:r w:rsidRPr="00527268">
        <w:rPr>
          <w:rFonts w:ascii="var(--text-font)" w:eastAsia="Times New Roman" w:hAnsi="var(--text-font)" w:cs="Times New Roman"/>
          <w:color w:val="333132"/>
          <w:sz w:val="27"/>
          <w:szCs w:val="27"/>
        </w:rPr>
        <w:t>Market data aggregator tool with </w:t>
      </w:r>
      <w:r w:rsidRPr="00527268">
        <w:rPr>
          <w:rFonts w:ascii="inherit" w:eastAsia="Times New Roman" w:hAnsi="inherit" w:cs="Times New Roman"/>
          <w:b/>
          <w:bCs/>
          <w:color w:val="333132"/>
          <w:sz w:val="27"/>
          <w:szCs w:val="27"/>
          <w:bdr w:val="none" w:sz="0" w:space="0" w:color="auto" w:frame="1"/>
        </w:rPr>
        <w:t>Markets</w:t>
      </w:r>
      <w:r w:rsidRPr="00527268">
        <w:rPr>
          <w:rFonts w:ascii="var(--text-font)" w:eastAsia="Times New Roman" w:hAnsi="var(--text-font)" w:cs="Times New Roman"/>
          <w:color w:val="333132"/>
          <w:sz w:val="27"/>
          <w:szCs w:val="27"/>
        </w:rPr>
        <w:t>;</w:t>
      </w:r>
    </w:p>
    <w:p w14:paraId="3AA2F83C" w14:textId="77777777" w:rsidR="00527268" w:rsidRPr="00527268" w:rsidRDefault="00527268" w:rsidP="00527268">
      <w:pPr>
        <w:numPr>
          <w:ilvl w:val="0"/>
          <w:numId w:val="2"/>
        </w:numPr>
        <w:spacing w:beforeAutospacing="1" w:after="0" w:afterAutospacing="1" w:line="240" w:lineRule="auto"/>
        <w:textAlignment w:val="baseline"/>
        <w:rPr>
          <w:rFonts w:ascii="var(--text-font)" w:eastAsia="Times New Roman" w:hAnsi="var(--text-font)" w:cs="Times New Roman"/>
          <w:color w:val="333132"/>
          <w:sz w:val="27"/>
          <w:szCs w:val="27"/>
        </w:rPr>
      </w:pPr>
      <w:r w:rsidRPr="00527268">
        <w:rPr>
          <w:rFonts w:ascii="var(--text-font)" w:eastAsia="Times New Roman" w:hAnsi="var(--text-font)" w:cs="Times New Roman"/>
          <w:color w:val="333132"/>
          <w:sz w:val="27"/>
          <w:szCs w:val="27"/>
        </w:rPr>
        <w:t>Asset management tool with </w:t>
      </w:r>
      <w:r w:rsidRPr="00527268">
        <w:rPr>
          <w:rFonts w:ascii="inherit" w:eastAsia="Times New Roman" w:hAnsi="inherit" w:cs="Times New Roman"/>
          <w:b/>
          <w:bCs/>
          <w:color w:val="333132"/>
          <w:sz w:val="27"/>
          <w:szCs w:val="27"/>
          <w:bdr w:val="none" w:sz="0" w:space="0" w:color="auto" w:frame="1"/>
        </w:rPr>
        <w:t>Portfolio</w:t>
      </w:r>
      <w:r w:rsidRPr="00527268">
        <w:rPr>
          <w:rFonts w:ascii="var(--text-font)" w:eastAsia="Times New Roman" w:hAnsi="var(--text-font)" w:cs="Times New Roman"/>
          <w:color w:val="333132"/>
          <w:sz w:val="27"/>
          <w:szCs w:val="27"/>
        </w:rPr>
        <w:t>;</w:t>
      </w:r>
    </w:p>
    <w:p w14:paraId="1919DC15" w14:textId="77777777" w:rsidR="00527268" w:rsidRPr="00527268" w:rsidRDefault="00527268" w:rsidP="00527268">
      <w:pPr>
        <w:numPr>
          <w:ilvl w:val="0"/>
          <w:numId w:val="2"/>
        </w:numPr>
        <w:spacing w:beforeAutospacing="1" w:after="0" w:afterAutospacing="1" w:line="240" w:lineRule="auto"/>
        <w:textAlignment w:val="baseline"/>
        <w:rPr>
          <w:rFonts w:ascii="var(--text-font)" w:eastAsia="Times New Roman" w:hAnsi="var(--text-font)" w:cs="Times New Roman"/>
          <w:color w:val="333132"/>
          <w:sz w:val="27"/>
          <w:szCs w:val="27"/>
        </w:rPr>
      </w:pPr>
      <w:r w:rsidRPr="00527268">
        <w:rPr>
          <w:rFonts w:ascii="var(--text-font)" w:eastAsia="Times New Roman" w:hAnsi="var(--text-font)" w:cs="Times New Roman"/>
          <w:color w:val="333132"/>
          <w:sz w:val="27"/>
          <w:szCs w:val="27"/>
        </w:rPr>
        <w:t xml:space="preserve">Utility toolkit for </w:t>
      </w:r>
      <w:proofErr w:type="spellStart"/>
      <w:r w:rsidRPr="00527268">
        <w:rPr>
          <w:rFonts w:ascii="var(--text-font)" w:eastAsia="Times New Roman" w:hAnsi="var(--text-font)" w:cs="Times New Roman"/>
          <w:color w:val="333132"/>
          <w:sz w:val="27"/>
          <w:szCs w:val="27"/>
        </w:rPr>
        <w:t>DeFi</w:t>
      </w:r>
      <w:proofErr w:type="spellEnd"/>
      <w:r w:rsidRPr="00527268">
        <w:rPr>
          <w:rFonts w:ascii="var(--text-font)" w:eastAsia="Times New Roman" w:hAnsi="var(--text-font)" w:cs="Times New Roman"/>
          <w:color w:val="333132"/>
          <w:sz w:val="27"/>
          <w:szCs w:val="27"/>
        </w:rPr>
        <w:t xml:space="preserve"> users with </w:t>
      </w:r>
      <w:r w:rsidRPr="00527268">
        <w:rPr>
          <w:rFonts w:ascii="inherit" w:eastAsia="Times New Roman" w:hAnsi="inherit" w:cs="Times New Roman"/>
          <w:b/>
          <w:bCs/>
          <w:color w:val="333132"/>
          <w:sz w:val="27"/>
          <w:szCs w:val="27"/>
          <w:bdr w:val="none" w:sz="0" w:space="0" w:color="auto" w:frame="1"/>
        </w:rPr>
        <w:t>Terminals</w:t>
      </w:r>
      <w:r w:rsidRPr="00527268">
        <w:rPr>
          <w:rFonts w:ascii="var(--text-font)" w:eastAsia="Times New Roman" w:hAnsi="var(--text-font)" w:cs="Times New Roman"/>
          <w:color w:val="333132"/>
          <w:sz w:val="27"/>
          <w:szCs w:val="27"/>
        </w:rPr>
        <w:t>;</w:t>
      </w:r>
    </w:p>
    <w:p w14:paraId="101CD3A5" w14:textId="1328F675" w:rsidR="00527268" w:rsidRPr="00527268" w:rsidRDefault="00527268" w:rsidP="00527268">
      <w:pPr>
        <w:numPr>
          <w:ilvl w:val="0"/>
          <w:numId w:val="2"/>
        </w:numPr>
        <w:spacing w:beforeAutospacing="1" w:after="0" w:afterAutospacing="1" w:line="240" w:lineRule="auto"/>
        <w:textAlignment w:val="baseline"/>
        <w:rPr>
          <w:rFonts w:ascii="var(--text-font)" w:eastAsia="Times New Roman" w:hAnsi="var(--text-font)" w:cs="Times New Roman"/>
          <w:color w:val="333132"/>
          <w:sz w:val="27"/>
          <w:szCs w:val="27"/>
        </w:rPr>
      </w:pPr>
      <w:r w:rsidRPr="00527268">
        <w:rPr>
          <w:rFonts w:ascii="var(--text-font)" w:eastAsia="Times New Roman" w:hAnsi="var(--text-font)" w:cs="Times New Roman"/>
          <w:color w:val="333132"/>
          <w:sz w:val="27"/>
          <w:szCs w:val="27"/>
        </w:rPr>
        <w:t>And some upcoming features like </w:t>
      </w:r>
      <w:r w:rsidRPr="00527268">
        <w:rPr>
          <w:rFonts w:ascii="inherit" w:eastAsia="Times New Roman" w:hAnsi="inherit" w:cs="Times New Roman"/>
          <w:b/>
          <w:bCs/>
          <w:color w:val="333132"/>
          <w:sz w:val="27"/>
          <w:szCs w:val="27"/>
          <w:bdr w:val="none" w:sz="0" w:space="0" w:color="auto" w:frame="1"/>
        </w:rPr>
        <w:t xml:space="preserve">Staking, Cross-chain </w:t>
      </w:r>
      <w:proofErr w:type="gramStart"/>
      <w:r w:rsidRPr="00527268">
        <w:rPr>
          <w:rFonts w:ascii="inherit" w:eastAsia="Times New Roman" w:hAnsi="inherit" w:cs="Times New Roman"/>
          <w:b/>
          <w:bCs/>
          <w:color w:val="333132"/>
          <w:sz w:val="27"/>
          <w:szCs w:val="27"/>
          <w:bdr w:val="none" w:sz="0" w:space="0" w:color="auto" w:frame="1"/>
        </w:rPr>
        <w:t>Swap,</w:t>
      </w:r>
      <w:r>
        <w:rPr>
          <w:rFonts w:ascii="inherit" w:eastAsia="Times New Roman" w:hAnsi="inherit" w:cs="Times New Roman"/>
          <w:b/>
          <w:bCs/>
          <w:color w:val="333132"/>
          <w:sz w:val="27"/>
          <w:szCs w:val="27"/>
          <w:bdr w:val="none" w:sz="0" w:space="0" w:color="auto" w:frame="1"/>
          <w:lang w:val="vi-VN"/>
        </w:rPr>
        <w:t>…</w:t>
      </w:r>
      <w:proofErr w:type="gramEnd"/>
    </w:p>
    <w:p w14:paraId="355C4521" w14:textId="77777777" w:rsidR="00527268" w:rsidRPr="00527268" w:rsidRDefault="00527268" w:rsidP="00527268">
      <w:pPr>
        <w:pStyle w:val="u2"/>
      </w:pPr>
      <w:r w:rsidRPr="00527268">
        <w:t>Features of Coin98 Exchange</w:t>
      </w:r>
    </w:p>
    <w:p w14:paraId="2FD4D02A" w14:textId="77777777" w:rsidR="00527268" w:rsidRPr="00527268" w:rsidRDefault="00527268" w:rsidP="00527268">
      <w:pPr>
        <w:spacing w:before="100" w:beforeAutospacing="1" w:after="100" w:afterAutospacing="1" w:line="240" w:lineRule="auto"/>
        <w:textAlignment w:val="baseline"/>
        <w:rPr>
          <w:rFonts w:ascii="IBM Plex Sans" w:eastAsia="Times New Roman" w:hAnsi="IBM Plex Sans" w:cs="Times New Roman"/>
          <w:color w:val="333132"/>
          <w:sz w:val="27"/>
          <w:szCs w:val="27"/>
        </w:rPr>
      </w:pPr>
      <w:r w:rsidRPr="00527268">
        <w:rPr>
          <w:rFonts w:ascii="IBM Plex Sans" w:eastAsia="Times New Roman" w:hAnsi="IBM Plex Sans" w:cs="Times New Roman"/>
          <w:color w:val="333132"/>
          <w:sz w:val="27"/>
          <w:szCs w:val="27"/>
        </w:rPr>
        <w:t>Coin98 Exchange has 4 main features, include:</w:t>
      </w:r>
    </w:p>
    <w:p w14:paraId="1242B88C" w14:textId="77777777" w:rsidR="00527268" w:rsidRPr="00527268" w:rsidRDefault="00527268" w:rsidP="00527268">
      <w:pPr>
        <w:spacing w:beforeAutospacing="1" w:after="0" w:afterAutospacing="1" w:line="240" w:lineRule="auto"/>
        <w:textAlignment w:val="baseline"/>
        <w:rPr>
          <w:rFonts w:ascii="IBM Plex Sans" w:eastAsia="Times New Roman" w:hAnsi="IBM Plex Sans" w:cs="Times New Roman"/>
          <w:color w:val="333132"/>
          <w:sz w:val="27"/>
          <w:szCs w:val="27"/>
        </w:rPr>
      </w:pPr>
      <w:r w:rsidRPr="00527268">
        <w:rPr>
          <w:rFonts w:ascii="inherit" w:eastAsia="Times New Roman" w:hAnsi="inherit" w:cs="Times New Roman"/>
          <w:b/>
          <w:bCs/>
          <w:color w:val="333132"/>
          <w:sz w:val="27"/>
          <w:szCs w:val="27"/>
          <w:bdr w:val="none" w:sz="0" w:space="0" w:color="auto" w:frame="1"/>
        </w:rPr>
        <w:t>Coin98 Exchange:</w:t>
      </w:r>
      <w:r w:rsidRPr="00527268">
        <w:rPr>
          <w:rFonts w:ascii="IBM Plex Sans" w:eastAsia="Times New Roman" w:hAnsi="IBM Plex Sans" w:cs="Times New Roman"/>
          <w:color w:val="333132"/>
          <w:sz w:val="27"/>
          <w:szCs w:val="27"/>
        </w:rPr>
        <w:t> Provides crucial sources of liquidity for swapping tokens in a trustless, permissionless, and seamless manner.</w:t>
      </w:r>
    </w:p>
    <w:p w14:paraId="24AE8BCF" w14:textId="77777777" w:rsidR="00527268" w:rsidRPr="00527268" w:rsidRDefault="00527268" w:rsidP="00527268">
      <w:pPr>
        <w:spacing w:beforeAutospacing="1" w:after="0" w:afterAutospacing="1" w:line="240" w:lineRule="auto"/>
        <w:textAlignment w:val="baseline"/>
        <w:rPr>
          <w:rFonts w:ascii="IBM Plex Sans" w:eastAsia="Times New Roman" w:hAnsi="IBM Plex Sans" w:cs="Times New Roman"/>
          <w:color w:val="333132"/>
          <w:sz w:val="27"/>
          <w:szCs w:val="27"/>
        </w:rPr>
      </w:pPr>
      <w:r w:rsidRPr="00527268">
        <w:rPr>
          <w:rFonts w:ascii="inherit" w:eastAsia="Times New Roman" w:hAnsi="inherit" w:cs="Times New Roman"/>
          <w:b/>
          <w:bCs/>
          <w:color w:val="333132"/>
          <w:sz w:val="27"/>
          <w:szCs w:val="27"/>
          <w:bdr w:val="none" w:sz="0" w:space="0" w:color="auto" w:frame="1"/>
        </w:rPr>
        <w:t>Coin98 Markets: </w:t>
      </w:r>
      <w:r w:rsidRPr="00527268">
        <w:rPr>
          <w:rFonts w:ascii="IBM Plex Sans" w:eastAsia="Times New Roman" w:hAnsi="IBM Plex Sans" w:cs="Times New Roman"/>
          <w:color w:val="333132"/>
          <w:sz w:val="27"/>
          <w:szCs w:val="27"/>
        </w:rPr>
        <w:t>Delivers vital cryptocurrency market data visually engagingly, empowering users with actionable insights.</w:t>
      </w:r>
    </w:p>
    <w:p w14:paraId="57363979" w14:textId="77777777" w:rsidR="00527268" w:rsidRPr="00527268" w:rsidRDefault="00527268" w:rsidP="00527268">
      <w:pPr>
        <w:spacing w:beforeAutospacing="1" w:after="0" w:afterAutospacing="1" w:line="240" w:lineRule="auto"/>
        <w:textAlignment w:val="baseline"/>
        <w:rPr>
          <w:rFonts w:ascii="IBM Plex Sans" w:eastAsia="Times New Roman" w:hAnsi="IBM Plex Sans" w:cs="Times New Roman"/>
          <w:color w:val="333132"/>
          <w:sz w:val="27"/>
          <w:szCs w:val="27"/>
        </w:rPr>
      </w:pPr>
      <w:r w:rsidRPr="00527268">
        <w:rPr>
          <w:rFonts w:ascii="inherit" w:eastAsia="Times New Roman" w:hAnsi="inherit" w:cs="Times New Roman"/>
          <w:b/>
          <w:bCs/>
          <w:color w:val="333132"/>
          <w:sz w:val="27"/>
          <w:szCs w:val="27"/>
          <w:bdr w:val="none" w:sz="0" w:space="0" w:color="auto" w:frame="1"/>
        </w:rPr>
        <w:t>Coin98 Portfolio: </w:t>
      </w:r>
      <w:r w:rsidRPr="00527268">
        <w:rPr>
          <w:rFonts w:ascii="IBM Plex Sans" w:eastAsia="Times New Roman" w:hAnsi="IBM Plex Sans" w:cs="Times New Roman"/>
          <w:color w:val="333132"/>
          <w:sz w:val="27"/>
          <w:szCs w:val="27"/>
        </w:rPr>
        <w:t>Supports users to monitor price changes and the growth of their assets on </w:t>
      </w:r>
      <w:r w:rsidRPr="00527268">
        <w:rPr>
          <w:rFonts w:ascii="inherit" w:eastAsia="Times New Roman" w:hAnsi="inherit" w:cs="Times New Roman"/>
          <w:b/>
          <w:bCs/>
          <w:color w:val="333132"/>
          <w:sz w:val="27"/>
          <w:szCs w:val="27"/>
          <w:bdr w:val="none" w:sz="0" w:space="0" w:color="auto" w:frame="1"/>
        </w:rPr>
        <w:t>11+ blockchain.</w:t>
      </w:r>
    </w:p>
    <w:p w14:paraId="5647B66A" w14:textId="77777777" w:rsidR="00527268" w:rsidRPr="00527268" w:rsidRDefault="00527268" w:rsidP="00527268">
      <w:pPr>
        <w:spacing w:beforeAutospacing="1" w:after="0" w:afterAutospacing="1" w:line="240" w:lineRule="auto"/>
        <w:textAlignment w:val="baseline"/>
        <w:rPr>
          <w:rFonts w:ascii="IBM Plex Sans" w:eastAsia="Times New Roman" w:hAnsi="IBM Plex Sans" w:cs="Times New Roman"/>
          <w:color w:val="333132"/>
          <w:sz w:val="27"/>
          <w:szCs w:val="27"/>
        </w:rPr>
      </w:pPr>
      <w:r w:rsidRPr="00527268">
        <w:rPr>
          <w:rFonts w:ascii="inherit" w:eastAsia="Times New Roman" w:hAnsi="inherit" w:cs="Times New Roman"/>
          <w:b/>
          <w:bCs/>
          <w:color w:val="333132"/>
          <w:sz w:val="27"/>
          <w:szCs w:val="27"/>
          <w:bdr w:val="none" w:sz="0" w:space="0" w:color="auto" w:frame="1"/>
        </w:rPr>
        <w:t>Coin98 Terminal includes:</w:t>
      </w:r>
    </w:p>
    <w:p w14:paraId="182DEA16" w14:textId="77777777" w:rsidR="00527268" w:rsidRPr="00527268" w:rsidRDefault="00527268" w:rsidP="00527268">
      <w:pPr>
        <w:numPr>
          <w:ilvl w:val="0"/>
          <w:numId w:val="3"/>
        </w:numPr>
        <w:spacing w:beforeAutospacing="1" w:after="0" w:afterAutospacing="1" w:line="240" w:lineRule="auto"/>
        <w:textAlignment w:val="baseline"/>
        <w:rPr>
          <w:rFonts w:ascii="var(--text-font)" w:eastAsia="Times New Roman" w:hAnsi="var(--text-font)" w:cs="Times New Roman"/>
          <w:color w:val="333132"/>
          <w:sz w:val="27"/>
          <w:szCs w:val="27"/>
        </w:rPr>
      </w:pPr>
      <w:r w:rsidRPr="00527268">
        <w:rPr>
          <w:rFonts w:ascii="inherit" w:eastAsia="Times New Roman" w:hAnsi="inherit" w:cs="Times New Roman"/>
          <w:b/>
          <w:bCs/>
          <w:color w:val="333132"/>
          <w:sz w:val="27"/>
          <w:szCs w:val="27"/>
          <w:bdr w:val="none" w:sz="0" w:space="0" w:color="auto" w:frame="1"/>
        </w:rPr>
        <w:t>Token Issuer:</w:t>
      </w:r>
      <w:r w:rsidRPr="00527268">
        <w:rPr>
          <w:rFonts w:ascii="var(--text-font)" w:eastAsia="Times New Roman" w:hAnsi="var(--text-font)" w:cs="Times New Roman"/>
          <w:color w:val="333132"/>
          <w:sz w:val="27"/>
          <w:szCs w:val="27"/>
        </w:rPr>
        <w:t> Create your own token in just 1 minute with no coding experience</w:t>
      </w:r>
    </w:p>
    <w:p w14:paraId="3479FED9" w14:textId="77777777" w:rsidR="00527268" w:rsidRPr="00527268" w:rsidRDefault="00527268" w:rsidP="00527268">
      <w:pPr>
        <w:numPr>
          <w:ilvl w:val="0"/>
          <w:numId w:val="3"/>
        </w:numPr>
        <w:spacing w:beforeAutospacing="1" w:after="0" w:afterAutospacing="1" w:line="240" w:lineRule="auto"/>
        <w:textAlignment w:val="baseline"/>
        <w:rPr>
          <w:rFonts w:ascii="var(--text-font)" w:eastAsia="Times New Roman" w:hAnsi="var(--text-font)" w:cs="Times New Roman"/>
          <w:color w:val="333132"/>
          <w:sz w:val="27"/>
          <w:szCs w:val="27"/>
        </w:rPr>
      </w:pPr>
      <w:r w:rsidRPr="00527268">
        <w:rPr>
          <w:rFonts w:ascii="inherit" w:eastAsia="Times New Roman" w:hAnsi="inherit" w:cs="Times New Roman"/>
          <w:b/>
          <w:bCs/>
          <w:color w:val="333132"/>
          <w:sz w:val="27"/>
          <w:szCs w:val="27"/>
          <w:bdr w:val="none" w:sz="0" w:space="0" w:color="auto" w:frame="1"/>
        </w:rPr>
        <w:t>Multi-sender:</w:t>
      </w:r>
      <w:r w:rsidRPr="00527268">
        <w:rPr>
          <w:rFonts w:ascii="var(--text-font)" w:eastAsia="Times New Roman" w:hAnsi="var(--text-font)" w:cs="Times New Roman"/>
          <w:color w:val="333132"/>
          <w:sz w:val="27"/>
          <w:szCs w:val="27"/>
        </w:rPr>
        <w:t> Send multiple outputs to different addresses in only one transaction.</w:t>
      </w:r>
    </w:p>
    <w:p w14:paraId="47328ECB" w14:textId="77777777" w:rsidR="00527268" w:rsidRPr="00527268" w:rsidRDefault="00527268" w:rsidP="00527268">
      <w:pPr>
        <w:numPr>
          <w:ilvl w:val="0"/>
          <w:numId w:val="3"/>
        </w:numPr>
        <w:spacing w:beforeAutospacing="1" w:after="0" w:afterAutospacing="1" w:line="240" w:lineRule="auto"/>
        <w:textAlignment w:val="baseline"/>
        <w:rPr>
          <w:rFonts w:ascii="var(--text-font)" w:eastAsia="Times New Roman" w:hAnsi="var(--text-font)" w:cs="Times New Roman"/>
          <w:color w:val="333132"/>
          <w:sz w:val="27"/>
          <w:szCs w:val="27"/>
        </w:rPr>
      </w:pPr>
      <w:r w:rsidRPr="00527268">
        <w:rPr>
          <w:rFonts w:ascii="inherit" w:eastAsia="Times New Roman" w:hAnsi="inherit" w:cs="Times New Roman"/>
          <w:b/>
          <w:bCs/>
          <w:color w:val="333132"/>
          <w:sz w:val="27"/>
          <w:szCs w:val="27"/>
          <w:bdr w:val="none" w:sz="0" w:space="0" w:color="auto" w:frame="1"/>
        </w:rPr>
        <w:t>Wallet Approval: </w:t>
      </w:r>
      <w:r w:rsidRPr="00527268">
        <w:rPr>
          <w:rFonts w:ascii="var(--text-font)" w:eastAsia="Times New Roman" w:hAnsi="var(--text-font)" w:cs="Times New Roman"/>
          <w:color w:val="333132"/>
          <w:sz w:val="27"/>
          <w:szCs w:val="27"/>
        </w:rPr>
        <w:t xml:space="preserve">revoking token allowances from </w:t>
      </w:r>
      <w:proofErr w:type="spellStart"/>
      <w:r w:rsidRPr="00527268">
        <w:rPr>
          <w:rFonts w:ascii="var(--text-font)" w:eastAsia="Times New Roman" w:hAnsi="var(--text-font)" w:cs="Times New Roman"/>
          <w:color w:val="333132"/>
          <w:sz w:val="27"/>
          <w:szCs w:val="27"/>
        </w:rPr>
        <w:t>dApps</w:t>
      </w:r>
      <w:proofErr w:type="spellEnd"/>
      <w:r w:rsidRPr="00527268">
        <w:rPr>
          <w:rFonts w:ascii="var(--text-font)" w:eastAsia="Times New Roman" w:hAnsi="var(--text-font)" w:cs="Times New Roman"/>
          <w:color w:val="333132"/>
          <w:sz w:val="27"/>
          <w:szCs w:val="27"/>
        </w:rPr>
        <w:t xml:space="preserve"> on all supported Blockchains, and protecting users from potential loss risks.</w:t>
      </w:r>
    </w:p>
    <w:p w14:paraId="799CD1EB" w14:textId="77777777" w:rsidR="00527268" w:rsidRPr="00527268" w:rsidRDefault="00527268" w:rsidP="00527268">
      <w:pPr>
        <w:numPr>
          <w:ilvl w:val="0"/>
          <w:numId w:val="3"/>
        </w:numPr>
        <w:spacing w:beforeAutospacing="1" w:after="0" w:afterAutospacing="1" w:line="240" w:lineRule="auto"/>
        <w:textAlignment w:val="baseline"/>
        <w:rPr>
          <w:rFonts w:ascii="var(--text-font)" w:eastAsia="Times New Roman" w:hAnsi="var(--text-font)" w:cs="Times New Roman"/>
          <w:color w:val="333132"/>
          <w:sz w:val="27"/>
          <w:szCs w:val="27"/>
        </w:rPr>
      </w:pPr>
      <w:r w:rsidRPr="00527268">
        <w:rPr>
          <w:rFonts w:ascii="inherit" w:eastAsia="Times New Roman" w:hAnsi="inherit" w:cs="Times New Roman"/>
          <w:b/>
          <w:bCs/>
          <w:color w:val="333132"/>
          <w:sz w:val="27"/>
          <w:szCs w:val="27"/>
          <w:bdr w:val="none" w:sz="0" w:space="0" w:color="auto" w:frame="1"/>
        </w:rPr>
        <w:lastRenderedPageBreak/>
        <w:t>Solana Migration: </w:t>
      </w:r>
      <w:r w:rsidRPr="00527268">
        <w:rPr>
          <w:rFonts w:ascii="var(--text-font)" w:eastAsia="Times New Roman" w:hAnsi="var(--text-font)" w:cs="Times New Roman"/>
          <w:color w:val="333132"/>
          <w:sz w:val="27"/>
          <w:szCs w:val="27"/>
        </w:rPr>
        <w:t xml:space="preserve">a solution that helps users to migrate their associated SPL tokens to a single SOL wallet address and prevent the fragmentation of users’ assets when interacting with Solana </w:t>
      </w:r>
      <w:proofErr w:type="spellStart"/>
      <w:r w:rsidRPr="00527268">
        <w:rPr>
          <w:rFonts w:ascii="var(--text-font)" w:eastAsia="Times New Roman" w:hAnsi="var(--text-font)" w:cs="Times New Roman"/>
          <w:color w:val="333132"/>
          <w:sz w:val="27"/>
          <w:szCs w:val="27"/>
        </w:rPr>
        <w:t>DApps</w:t>
      </w:r>
      <w:proofErr w:type="spellEnd"/>
      <w:r w:rsidRPr="00527268">
        <w:rPr>
          <w:rFonts w:ascii="var(--text-font)" w:eastAsia="Times New Roman" w:hAnsi="var(--text-font)" w:cs="Times New Roman"/>
          <w:color w:val="333132"/>
          <w:sz w:val="27"/>
          <w:szCs w:val="27"/>
        </w:rPr>
        <w:t>.</w:t>
      </w:r>
    </w:p>
    <w:p w14:paraId="30A5A146" w14:textId="77777777" w:rsidR="00527268" w:rsidRDefault="00527268" w:rsidP="00527268">
      <w:pPr>
        <w:pStyle w:val="u2"/>
      </w:pPr>
      <w:r>
        <w:t>Overview of the Coin98 Exchange interface</w:t>
      </w:r>
    </w:p>
    <w:p w14:paraId="5D28B566" w14:textId="77777777" w:rsidR="00527268" w:rsidRDefault="00527268" w:rsidP="00527268">
      <w:pPr>
        <w:pStyle w:val="ThngthngWeb"/>
        <w:textAlignment w:val="baseline"/>
        <w:rPr>
          <w:rFonts w:ascii="IBM Plex Sans" w:hAnsi="IBM Plex Sans"/>
          <w:color w:val="333132"/>
          <w:sz w:val="27"/>
          <w:szCs w:val="27"/>
        </w:rPr>
      </w:pPr>
      <w:r>
        <w:rPr>
          <w:rFonts w:ascii="IBM Plex Sans" w:hAnsi="IBM Plex Sans"/>
          <w:color w:val="333132"/>
          <w:sz w:val="27"/>
          <w:szCs w:val="27"/>
        </w:rPr>
        <w:t xml:space="preserve">Coin98 offers users 2 types of </w:t>
      </w:r>
      <w:proofErr w:type="gramStart"/>
      <w:r>
        <w:rPr>
          <w:rFonts w:ascii="IBM Plex Sans" w:hAnsi="IBM Plex Sans"/>
          <w:color w:val="333132"/>
          <w:sz w:val="27"/>
          <w:szCs w:val="27"/>
        </w:rPr>
        <w:t>interface</w:t>
      </w:r>
      <w:proofErr w:type="gramEnd"/>
      <w:r>
        <w:rPr>
          <w:rFonts w:ascii="IBM Plex Sans" w:hAnsi="IBM Plex Sans"/>
          <w:color w:val="333132"/>
          <w:sz w:val="27"/>
          <w:szCs w:val="27"/>
        </w:rPr>
        <w:t>:</w:t>
      </w:r>
    </w:p>
    <w:p w14:paraId="7DC3E204" w14:textId="77777777" w:rsidR="00527268" w:rsidRDefault="00527268" w:rsidP="00527268">
      <w:pPr>
        <w:pStyle w:val="ThngthngWeb"/>
        <w:spacing w:before="0" w:after="0"/>
        <w:textAlignment w:val="baseline"/>
        <w:rPr>
          <w:rFonts w:ascii="IBM Plex Sans" w:hAnsi="IBM Plex Sans"/>
          <w:color w:val="333132"/>
          <w:sz w:val="27"/>
          <w:szCs w:val="27"/>
        </w:rPr>
      </w:pPr>
      <w:r>
        <w:rPr>
          <w:rStyle w:val="Manh"/>
          <w:rFonts w:ascii="inherit" w:hAnsi="inherit"/>
          <w:color w:val="333132"/>
          <w:sz w:val="27"/>
          <w:szCs w:val="27"/>
          <w:bdr w:val="none" w:sz="0" w:space="0" w:color="auto" w:frame="1"/>
        </w:rPr>
        <w:t>The Pro-UI </w:t>
      </w:r>
      <w:r>
        <w:rPr>
          <w:rFonts w:ascii="IBM Plex Sans" w:hAnsi="IBM Plex Sans"/>
          <w:color w:val="333132"/>
          <w:sz w:val="27"/>
          <w:szCs w:val="27"/>
        </w:rPr>
        <w:t>with in-depth trading information and features for active traders and more advanced users</w:t>
      </w:r>
    </w:p>
    <w:p w14:paraId="5EC2BD18" w14:textId="180EBF49" w:rsidR="00527268" w:rsidRDefault="00527268" w:rsidP="00527268">
      <w:pPr>
        <w:rPr>
          <w:rFonts w:ascii="Times New Roman" w:hAnsi="Times New Roman"/>
          <w:sz w:val="24"/>
          <w:szCs w:val="24"/>
        </w:rPr>
      </w:pPr>
      <w:r>
        <w:rPr>
          <w:noProof/>
        </w:rPr>
        <w:drawing>
          <wp:inline distT="0" distB="0" distL="0" distR="0" wp14:anchorId="475017D5" wp14:editId="507AF4D0">
            <wp:extent cx="5972175" cy="3277235"/>
            <wp:effectExtent l="0" t="0" r="952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72175" cy="3277235"/>
                    </a:xfrm>
                    <a:prstGeom prst="rect">
                      <a:avLst/>
                    </a:prstGeom>
                    <a:noFill/>
                    <a:ln>
                      <a:noFill/>
                    </a:ln>
                  </pic:spPr>
                </pic:pic>
              </a:graphicData>
            </a:graphic>
          </wp:inline>
        </w:drawing>
      </w:r>
    </w:p>
    <w:p w14:paraId="6FDD357B" w14:textId="77777777" w:rsidR="00527268" w:rsidRDefault="00527268" w:rsidP="00527268">
      <w:pPr>
        <w:pStyle w:val="ThngthngWeb"/>
        <w:spacing w:before="0" w:after="0"/>
        <w:textAlignment w:val="baseline"/>
        <w:rPr>
          <w:rFonts w:ascii="IBM Plex Sans" w:hAnsi="IBM Plex Sans"/>
          <w:color w:val="333132"/>
          <w:sz w:val="27"/>
          <w:szCs w:val="27"/>
        </w:rPr>
      </w:pPr>
      <w:r>
        <w:rPr>
          <w:rStyle w:val="Manh"/>
          <w:rFonts w:ascii="inherit" w:hAnsi="inherit"/>
          <w:color w:val="333132"/>
          <w:sz w:val="27"/>
          <w:szCs w:val="27"/>
          <w:bdr w:val="none" w:sz="0" w:space="0" w:color="auto" w:frame="1"/>
        </w:rPr>
        <w:t>The Basic - UI</w:t>
      </w:r>
      <w:r>
        <w:rPr>
          <w:rFonts w:ascii="IBM Plex Sans" w:hAnsi="IBM Plex Sans"/>
          <w:color w:val="333132"/>
          <w:sz w:val="27"/>
          <w:szCs w:val="27"/>
        </w:rPr>
        <w:t> with a streamlined interface that focuses on simplicity, speed, and ease-of-use, making Coin98 Exchange a perfect choice for crypto novices, first-time users, and users who just need the basics.</w:t>
      </w:r>
    </w:p>
    <w:p w14:paraId="1459A1E1" w14:textId="53BC8C60" w:rsidR="00527268" w:rsidRDefault="00527268" w:rsidP="00527268">
      <w:pPr>
        <w:rPr>
          <w:rFonts w:ascii="Times New Roman" w:hAnsi="Times New Roman"/>
          <w:sz w:val="24"/>
          <w:szCs w:val="24"/>
        </w:rPr>
      </w:pPr>
      <w:r>
        <w:rPr>
          <w:noProof/>
        </w:rPr>
        <w:lastRenderedPageBreak/>
        <w:drawing>
          <wp:inline distT="0" distB="0" distL="0" distR="0" wp14:anchorId="66AF137A" wp14:editId="603E5E82">
            <wp:extent cx="5972175" cy="3272155"/>
            <wp:effectExtent l="0" t="0" r="9525" b="444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2175" cy="3272155"/>
                    </a:xfrm>
                    <a:prstGeom prst="rect">
                      <a:avLst/>
                    </a:prstGeom>
                    <a:noFill/>
                    <a:ln>
                      <a:noFill/>
                    </a:ln>
                  </pic:spPr>
                </pic:pic>
              </a:graphicData>
            </a:graphic>
          </wp:inline>
        </w:drawing>
      </w:r>
    </w:p>
    <w:p w14:paraId="4DA3E152" w14:textId="77777777" w:rsidR="00527268" w:rsidRDefault="00527268" w:rsidP="00527268">
      <w:pPr>
        <w:pStyle w:val="ThngthngWeb"/>
        <w:textAlignment w:val="baseline"/>
        <w:rPr>
          <w:rFonts w:ascii="IBM Plex Sans" w:hAnsi="IBM Plex Sans"/>
          <w:color w:val="333132"/>
          <w:sz w:val="27"/>
          <w:szCs w:val="27"/>
        </w:rPr>
      </w:pPr>
      <w:r>
        <w:rPr>
          <w:rFonts w:ascii="IBM Plex Sans" w:hAnsi="IBM Plex Sans"/>
          <w:color w:val="333132"/>
          <w:sz w:val="27"/>
          <w:szCs w:val="27"/>
        </w:rPr>
        <w:t>The main interface of Coin98 Exchange has the following sections:</w:t>
      </w:r>
    </w:p>
    <w:p w14:paraId="2307E38D" w14:textId="76E346A7" w:rsidR="00527268" w:rsidRDefault="00527268" w:rsidP="00527268">
      <w:pPr>
        <w:rPr>
          <w:rFonts w:ascii="Times New Roman" w:hAnsi="Times New Roman"/>
          <w:sz w:val="24"/>
          <w:szCs w:val="24"/>
        </w:rPr>
      </w:pPr>
      <w:r>
        <w:rPr>
          <w:noProof/>
        </w:rPr>
        <w:drawing>
          <wp:inline distT="0" distB="0" distL="0" distR="0" wp14:anchorId="658B2C00" wp14:editId="39EA91AC">
            <wp:extent cx="5972175" cy="3307080"/>
            <wp:effectExtent l="0" t="0" r="9525" b="762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2175" cy="3307080"/>
                    </a:xfrm>
                    <a:prstGeom prst="rect">
                      <a:avLst/>
                    </a:prstGeom>
                    <a:noFill/>
                    <a:ln>
                      <a:noFill/>
                    </a:ln>
                  </pic:spPr>
                </pic:pic>
              </a:graphicData>
            </a:graphic>
          </wp:inline>
        </w:drawing>
      </w:r>
    </w:p>
    <w:p w14:paraId="00B16D1F" w14:textId="77777777" w:rsidR="00527268" w:rsidRDefault="00527268" w:rsidP="00527268">
      <w:pPr>
        <w:pStyle w:val="ThngthngWeb"/>
        <w:spacing w:before="0" w:after="0"/>
        <w:textAlignment w:val="baseline"/>
        <w:rPr>
          <w:rFonts w:ascii="IBM Plex Sans" w:hAnsi="IBM Plex Sans"/>
          <w:color w:val="333132"/>
          <w:sz w:val="27"/>
          <w:szCs w:val="27"/>
        </w:rPr>
      </w:pPr>
      <w:r>
        <w:rPr>
          <w:rStyle w:val="Manh"/>
          <w:rFonts w:ascii="inherit" w:hAnsi="inherit"/>
          <w:color w:val="333132"/>
          <w:sz w:val="27"/>
          <w:szCs w:val="27"/>
          <w:bdr w:val="none" w:sz="0" w:space="0" w:color="auto" w:frame="1"/>
        </w:rPr>
        <w:t>[1] Navigation </w:t>
      </w:r>
      <w:r>
        <w:rPr>
          <w:rFonts w:ascii="IBM Plex Sans" w:hAnsi="IBM Plex Sans"/>
          <w:color w:val="333132"/>
          <w:sz w:val="27"/>
          <w:szCs w:val="27"/>
        </w:rPr>
        <w:t>to other Coin98's sites, products and AMMs of Coin98 Exchange.</w:t>
      </w:r>
    </w:p>
    <w:p w14:paraId="31B3EA05" w14:textId="77777777" w:rsidR="00527268" w:rsidRDefault="00527268" w:rsidP="00527268">
      <w:pPr>
        <w:pStyle w:val="ThngthngWeb"/>
        <w:spacing w:before="0" w:after="0"/>
        <w:textAlignment w:val="baseline"/>
        <w:rPr>
          <w:rFonts w:ascii="IBM Plex Sans" w:hAnsi="IBM Plex Sans"/>
          <w:color w:val="333132"/>
          <w:sz w:val="27"/>
          <w:szCs w:val="27"/>
        </w:rPr>
      </w:pPr>
      <w:r>
        <w:rPr>
          <w:rStyle w:val="Manh"/>
          <w:rFonts w:ascii="inherit" w:hAnsi="inherit"/>
          <w:color w:val="333132"/>
          <w:sz w:val="27"/>
          <w:szCs w:val="27"/>
          <w:bdr w:val="none" w:sz="0" w:space="0" w:color="auto" w:frame="1"/>
        </w:rPr>
        <w:t>[2] From left to right:</w:t>
      </w:r>
    </w:p>
    <w:p w14:paraId="5E259EA7" w14:textId="77777777" w:rsidR="00527268" w:rsidRDefault="00527268" w:rsidP="00527268">
      <w:pPr>
        <w:numPr>
          <w:ilvl w:val="0"/>
          <w:numId w:val="4"/>
        </w:numPr>
        <w:spacing w:before="100" w:beforeAutospacing="1" w:after="100" w:afterAutospacing="1" w:line="240" w:lineRule="auto"/>
        <w:textAlignment w:val="baseline"/>
        <w:rPr>
          <w:rFonts w:ascii="var(--text-font)" w:hAnsi="var(--text-font)"/>
          <w:color w:val="333132"/>
          <w:sz w:val="27"/>
          <w:szCs w:val="27"/>
        </w:rPr>
      </w:pPr>
      <w:r>
        <w:rPr>
          <w:rFonts w:ascii="var(--text-font)" w:hAnsi="var(--text-font)"/>
          <w:color w:val="333132"/>
          <w:sz w:val="27"/>
          <w:szCs w:val="27"/>
        </w:rPr>
        <w:lastRenderedPageBreak/>
        <w:t>A toggle switch to change between the Pro UI interface and the Basic UI interface.</w:t>
      </w:r>
    </w:p>
    <w:p w14:paraId="64445408" w14:textId="77777777" w:rsidR="00527268" w:rsidRDefault="00527268" w:rsidP="00527268">
      <w:pPr>
        <w:numPr>
          <w:ilvl w:val="0"/>
          <w:numId w:val="4"/>
        </w:numPr>
        <w:spacing w:before="100" w:beforeAutospacing="1" w:after="100" w:afterAutospacing="1" w:line="240" w:lineRule="auto"/>
        <w:textAlignment w:val="baseline"/>
        <w:rPr>
          <w:rFonts w:ascii="var(--text-font)" w:hAnsi="var(--text-font)"/>
          <w:color w:val="333132"/>
          <w:sz w:val="27"/>
          <w:szCs w:val="27"/>
        </w:rPr>
      </w:pPr>
      <w:r>
        <w:rPr>
          <w:rFonts w:ascii="var(--text-font)" w:hAnsi="var(--text-font)"/>
          <w:color w:val="333132"/>
          <w:sz w:val="27"/>
          <w:szCs w:val="27"/>
        </w:rPr>
        <w:t>The DEX selection area.</w:t>
      </w:r>
    </w:p>
    <w:p w14:paraId="2C589385" w14:textId="77777777" w:rsidR="00527268" w:rsidRDefault="00527268" w:rsidP="00527268">
      <w:pPr>
        <w:numPr>
          <w:ilvl w:val="0"/>
          <w:numId w:val="4"/>
        </w:numPr>
        <w:spacing w:before="100" w:beforeAutospacing="1" w:after="100" w:afterAutospacing="1" w:line="240" w:lineRule="auto"/>
        <w:textAlignment w:val="baseline"/>
        <w:rPr>
          <w:rFonts w:ascii="var(--text-font)" w:hAnsi="var(--text-font)"/>
          <w:color w:val="333132"/>
          <w:sz w:val="27"/>
          <w:szCs w:val="27"/>
        </w:rPr>
      </w:pPr>
      <w:r>
        <w:rPr>
          <w:rFonts w:ascii="var(--text-font)" w:hAnsi="var(--text-font)"/>
          <w:color w:val="333132"/>
          <w:sz w:val="27"/>
          <w:szCs w:val="27"/>
        </w:rPr>
        <w:t>The Wallet connected to Coin98 Exchange (you can change between wallets if there is more than 1).</w:t>
      </w:r>
    </w:p>
    <w:p w14:paraId="5D201C46" w14:textId="77777777" w:rsidR="00527268" w:rsidRDefault="00527268" w:rsidP="00527268">
      <w:pPr>
        <w:pStyle w:val="ThngthngWeb"/>
        <w:spacing w:before="0" w:after="0"/>
        <w:textAlignment w:val="baseline"/>
        <w:rPr>
          <w:rFonts w:ascii="IBM Plex Sans" w:hAnsi="IBM Plex Sans"/>
          <w:color w:val="333132"/>
          <w:sz w:val="27"/>
          <w:szCs w:val="27"/>
        </w:rPr>
      </w:pPr>
      <w:r>
        <w:rPr>
          <w:rStyle w:val="Manh"/>
          <w:rFonts w:ascii="inherit" w:hAnsi="inherit"/>
          <w:color w:val="333132"/>
          <w:sz w:val="27"/>
          <w:szCs w:val="27"/>
          <w:bdr w:val="none" w:sz="0" w:space="0" w:color="auto" w:frame="1"/>
        </w:rPr>
        <w:t>[3] Some built-in utilities:</w:t>
      </w:r>
    </w:p>
    <w:p w14:paraId="33E983CB" w14:textId="77777777" w:rsidR="00527268" w:rsidRDefault="00527268" w:rsidP="00527268">
      <w:pPr>
        <w:numPr>
          <w:ilvl w:val="0"/>
          <w:numId w:val="5"/>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The search bar:</w:t>
      </w:r>
      <w:r>
        <w:rPr>
          <w:rFonts w:ascii="var(--text-font)" w:hAnsi="var(--text-font)"/>
          <w:color w:val="333132"/>
          <w:sz w:val="27"/>
          <w:szCs w:val="27"/>
        </w:rPr>
        <w:t> Search the tokens with their names, symbols, or smart contract addresses.</w:t>
      </w:r>
    </w:p>
    <w:p w14:paraId="2071DED6" w14:textId="77777777" w:rsidR="00527268" w:rsidRDefault="00527268" w:rsidP="00527268">
      <w:pPr>
        <w:numPr>
          <w:ilvl w:val="0"/>
          <w:numId w:val="5"/>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The Gas station icon: </w:t>
      </w:r>
      <w:r>
        <w:rPr>
          <w:rFonts w:ascii="var(--text-font)" w:hAnsi="var(--text-font)"/>
          <w:color w:val="333132"/>
          <w:sz w:val="27"/>
          <w:szCs w:val="27"/>
        </w:rPr>
        <w:t xml:space="preserve">Real-time </w:t>
      </w:r>
      <w:proofErr w:type="spellStart"/>
      <w:r>
        <w:rPr>
          <w:rFonts w:ascii="var(--text-font)" w:hAnsi="var(--text-font)"/>
          <w:color w:val="333132"/>
          <w:sz w:val="27"/>
          <w:szCs w:val="27"/>
        </w:rPr>
        <w:t>Gwei</w:t>
      </w:r>
      <w:proofErr w:type="spellEnd"/>
      <w:r>
        <w:rPr>
          <w:rFonts w:ascii="var(--text-font)" w:hAnsi="var(--text-font)"/>
          <w:color w:val="333132"/>
          <w:sz w:val="27"/>
          <w:szCs w:val="27"/>
        </w:rPr>
        <w:t>.</w:t>
      </w:r>
    </w:p>
    <w:p w14:paraId="4B7E7449" w14:textId="77777777" w:rsidR="00527268" w:rsidRDefault="00527268" w:rsidP="00527268">
      <w:pPr>
        <w:numPr>
          <w:ilvl w:val="0"/>
          <w:numId w:val="5"/>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The Moon icon: </w:t>
      </w:r>
      <w:r>
        <w:rPr>
          <w:rFonts w:ascii="var(--text-font)" w:hAnsi="var(--text-font)"/>
          <w:color w:val="333132"/>
          <w:sz w:val="27"/>
          <w:szCs w:val="27"/>
        </w:rPr>
        <w:t>Light and dark interface settings.</w:t>
      </w:r>
    </w:p>
    <w:p w14:paraId="4D3FE55E" w14:textId="77777777" w:rsidR="00527268" w:rsidRDefault="00527268" w:rsidP="00527268">
      <w:pPr>
        <w:numPr>
          <w:ilvl w:val="0"/>
          <w:numId w:val="5"/>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The Lock icon: </w:t>
      </w:r>
      <w:r>
        <w:rPr>
          <w:rFonts w:ascii="var(--text-font)" w:hAnsi="var(--text-font)"/>
          <w:color w:val="333132"/>
          <w:sz w:val="27"/>
          <w:szCs w:val="27"/>
        </w:rPr>
        <w:t>Lock/Unlock the wallet.</w:t>
      </w:r>
    </w:p>
    <w:p w14:paraId="274F209D" w14:textId="77777777" w:rsidR="00527268" w:rsidRDefault="00527268" w:rsidP="00527268">
      <w:pPr>
        <w:numPr>
          <w:ilvl w:val="0"/>
          <w:numId w:val="5"/>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Wallet:</w:t>
      </w:r>
      <w:r>
        <w:rPr>
          <w:rFonts w:ascii="var(--text-font)" w:hAnsi="var(--text-font)"/>
          <w:color w:val="333132"/>
          <w:sz w:val="27"/>
          <w:szCs w:val="27"/>
        </w:rPr>
        <w:t> Manage wallet and receive/send tokens.</w:t>
      </w:r>
    </w:p>
    <w:p w14:paraId="21A2FC3B" w14:textId="77777777" w:rsidR="00527268" w:rsidRDefault="00527268" w:rsidP="00527268">
      <w:pPr>
        <w:pStyle w:val="ThngthngWeb"/>
        <w:spacing w:before="0" w:after="0"/>
        <w:textAlignment w:val="baseline"/>
        <w:rPr>
          <w:rFonts w:ascii="IBM Plex Sans" w:hAnsi="IBM Plex Sans"/>
          <w:color w:val="333132"/>
          <w:sz w:val="27"/>
          <w:szCs w:val="27"/>
        </w:rPr>
      </w:pPr>
      <w:r>
        <w:rPr>
          <w:rStyle w:val="Manh"/>
          <w:rFonts w:ascii="inherit" w:hAnsi="inherit"/>
          <w:color w:val="333132"/>
          <w:sz w:val="27"/>
          <w:szCs w:val="27"/>
          <w:bdr w:val="none" w:sz="0" w:space="0" w:color="auto" w:frame="1"/>
        </w:rPr>
        <w:t>[4] Information about the 2 chosen tokens in the pool:</w:t>
      </w:r>
    </w:p>
    <w:p w14:paraId="04B32B12" w14:textId="77777777" w:rsidR="00527268" w:rsidRDefault="00527268" w:rsidP="00527268">
      <w:pPr>
        <w:numPr>
          <w:ilvl w:val="0"/>
          <w:numId w:val="6"/>
        </w:numPr>
        <w:spacing w:before="100" w:beforeAutospacing="1" w:after="100" w:afterAutospacing="1" w:line="240" w:lineRule="auto"/>
        <w:textAlignment w:val="baseline"/>
        <w:rPr>
          <w:rFonts w:ascii="var(--text-font)" w:hAnsi="var(--text-font)"/>
          <w:color w:val="333132"/>
          <w:sz w:val="27"/>
          <w:szCs w:val="27"/>
        </w:rPr>
      </w:pPr>
      <w:r>
        <w:rPr>
          <w:rFonts w:ascii="var(--text-font)" w:hAnsi="var(--text-font)"/>
          <w:color w:val="333132"/>
          <w:sz w:val="27"/>
          <w:szCs w:val="27"/>
        </w:rPr>
        <w:t>Current number of tokens in the pool.</w:t>
      </w:r>
    </w:p>
    <w:p w14:paraId="6887F787" w14:textId="77777777" w:rsidR="00527268" w:rsidRDefault="00527268" w:rsidP="00527268">
      <w:pPr>
        <w:numPr>
          <w:ilvl w:val="0"/>
          <w:numId w:val="6"/>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Total Liquidity:</w:t>
      </w:r>
      <w:r>
        <w:rPr>
          <w:rFonts w:ascii="var(--text-font)" w:hAnsi="var(--text-font)"/>
          <w:color w:val="333132"/>
          <w:sz w:val="27"/>
          <w:szCs w:val="27"/>
        </w:rPr>
        <w:t> The current total liquidity in the pool in USD.</w:t>
      </w:r>
    </w:p>
    <w:p w14:paraId="432FD367" w14:textId="77777777" w:rsidR="00527268" w:rsidRDefault="00527268" w:rsidP="00527268">
      <w:pPr>
        <w:numPr>
          <w:ilvl w:val="0"/>
          <w:numId w:val="6"/>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24h Volume:</w:t>
      </w:r>
      <w:r>
        <w:rPr>
          <w:rFonts w:ascii="var(--text-font)" w:hAnsi="var(--text-font)"/>
          <w:color w:val="333132"/>
          <w:sz w:val="27"/>
          <w:szCs w:val="27"/>
        </w:rPr>
        <w:t> The total trading volume of the pool within 24 hours, % of change within 24 hours.</w:t>
      </w:r>
    </w:p>
    <w:p w14:paraId="1CCDFCB3" w14:textId="77777777" w:rsidR="00527268" w:rsidRDefault="00527268" w:rsidP="00527268">
      <w:pPr>
        <w:numPr>
          <w:ilvl w:val="0"/>
          <w:numId w:val="6"/>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24h Fees: </w:t>
      </w:r>
      <w:r>
        <w:rPr>
          <w:rFonts w:ascii="var(--text-font)" w:hAnsi="var(--text-font)"/>
          <w:color w:val="333132"/>
          <w:sz w:val="27"/>
          <w:szCs w:val="27"/>
        </w:rPr>
        <w:t>The total swap fee of the pool in 24h, % of change within 24h.</w:t>
      </w:r>
    </w:p>
    <w:p w14:paraId="2564102F" w14:textId="77777777" w:rsidR="00527268" w:rsidRDefault="00527268" w:rsidP="00527268">
      <w:pPr>
        <w:pStyle w:val="ThngthngWeb"/>
        <w:spacing w:before="0" w:beforeAutospacing="0" w:after="0" w:afterAutospacing="0"/>
        <w:textAlignment w:val="baseline"/>
        <w:rPr>
          <w:rFonts w:ascii="inherit" w:hAnsi="inherit"/>
          <w:color w:val="333132"/>
          <w:sz w:val="27"/>
          <w:szCs w:val="27"/>
        </w:rPr>
      </w:pPr>
      <w:r>
        <w:rPr>
          <w:rStyle w:val="Manh"/>
          <w:rFonts w:ascii="inherit" w:hAnsi="inherit"/>
          <w:i/>
          <w:iCs/>
          <w:color w:val="333132"/>
          <w:sz w:val="27"/>
          <w:szCs w:val="27"/>
          <w:bdr w:val="none" w:sz="0" w:space="0" w:color="auto" w:frame="1"/>
        </w:rPr>
        <w:t>*Note: </w:t>
      </w:r>
      <w:r>
        <w:rPr>
          <w:rFonts w:ascii="inherit" w:hAnsi="inherit"/>
          <w:i/>
          <w:iCs/>
          <w:color w:val="333132"/>
          <w:sz w:val="27"/>
          <w:szCs w:val="27"/>
          <w:bdr w:val="none" w:sz="0" w:space="0" w:color="auto" w:frame="1"/>
        </w:rPr>
        <w:t>This area will not be displayed in the Basic interface.</w:t>
      </w:r>
    </w:p>
    <w:p w14:paraId="0ACD948C" w14:textId="77777777" w:rsidR="00527268" w:rsidRDefault="00527268" w:rsidP="00527268">
      <w:pPr>
        <w:pStyle w:val="ThngthngWeb"/>
        <w:spacing w:before="0" w:after="0"/>
        <w:textAlignment w:val="baseline"/>
        <w:rPr>
          <w:rFonts w:ascii="IBM Plex Sans" w:hAnsi="IBM Plex Sans"/>
          <w:color w:val="333132"/>
          <w:sz w:val="27"/>
          <w:szCs w:val="27"/>
        </w:rPr>
      </w:pPr>
      <w:r>
        <w:rPr>
          <w:rStyle w:val="Manh"/>
          <w:rFonts w:ascii="inherit" w:hAnsi="inherit"/>
          <w:color w:val="333132"/>
          <w:sz w:val="27"/>
          <w:szCs w:val="27"/>
          <w:bdr w:val="none" w:sz="0" w:space="0" w:color="auto" w:frame="1"/>
        </w:rPr>
        <w:t>[5] </w:t>
      </w:r>
      <w:r>
        <w:rPr>
          <w:rFonts w:ascii="IBM Plex Sans" w:hAnsi="IBM Plex Sans"/>
          <w:color w:val="333132"/>
          <w:sz w:val="27"/>
          <w:szCs w:val="27"/>
        </w:rPr>
        <w:t>The Token selection area.</w:t>
      </w:r>
    </w:p>
    <w:p w14:paraId="0BC87E8D" w14:textId="77777777" w:rsidR="00527268" w:rsidRDefault="00527268" w:rsidP="00527268">
      <w:pPr>
        <w:pStyle w:val="ThngthngWeb"/>
        <w:spacing w:before="0" w:after="0"/>
        <w:textAlignment w:val="baseline"/>
        <w:rPr>
          <w:rFonts w:ascii="IBM Plex Sans" w:hAnsi="IBM Plex Sans"/>
          <w:color w:val="333132"/>
          <w:sz w:val="27"/>
          <w:szCs w:val="27"/>
        </w:rPr>
      </w:pPr>
      <w:r>
        <w:rPr>
          <w:rStyle w:val="Manh"/>
          <w:rFonts w:ascii="inherit" w:hAnsi="inherit"/>
          <w:color w:val="333132"/>
          <w:sz w:val="27"/>
          <w:szCs w:val="27"/>
          <w:bdr w:val="none" w:sz="0" w:space="0" w:color="auto" w:frame="1"/>
        </w:rPr>
        <w:t>[6]</w:t>
      </w:r>
      <w:r>
        <w:rPr>
          <w:rFonts w:ascii="IBM Plex Sans" w:hAnsi="IBM Plex Sans"/>
          <w:color w:val="333132"/>
          <w:sz w:val="27"/>
          <w:szCs w:val="27"/>
        </w:rPr>
        <w:t> The price chart of the token that you intend to swap including:</w:t>
      </w:r>
    </w:p>
    <w:p w14:paraId="25ABA9D6" w14:textId="630F39E2" w:rsidR="00527268" w:rsidRDefault="00527268" w:rsidP="00527268">
      <w:pPr>
        <w:rPr>
          <w:rFonts w:ascii="Times New Roman" w:hAnsi="Times New Roman"/>
          <w:sz w:val="24"/>
          <w:szCs w:val="24"/>
        </w:rPr>
      </w:pPr>
      <w:r>
        <w:rPr>
          <w:noProof/>
        </w:rPr>
        <w:lastRenderedPageBreak/>
        <w:drawing>
          <wp:inline distT="0" distB="0" distL="0" distR="0" wp14:anchorId="2723DF6F" wp14:editId="2194C325">
            <wp:extent cx="5972175" cy="5031105"/>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2175" cy="5031105"/>
                    </a:xfrm>
                    <a:prstGeom prst="rect">
                      <a:avLst/>
                    </a:prstGeom>
                    <a:noFill/>
                    <a:ln>
                      <a:noFill/>
                    </a:ln>
                  </pic:spPr>
                </pic:pic>
              </a:graphicData>
            </a:graphic>
          </wp:inline>
        </w:drawing>
      </w:r>
    </w:p>
    <w:p w14:paraId="459F3C93" w14:textId="77777777" w:rsidR="00527268" w:rsidRDefault="00527268" w:rsidP="00527268">
      <w:pPr>
        <w:numPr>
          <w:ilvl w:val="0"/>
          <w:numId w:val="7"/>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[a] </w:t>
      </w:r>
      <w:r>
        <w:rPr>
          <w:rFonts w:ascii="var(--text-font)" w:hAnsi="var(--text-font)"/>
          <w:color w:val="333132"/>
          <w:sz w:val="27"/>
          <w:szCs w:val="27"/>
        </w:rPr>
        <w:t>Name, sticker, logo, and real-time price of the swapped token.</w:t>
      </w:r>
    </w:p>
    <w:p w14:paraId="08E3B856" w14:textId="77777777" w:rsidR="00527268" w:rsidRDefault="00527268" w:rsidP="00527268">
      <w:pPr>
        <w:numPr>
          <w:ilvl w:val="0"/>
          <w:numId w:val="7"/>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[b]</w:t>
      </w:r>
      <w:r>
        <w:rPr>
          <w:rFonts w:ascii="var(--text-font)" w:hAnsi="var(--text-font)"/>
          <w:color w:val="333132"/>
          <w:sz w:val="27"/>
          <w:szCs w:val="27"/>
        </w:rPr>
        <w:t> Watch time adjustment (1 minute - 1 week), available indicator-related tools, types of candles.</w:t>
      </w:r>
    </w:p>
    <w:p w14:paraId="2323620F" w14:textId="77777777" w:rsidR="00527268" w:rsidRDefault="00527268" w:rsidP="00527268">
      <w:pPr>
        <w:numPr>
          <w:ilvl w:val="0"/>
          <w:numId w:val="7"/>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[c] </w:t>
      </w:r>
      <w:r>
        <w:rPr>
          <w:rFonts w:ascii="var(--text-font)" w:hAnsi="var(--text-font)"/>
          <w:color w:val="333132"/>
          <w:sz w:val="27"/>
          <w:szCs w:val="27"/>
        </w:rPr>
        <w:t>The Drawing and measuring tools. However, to use these tools you need to have knowledge of technical analysis.</w:t>
      </w:r>
    </w:p>
    <w:p w14:paraId="1F759060" w14:textId="77777777" w:rsidR="00527268" w:rsidRDefault="00527268" w:rsidP="00527268">
      <w:pPr>
        <w:numPr>
          <w:ilvl w:val="0"/>
          <w:numId w:val="7"/>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[d]</w:t>
      </w:r>
      <w:r>
        <w:rPr>
          <w:rFonts w:ascii="var(--text-font)" w:hAnsi="var(--text-font)"/>
          <w:color w:val="333132"/>
          <w:sz w:val="27"/>
          <w:szCs w:val="27"/>
        </w:rPr>
        <w:t> The largest area, where the price chart is placed as well as where all the tools are applied, showing the indicators for price analysis.</w:t>
      </w:r>
    </w:p>
    <w:p w14:paraId="7C306BD1" w14:textId="77777777" w:rsidR="00527268" w:rsidRDefault="00527268" w:rsidP="00527268">
      <w:pPr>
        <w:pStyle w:val="ThngthngWeb"/>
        <w:spacing w:before="0" w:after="0"/>
        <w:textAlignment w:val="baseline"/>
        <w:rPr>
          <w:rFonts w:ascii="IBM Plex Sans" w:hAnsi="IBM Plex Sans"/>
          <w:color w:val="333132"/>
          <w:sz w:val="27"/>
          <w:szCs w:val="27"/>
        </w:rPr>
      </w:pPr>
      <w:r>
        <w:rPr>
          <w:rFonts w:ascii="IBM Plex Sans" w:hAnsi="IBM Plex Sans"/>
          <w:color w:val="333132"/>
          <w:sz w:val="27"/>
          <w:szCs w:val="27"/>
        </w:rPr>
        <w:t>Users can click the </w:t>
      </w:r>
      <w:r>
        <w:rPr>
          <w:rStyle w:val="Manh"/>
          <w:rFonts w:ascii="inherit" w:hAnsi="inherit"/>
          <w:color w:val="333132"/>
          <w:sz w:val="27"/>
          <w:szCs w:val="27"/>
          <w:bdr w:val="none" w:sz="0" w:space="0" w:color="auto" w:frame="1"/>
        </w:rPr>
        <w:t>(!)</w:t>
      </w:r>
      <w:r>
        <w:rPr>
          <w:rFonts w:ascii="IBM Plex Sans" w:hAnsi="IBM Plex Sans"/>
          <w:color w:val="333132"/>
          <w:sz w:val="27"/>
          <w:szCs w:val="27"/>
        </w:rPr>
        <w:t> icon at the lower-left corner of the price chart to view more information about the token.</w:t>
      </w:r>
    </w:p>
    <w:p w14:paraId="68A532ED" w14:textId="4A51D995" w:rsidR="00527268" w:rsidRDefault="00527268" w:rsidP="00527268">
      <w:pPr>
        <w:rPr>
          <w:rFonts w:ascii="Times New Roman" w:hAnsi="Times New Roman"/>
          <w:sz w:val="24"/>
          <w:szCs w:val="24"/>
        </w:rPr>
      </w:pPr>
      <w:r>
        <w:rPr>
          <w:noProof/>
        </w:rPr>
        <w:lastRenderedPageBreak/>
        <w:drawing>
          <wp:inline distT="0" distB="0" distL="0" distR="0" wp14:anchorId="263F5A3A" wp14:editId="34C37AFC">
            <wp:extent cx="5972175" cy="2187575"/>
            <wp:effectExtent l="0" t="0" r="9525" b="317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2187575"/>
                    </a:xfrm>
                    <a:prstGeom prst="rect">
                      <a:avLst/>
                    </a:prstGeom>
                    <a:noFill/>
                    <a:ln>
                      <a:noFill/>
                    </a:ln>
                  </pic:spPr>
                </pic:pic>
              </a:graphicData>
            </a:graphic>
          </wp:inline>
        </w:drawing>
      </w:r>
    </w:p>
    <w:p w14:paraId="249F8DA2" w14:textId="77777777" w:rsidR="00527268" w:rsidRDefault="00527268" w:rsidP="00527268">
      <w:pPr>
        <w:pStyle w:val="ThngthngWeb"/>
        <w:spacing w:before="0" w:after="0"/>
        <w:textAlignment w:val="baseline"/>
        <w:rPr>
          <w:rFonts w:ascii="IBM Plex Sans" w:hAnsi="IBM Plex Sans"/>
          <w:color w:val="333132"/>
          <w:sz w:val="27"/>
          <w:szCs w:val="27"/>
        </w:rPr>
      </w:pPr>
      <w:r>
        <w:rPr>
          <w:rStyle w:val="Manh"/>
          <w:rFonts w:ascii="inherit" w:hAnsi="inherit"/>
          <w:color w:val="333132"/>
          <w:sz w:val="27"/>
          <w:szCs w:val="27"/>
          <w:bdr w:val="none" w:sz="0" w:space="0" w:color="auto" w:frame="1"/>
        </w:rPr>
        <w:t>[7] </w:t>
      </w:r>
      <w:r>
        <w:rPr>
          <w:rFonts w:ascii="IBM Plex Sans" w:hAnsi="IBM Plex Sans"/>
          <w:color w:val="333132"/>
          <w:sz w:val="27"/>
          <w:szCs w:val="27"/>
        </w:rPr>
        <w:t>History of transactions.</w:t>
      </w:r>
    </w:p>
    <w:p w14:paraId="18094A09" w14:textId="77777777" w:rsidR="00527268" w:rsidRDefault="00527268" w:rsidP="00527268">
      <w:pPr>
        <w:pStyle w:val="ThngthngWeb"/>
        <w:spacing w:before="0" w:after="0"/>
        <w:textAlignment w:val="baseline"/>
        <w:rPr>
          <w:rFonts w:ascii="IBM Plex Sans" w:hAnsi="IBM Plex Sans"/>
          <w:color w:val="333132"/>
          <w:sz w:val="27"/>
          <w:szCs w:val="27"/>
        </w:rPr>
      </w:pPr>
      <w:r>
        <w:rPr>
          <w:rStyle w:val="Manh"/>
          <w:rFonts w:ascii="inherit" w:hAnsi="inherit"/>
          <w:color w:val="333132"/>
          <w:sz w:val="27"/>
          <w:szCs w:val="27"/>
          <w:bdr w:val="none" w:sz="0" w:space="0" w:color="auto" w:frame="1"/>
        </w:rPr>
        <w:t>[8] </w:t>
      </w:r>
      <w:r>
        <w:rPr>
          <w:rFonts w:ascii="IBM Plex Sans" w:hAnsi="IBM Plex Sans"/>
          <w:color w:val="333132"/>
          <w:sz w:val="27"/>
          <w:szCs w:val="27"/>
        </w:rPr>
        <w:t>The transaction area.</w:t>
      </w:r>
    </w:p>
    <w:p w14:paraId="3769E801" w14:textId="77777777" w:rsidR="00527268" w:rsidRDefault="00527268" w:rsidP="00527268">
      <w:pPr>
        <w:pStyle w:val="ThngthngWeb"/>
        <w:spacing w:before="0" w:after="0"/>
        <w:textAlignment w:val="baseline"/>
        <w:rPr>
          <w:rFonts w:ascii="IBM Plex Sans" w:hAnsi="IBM Plex Sans"/>
          <w:color w:val="333132"/>
          <w:sz w:val="27"/>
          <w:szCs w:val="27"/>
        </w:rPr>
      </w:pPr>
      <w:r>
        <w:rPr>
          <w:rStyle w:val="Manh"/>
          <w:rFonts w:ascii="inherit" w:hAnsi="inherit"/>
          <w:color w:val="333132"/>
          <w:sz w:val="27"/>
          <w:szCs w:val="27"/>
          <w:bdr w:val="none" w:sz="0" w:space="0" w:color="auto" w:frame="1"/>
        </w:rPr>
        <w:t>[9] </w:t>
      </w:r>
      <w:r>
        <w:rPr>
          <w:rFonts w:ascii="IBM Plex Sans" w:hAnsi="IBM Plex Sans"/>
          <w:color w:val="333132"/>
          <w:sz w:val="27"/>
          <w:szCs w:val="27"/>
        </w:rPr>
        <w:t>The transaction information as well as the main settings:</w:t>
      </w:r>
    </w:p>
    <w:p w14:paraId="74F632B2" w14:textId="77777777" w:rsidR="00527268" w:rsidRDefault="00527268" w:rsidP="00527268">
      <w:pPr>
        <w:numPr>
          <w:ilvl w:val="0"/>
          <w:numId w:val="8"/>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Average Price: </w:t>
      </w:r>
      <w:r>
        <w:rPr>
          <w:rFonts w:ascii="var(--text-font)" w:hAnsi="var(--text-font)"/>
          <w:color w:val="333132"/>
          <w:sz w:val="27"/>
          <w:szCs w:val="27"/>
        </w:rPr>
        <w:t>The average price ratio of the 2 tokens.</w:t>
      </w:r>
    </w:p>
    <w:p w14:paraId="2403C9AE" w14:textId="77777777" w:rsidR="00527268" w:rsidRDefault="00527268" w:rsidP="00527268">
      <w:pPr>
        <w:numPr>
          <w:ilvl w:val="0"/>
          <w:numId w:val="8"/>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Price impact: </w:t>
      </w:r>
      <w:r>
        <w:rPr>
          <w:rFonts w:ascii="var(--text-font)" w:hAnsi="var(--text-font)"/>
          <w:color w:val="333132"/>
          <w:sz w:val="27"/>
          <w:szCs w:val="27"/>
        </w:rPr>
        <w:t>The difference between the market price and the estimated price provided by the Liquidity Pool.</w:t>
      </w:r>
    </w:p>
    <w:p w14:paraId="405CEB28" w14:textId="77777777" w:rsidR="00527268" w:rsidRDefault="00527268" w:rsidP="00527268">
      <w:pPr>
        <w:numPr>
          <w:ilvl w:val="0"/>
          <w:numId w:val="8"/>
        </w:numPr>
        <w:spacing w:beforeAutospacing="1" w:after="0" w:afterAutospacing="1" w:line="240" w:lineRule="auto"/>
        <w:textAlignment w:val="baseline"/>
        <w:rPr>
          <w:rFonts w:ascii="var(--text-font)" w:hAnsi="var(--text-font)"/>
          <w:color w:val="333132"/>
          <w:sz w:val="27"/>
          <w:szCs w:val="27"/>
        </w:rPr>
      </w:pPr>
      <w:proofErr w:type="spellStart"/>
      <w:r>
        <w:rPr>
          <w:rStyle w:val="Manh"/>
          <w:rFonts w:ascii="inherit" w:hAnsi="inherit"/>
          <w:color w:val="333132"/>
          <w:sz w:val="27"/>
          <w:szCs w:val="27"/>
          <w:bdr w:val="none" w:sz="0" w:space="0" w:color="auto" w:frame="1"/>
        </w:rPr>
        <w:t>Gwei</w:t>
      </w:r>
      <w:proofErr w:type="spellEnd"/>
      <w:r>
        <w:rPr>
          <w:rStyle w:val="Manh"/>
          <w:rFonts w:ascii="inherit" w:hAnsi="inherit"/>
          <w:color w:val="333132"/>
          <w:sz w:val="27"/>
          <w:szCs w:val="27"/>
          <w:bdr w:val="none" w:sz="0" w:space="0" w:color="auto" w:frame="1"/>
        </w:rPr>
        <w:t>: </w:t>
      </w:r>
      <w:r>
        <w:rPr>
          <w:rFonts w:ascii="var(--text-font)" w:hAnsi="var(--text-font)"/>
          <w:color w:val="333132"/>
          <w:sz w:val="27"/>
          <w:szCs w:val="27"/>
        </w:rPr>
        <w:t>Can be considered as the transaction fee - a payment made by users to complete transactions on blockchains.</w:t>
      </w:r>
    </w:p>
    <w:p w14:paraId="47B63A4B" w14:textId="77777777" w:rsidR="00527268" w:rsidRDefault="00527268" w:rsidP="00527268">
      <w:pPr>
        <w:numPr>
          <w:ilvl w:val="0"/>
          <w:numId w:val="8"/>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Liquidity Provider Fee: </w:t>
      </w:r>
      <w:r>
        <w:rPr>
          <w:rFonts w:ascii="var(--text-font)" w:hAnsi="var(--text-font)"/>
          <w:color w:val="333132"/>
          <w:sz w:val="27"/>
          <w:szCs w:val="27"/>
        </w:rPr>
        <w:t>The fee you have to pay to the liquidity provider</w:t>
      </w:r>
    </w:p>
    <w:p w14:paraId="34E72424" w14:textId="77777777" w:rsidR="00527268" w:rsidRDefault="00527268" w:rsidP="00527268">
      <w:pPr>
        <w:numPr>
          <w:ilvl w:val="0"/>
          <w:numId w:val="8"/>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Estimate Fee:</w:t>
      </w:r>
      <w:r>
        <w:rPr>
          <w:rFonts w:ascii="var(--text-font)" w:hAnsi="var(--text-font)"/>
          <w:color w:val="333132"/>
          <w:sz w:val="27"/>
          <w:szCs w:val="27"/>
        </w:rPr>
        <w:t> The estimated transaction fee that you have to pay for the network.</w:t>
      </w:r>
    </w:p>
    <w:p w14:paraId="22624B34" w14:textId="77777777" w:rsidR="00527268" w:rsidRDefault="00527268" w:rsidP="00527268">
      <w:pPr>
        <w:pStyle w:val="ThngthngWeb"/>
        <w:spacing w:before="0" w:after="0"/>
        <w:textAlignment w:val="baseline"/>
        <w:rPr>
          <w:rFonts w:ascii="IBM Plex Sans" w:hAnsi="IBM Plex Sans"/>
          <w:color w:val="333132"/>
          <w:sz w:val="27"/>
          <w:szCs w:val="27"/>
        </w:rPr>
      </w:pPr>
      <w:r>
        <w:rPr>
          <w:rStyle w:val="Manh"/>
          <w:rFonts w:ascii="inherit" w:hAnsi="inherit"/>
          <w:color w:val="333132"/>
          <w:sz w:val="27"/>
          <w:szCs w:val="27"/>
          <w:bdr w:val="none" w:sz="0" w:space="0" w:color="auto" w:frame="1"/>
        </w:rPr>
        <w:t>Advanced Settings:</w:t>
      </w:r>
    </w:p>
    <w:p w14:paraId="2FEBC05D" w14:textId="77777777" w:rsidR="00527268" w:rsidRDefault="00527268" w:rsidP="00527268">
      <w:pPr>
        <w:numPr>
          <w:ilvl w:val="0"/>
          <w:numId w:val="9"/>
        </w:numPr>
        <w:spacing w:beforeAutospacing="1" w:after="0" w:afterAutospacing="1" w:line="240" w:lineRule="auto"/>
        <w:textAlignment w:val="baseline"/>
        <w:rPr>
          <w:rFonts w:ascii="var(--text-font)" w:hAnsi="var(--text-font)"/>
          <w:color w:val="333132"/>
          <w:sz w:val="27"/>
          <w:szCs w:val="27"/>
        </w:rPr>
      </w:pPr>
      <w:proofErr w:type="spellStart"/>
      <w:r>
        <w:rPr>
          <w:rStyle w:val="Manh"/>
          <w:rFonts w:ascii="inherit" w:hAnsi="inherit"/>
          <w:color w:val="333132"/>
          <w:sz w:val="27"/>
          <w:szCs w:val="27"/>
          <w:bdr w:val="none" w:sz="0" w:space="0" w:color="auto" w:frame="1"/>
        </w:rPr>
        <w:t>Gwei</w:t>
      </w:r>
      <w:proofErr w:type="spellEnd"/>
      <w:r>
        <w:rPr>
          <w:rStyle w:val="Manh"/>
          <w:rFonts w:ascii="inherit" w:hAnsi="inherit"/>
          <w:color w:val="333132"/>
          <w:sz w:val="27"/>
          <w:szCs w:val="27"/>
          <w:bdr w:val="none" w:sz="0" w:space="0" w:color="auto" w:frame="1"/>
        </w:rPr>
        <w:t xml:space="preserve"> bar:</w:t>
      </w:r>
      <w:r>
        <w:rPr>
          <w:rFonts w:ascii="var(--text-font)" w:hAnsi="var(--text-font)"/>
          <w:color w:val="333132"/>
          <w:sz w:val="27"/>
          <w:szCs w:val="27"/>
        </w:rPr>
        <w:t> A feature that allows users to adjust the amount of Gas fee (transaction fee) according to their needs by sliding the bar.</w:t>
      </w:r>
    </w:p>
    <w:p w14:paraId="023F8BA7" w14:textId="77777777" w:rsidR="00527268" w:rsidRDefault="00527268" w:rsidP="00527268">
      <w:pPr>
        <w:numPr>
          <w:ilvl w:val="0"/>
          <w:numId w:val="9"/>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Slippage tolerance:</w:t>
      </w:r>
      <w:r>
        <w:rPr>
          <w:rFonts w:ascii="var(--text-font)" w:hAnsi="var(--text-font)"/>
          <w:color w:val="333132"/>
          <w:sz w:val="27"/>
          <w:szCs w:val="27"/>
        </w:rPr>
        <w:t> The pricing difference between the price at the confirmation time and the actual price of the transaction users are willing to accept when swapping on AMMs. </w:t>
      </w:r>
      <w:r>
        <w:rPr>
          <w:rStyle w:val="Manh"/>
          <w:rFonts w:ascii="inherit" w:hAnsi="inherit"/>
          <w:color w:val="333132"/>
          <w:sz w:val="27"/>
          <w:szCs w:val="27"/>
          <w:bdr w:val="none" w:sz="0" w:space="0" w:color="auto" w:frame="1"/>
        </w:rPr>
        <w:t>Slippage tolerance</w:t>
      </w:r>
      <w:r>
        <w:rPr>
          <w:rFonts w:ascii="var(--text-font)" w:hAnsi="var(--text-font)"/>
          <w:color w:val="333132"/>
          <w:sz w:val="27"/>
          <w:szCs w:val="27"/>
        </w:rPr>
        <w:t> is set as a percentage of the total swap value.</w:t>
      </w:r>
    </w:p>
    <w:p w14:paraId="5ADD2D4E" w14:textId="77777777" w:rsidR="00527268" w:rsidRDefault="00527268" w:rsidP="00527268">
      <w:pPr>
        <w:numPr>
          <w:ilvl w:val="0"/>
          <w:numId w:val="9"/>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Transaction Deadline:</w:t>
      </w:r>
      <w:r>
        <w:rPr>
          <w:rFonts w:ascii="var(--text-font)" w:hAnsi="var(--text-font)"/>
          <w:color w:val="333132"/>
          <w:sz w:val="27"/>
          <w:szCs w:val="27"/>
        </w:rPr>
        <w:t> The maximum transaction time that you can specify to avoid the case of long waiting time without any matching orders.</w:t>
      </w:r>
    </w:p>
    <w:p w14:paraId="721FE68C" w14:textId="77777777" w:rsidR="00527268" w:rsidRDefault="00527268" w:rsidP="00527268">
      <w:pPr>
        <w:numPr>
          <w:ilvl w:val="0"/>
          <w:numId w:val="9"/>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Unlimited Approval: </w:t>
      </w:r>
      <w:r>
        <w:rPr>
          <w:rFonts w:ascii="var(--text-font)" w:hAnsi="var(--text-font)"/>
          <w:color w:val="333132"/>
          <w:sz w:val="27"/>
          <w:szCs w:val="27"/>
        </w:rPr>
        <w:t>A feature that enables users to grant platforms and smart contracts the permission to spend tokens/ coins on your behalf without limit.</w:t>
      </w:r>
    </w:p>
    <w:p w14:paraId="4CDC7834" w14:textId="77777777" w:rsidR="00527268" w:rsidRDefault="00527268" w:rsidP="00527268">
      <w:pPr>
        <w:numPr>
          <w:ilvl w:val="0"/>
          <w:numId w:val="9"/>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Default Pair: </w:t>
      </w:r>
      <w:r>
        <w:rPr>
          <w:rFonts w:ascii="var(--text-font)" w:hAnsi="var(--text-font)"/>
          <w:color w:val="333132"/>
          <w:sz w:val="27"/>
          <w:szCs w:val="27"/>
        </w:rPr>
        <w:t>The default tokens for each trading pair</w:t>
      </w:r>
    </w:p>
    <w:p w14:paraId="40FC39BC" w14:textId="77777777" w:rsidR="00527268" w:rsidRDefault="00527268" w:rsidP="00527268">
      <w:pPr>
        <w:numPr>
          <w:ilvl w:val="0"/>
          <w:numId w:val="9"/>
        </w:numPr>
        <w:spacing w:beforeAutospacing="1" w:after="0" w:afterAutospacing="1" w:line="240" w:lineRule="auto"/>
        <w:textAlignment w:val="baseline"/>
        <w:rPr>
          <w:rFonts w:ascii="var(--text-font)" w:hAnsi="var(--text-font)"/>
          <w:color w:val="333132"/>
          <w:sz w:val="27"/>
          <w:szCs w:val="27"/>
        </w:rPr>
      </w:pPr>
      <w:r>
        <w:rPr>
          <w:rStyle w:val="Manh"/>
          <w:rFonts w:ascii="inherit" w:hAnsi="inherit"/>
          <w:color w:val="333132"/>
          <w:sz w:val="27"/>
          <w:szCs w:val="27"/>
          <w:bdr w:val="none" w:sz="0" w:space="0" w:color="auto" w:frame="1"/>
        </w:rPr>
        <w:t>Contract revoke: </w:t>
      </w:r>
      <w:r>
        <w:rPr>
          <w:rFonts w:ascii="var(--text-font)" w:hAnsi="var(--text-font)"/>
          <w:color w:val="333132"/>
          <w:sz w:val="27"/>
          <w:szCs w:val="27"/>
        </w:rPr>
        <w:t xml:space="preserve">Allows you to inspect all contracts you've approved to spend money on your behalf and revoke their access for the ones you no </w:t>
      </w:r>
      <w:r>
        <w:rPr>
          <w:rFonts w:ascii="var(--text-font)" w:hAnsi="var(--text-font)"/>
          <w:color w:val="333132"/>
          <w:sz w:val="27"/>
          <w:szCs w:val="27"/>
        </w:rPr>
        <w:lastRenderedPageBreak/>
        <w:t xml:space="preserve">longer need. The example shows that I have allowed </w:t>
      </w:r>
      <w:proofErr w:type="spellStart"/>
      <w:r>
        <w:rPr>
          <w:rFonts w:ascii="var(--text-font)" w:hAnsi="var(--text-font)"/>
          <w:color w:val="333132"/>
          <w:sz w:val="27"/>
          <w:szCs w:val="27"/>
        </w:rPr>
        <w:t>PancakeSwap</w:t>
      </w:r>
      <w:proofErr w:type="spellEnd"/>
      <w:r>
        <w:rPr>
          <w:rFonts w:ascii="var(--text-font)" w:hAnsi="var(--text-font)"/>
          <w:color w:val="333132"/>
          <w:sz w:val="27"/>
          <w:szCs w:val="27"/>
        </w:rPr>
        <w:t xml:space="preserve"> (V2) to use a very large amount of USDT, if I feel it is not necessary, I will click on the crossed-out icon on the right.</w:t>
      </w:r>
    </w:p>
    <w:p w14:paraId="273FA8C8" w14:textId="15182524" w:rsidR="00527268" w:rsidRDefault="00527268" w:rsidP="00527268">
      <w:pPr>
        <w:rPr>
          <w:rFonts w:ascii="Times New Roman" w:hAnsi="Times New Roman"/>
          <w:sz w:val="24"/>
          <w:szCs w:val="24"/>
        </w:rPr>
      </w:pPr>
      <w:r>
        <w:rPr>
          <w:noProof/>
        </w:rPr>
        <w:drawing>
          <wp:inline distT="0" distB="0" distL="0" distR="0" wp14:anchorId="67751FAF" wp14:editId="017F8B85">
            <wp:extent cx="5972175" cy="4347210"/>
            <wp:effectExtent l="0" t="0" r="952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175" cy="4347210"/>
                    </a:xfrm>
                    <a:prstGeom prst="rect">
                      <a:avLst/>
                    </a:prstGeom>
                    <a:noFill/>
                    <a:ln>
                      <a:noFill/>
                    </a:ln>
                  </pic:spPr>
                </pic:pic>
              </a:graphicData>
            </a:graphic>
          </wp:inline>
        </w:drawing>
      </w:r>
    </w:p>
    <w:p w14:paraId="503ABF12" w14:textId="444DD242" w:rsidR="00527268" w:rsidRDefault="00527268" w:rsidP="00527268">
      <w:pPr>
        <w:pStyle w:val="u2"/>
      </w:pPr>
      <w:r>
        <w:t>H</w:t>
      </w:r>
      <w:r>
        <w:t>ow to trade on Coin98 Exchange</w:t>
      </w:r>
    </w:p>
    <w:p w14:paraId="78C0FB24" w14:textId="77777777" w:rsidR="00527268" w:rsidRDefault="00527268" w:rsidP="00527268">
      <w:pPr>
        <w:pStyle w:val="ThngthngWeb"/>
        <w:spacing w:before="0" w:after="0"/>
        <w:textAlignment w:val="baseline"/>
        <w:rPr>
          <w:rFonts w:ascii="IBM Plex Sans" w:hAnsi="IBM Plex Sans"/>
          <w:color w:val="333132"/>
          <w:sz w:val="27"/>
          <w:szCs w:val="27"/>
        </w:rPr>
      </w:pPr>
      <w:r>
        <w:rPr>
          <w:rStyle w:val="Manh"/>
          <w:rFonts w:ascii="inherit" w:hAnsi="inherit"/>
          <w:color w:val="333132"/>
          <w:sz w:val="27"/>
          <w:szCs w:val="27"/>
          <w:bdr w:val="none" w:sz="0" w:space="0" w:color="auto" w:frame="1"/>
        </w:rPr>
        <w:t>Step 1:</w:t>
      </w:r>
      <w:r>
        <w:rPr>
          <w:rFonts w:ascii="IBM Plex Sans" w:hAnsi="IBM Plex Sans"/>
          <w:color w:val="333132"/>
          <w:sz w:val="27"/>
          <w:szCs w:val="27"/>
        </w:rPr>
        <w:t> Select the AMM you want to trade with by clicking on one of the two highlighted sections on the screen.</w:t>
      </w:r>
    </w:p>
    <w:p w14:paraId="1E6F799C" w14:textId="348F4A94" w:rsidR="00527268" w:rsidRDefault="00527268" w:rsidP="00527268">
      <w:pPr>
        <w:rPr>
          <w:rFonts w:ascii="Times New Roman" w:hAnsi="Times New Roman"/>
          <w:sz w:val="24"/>
          <w:szCs w:val="24"/>
        </w:rPr>
      </w:pPr>
      <w:r>
        <w:rPr>
          <w:noProof/>
        </w:rPr>
        <w:lastRenderedPageBreak/>
        <w:drawing>
          <wp:inline distT="0" distB="0" distL="0" distR="0" wp14:anchorId="134D7AC2" wp14:editId="17F8883D">
            <wp:extent cx="5972175" cy="3279775"/>
            <wp:effectExtent l="0" t="0" r="952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175" cy="3279775"/>
                    </a:xfrm>
                    <a:prstGeom prst="rect">
                      <a:avLst/>
                    </a:prstGeom>
                    <a:noFill/>
                    <a:ln>
                      <a:noFill/>
                    </a:ln>
                  </pic:spPr>
                </pic:pic>
              </a:graphicData>
            </a:graphic>
          </wp:inline>
        </w:drawing>
      </w:r>
    </w:p>
    <w:p w14:paraId="35990DF2" w14:textId="0FC4E089" w:rsidR="00527268" w:rsidRDefault="00527268" w:rsidP="00527268">
      <w:pPr>
        <w:pStyle w:val="ThngthngWeb"/>
        <w:textAlignment w:val="baseline"/>
        <w:rPr>
          <w:rFonts w:ascii="IBM Plex Sans" w:hAnsi="IBM Plex Sans"/>
          <w:color w:val="333132"/>
          <w:sz w:val="27"/>
          <w:szCs w:val="27"/>
        </w:rPr>
      </w:pPr>
      <w:r>
        <w:rPr>
          <w:rFonts w:ascii="IBM Plex Sans" w:hAnsi="IBM Plex Sans"/>
          <w:color w:val="333132"/>
          <w:sz w:val="27"/>
          <w:szCs w:val="27"/>
        </w:rPr>
        <w:t xml:space="preserve">In this case, I will take </w:t>
      </w:r>
      <w:proofErr w:type="spellStart"/>
      <w:r>
        <w:rPr>
          <w:rFonts w:ascii="IBM Plex Sans" w:hAnsi="IBM Plex Sans"/>
          <w:color w:val="333132"/>
          <w:sz w:val="27"/>
          <w:szCs w:val="27"/>
        </w:rPr>
        <w:t>PancakeSwap</w:t>
      </w:r>
      <w:proofErr w:type="spellEnd"/>
      <w:r>
        <w:rPr>
          <w:rFonts w:ascii="IBM Plex Sans" w:hAnsi="IBM Plex Sans"/>
          <w:color w:val="333132"/>
          <w:sz w:val="27"/>
          <w:szCs w:val="27"/>
        </w:rPr>
        <w:t xml:space="preserve"> </w:t>
      </w:r>
      <w:r>
        <w:rPr>
          <w:rFonts w:ascii="IBM Plex Sans" w:hAnsi="IBM Plex Sans"/>
          <w:color w:val="333132"/>
          <w:sz w:val="27"/>
          <w:szCs w:val="27"/>
        </w:rPr>
        <w:t>New</w:t>
      </w:r>
      <w:r>
        <w:rPr>
          <w:rFonts w:ascii="IBM Plex Sans" w:hAnsi="IBM Plex Sans"/>
          <w:color w:val="333132"/>
          <w:sz w:val="27"/>
          <w:szCs w:val="27"/>
        </w:rPr>
        <w:t xml:space="preserve"> as an example.</w:t>
      </w:r>
    </w:p>
    <w:p w14:paraId="4BB8C033" w14:textId="6FE57F8D" w:rsidR="00527268" w:rsidRDefault="00527268" w:rsidP="00527268">
      <w:pPr>
        <w:rPr>
          <w:rFonts w:ascii="Times New Roman" w:hAnsi="Times New Roman"/>
          <w:sz w:val="24"/>
          <w:szCs w:val="24"/>
        </w:rPr>
      </w:pPr>
      <w:r>
        <w:rPr>
          <w:noProof/>
        </w:rPr>
        <w:drawing>
          <wp:inline distT="0" distB="0" distL="0" distR="0" wp14:anchorId="1E6B1375" wp14:editId="502D2B5D">
            <wp:extent cx="5972175" cy="3295650"/>
            <wp:effectExtent l="0" t="0" r="952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175" cy="3295650"/>
                    </a:xfrm>
                    <a:prstGeom prst="rect">
                      <a:avLst/>
                    </a:prstGeom>
                    <a:noFill/>
                    <a:ln>
                      <a:noFill/>
                    </a:ln>
                  </pic:spPr>
                </pic:pic>
              </a:graphicData>
            </a:graphic>
          </wp:inline>
        </w:drawing>
      </w:r>
    </w:p>
    <w:p w14:paraId="09B242B7" w14:textId="77777777" w:rsidR="00527268" w:rsidRDefault="00527268" w:rsidP="00527268">
      <w:pPr>
        <w:pStyle w:val="ThngthngWeb"/>
        <w:spacing w:before="0" w:after="0"/>
        <w:textAlignment w:val="baseline"/>
        <w:rPr>
          <w:rFonts w:ascii="IBM Plex Sans" w:hAnsi="IBM Plex Sans"/>
          <w:color w:val="333132"/>
          <w:sz w:val="27"/>
          <w:szCs w:val="27"/>
        </w:rPr>
      </w:pPr>
      <w:r>
        <w:rPr>
          <w:rStyle w:val="Manh"/>
          <w:rFonts w:ascii="inherit" w:hAnsi="inherit"/>
          <w:color w:val="333132"/>
          <w:sz w:val="27"/>
          <w:szCs w:val="27"/>
          <w:bdr w:val="none" w:sz="0" w:space="0" w:color="auto" w:frame="1"/>
        </w:rPr>
        <w:t>Step 2:</w:t>
      </w:r>
      <w:r>
        <w:rPr>
          <w:rFonts w:ascii="IBM Plex Sans" w:hAnsi="IBM Plex Sans"/>
          <w:color w:val="333132"/>
          <w:sz w:val="27"/>
          <w:szCs w:val="27"/>
        </w:rPr>
        <w:t> Select the token you want to trade from the token search bar.</w:t>
      </w:r>
    </w:p>
    <w:p w14:paraId="16B62652" w14:textId="20CAB4E7" w:rsidR="00527268" w:rsidRDefault="00527268" w:rsidP="00527268">
      <w:pPr>
        <w:rPr>
          <w:rFonts w:ascii="Times New Roman" w:hAnsi="Times New Roman"/>
          <w:sz w:val="24"/>
          <w:szCs w:val="24"/>
        </w:rPr>
      </w:pPr>
      <w:r>
        <w:rPr>
          <w:noProof/>
        </w:rPr>
        <w:lastRenderedPageBreak/>
        <w:drawing>
          <wp:inline distT="0" distB="0" distL="0" distR="0" wp14:anchorId="0CD64513" wp14:editId="441CD2AB">
            <wp:extent cx="5972175" cy="3272155"/>
            <wp:effectExtent l="0" t="0" r="9525" b="444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175" cy="3272155"/>
                    </a:xfrm>
                    <a:prstGeom prst="rect">
                      <a:avLst/>
                    </a:prstGeom>
                    <a:noFill/>
                    <a:ln>
                      <a:noFill/>
                    </a:ln>
                  </pic:spPr>
                </pic:pic>
              </a:graphicData>
            </a:graphic>
          </wp:inline>
        </w:drawing>
      </w:r>
    </w:p>
    <w:p w14:paraId="64E8E856" w14:textId="77777777" w:rsidR="00527268" w:rsidRDefault="00527268" w:rsidP="00527268">
      <w:pPr>
        <w:pStyle w:val="ThngthngWeb"/>
        <w:textAlignment w:val="baseline"/>
        <w:rPr>
          <w:rFonts w:ascii="IBM Plex Sans" w:hAnsi="IBM Plex Sans"/>
          <w:color w:val="333132"/>
          <w:sz w:val="27"/>
          <w:szCs w:val="27"/>
        </w:rPr>
      </w:pPr>
      <w:r>
        <w:rPr>
          <w:rFonts w:ascii="IBM Plex Sans" w:hAnsi="IBM Plex Sans"/>
          <w:color w:val="333132"/>
          <w:sz w:val="27"/>
          <w:szCs w:val="27"/>
        </w:rPr>
        <w:t>For new tokens that have not been listed on Coin98 Exchange, you can paste their Contract addresses and trade as usual.</w:t>
      </w:r>
    </w:p>
    <w:p w14:paraId="56260F32" w14:textId="68E722BF" w:rsidR="00527268" w:rsidRDefault="00527268" w:rsidP="00527268">
      <w:pPr>
        <w:rPr>
          <w:rFonts w:ascii="Times New Roman" w:hAnsi="Times New Roman"/>
          <w:sz w:val="24"/>
          <w:szCs w:val="24"/>
        </w:rPr>
      </w:pPr>
      <w:r>
        <w:rPr>
          <w:noProof/>
        </w:rPr>
        <w:lastRenderedPageBreak/>
        <w:drawing>
          <wp:inline distT="0" distB="0" distL="0" distR="0" wp14:anchorId="1324AE04" wp14:editId="17105705">
            <wp:extent cx="5972175" cy="4996815"/>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175" cy="4996815"/>
                    </a:xfrm>
                    <a:prstGeom prst="rect">
                      <a:avLst/>
                    </a:prstGeom>
                    <a:noFill/>
                    <a:ln>
                      <a:noFill/>
                    </a:ln>
                  </pic:spPr>
                </pic:pic>
              </a:graphicData>
            </a:graphic>
          </wp:inline>
        </w:drawing>
      </w:r>
    </w:p>
    <w:p w14:paraId="0D21D6D8" w14:textId="77777777" w:rsidR="00527268" w:rsidRDefault="00527268" w:rsidP="00527268">
      <w:pPr>
        <w:pStyle w:val="ThngthngWeb"/>
        <w:textAlignment w:val="baseline"/>
        <w:rPr>
          <w:rFonts w:ascii="IBM Plex Sans" w:hAnsi="IBM Plex Sans"/>
          <w:color w:val="333132"/>
          <w:sz w:val="27"/>
          <w:szCs w:val="27"/>
        </w:rPr>
      </w:pPr>
      <w:r>
        <w:rPr>
          <w:rFonts w:ascii="IBM Plex Sans" w:hAnsi="IBM Plex Sans"/>
          <w:color w:val="333132"/>
          <w:sz w:val="27"/>
          <w:szCs w:val="27"/>
        </w:rPr>
        <w:t>I will take the USDT-C98 trading pair as an example.</w:t>
      </w:r>
    </w:p>
    <w:p w14:paraId="663BE29A" w14:textId="77777777" w:rsidR="00527268" w:rsidRDefault="00527268" w:rsidP="00527268">
      <w:pPr>
        <w:pStyle w:val="ThngthngWeb"/>
        <w:spacing w:before="0" w:after="0"/>
        <w:textAlignment w:val="baseline"/>
        <w:rPr>
          <w:rFonts w:ascii="IBM Plex Sans" w:hAnsi="IBM Plex Sans"/>
          <w:color w:val="333132"/>
          <w:sz w:val="27"/>
          <w:szCs w:val="27"/>
        </w:rPr>
      </w:pPr>
      <w:r>
        <w:rPr>
          <w:rStyle w:val="Manh"/>
          <w:rFonts w:ascii="inherit" w:hAnsi="inherit"/>
          <w:color w:val="333132"/>
          <w:sz w:val="27"/>
          <w:szCs w:val="27"/>
          <w:bdr w:val="none" w:sz="0" w:space="0" w:color="auto" w:frame="1"/>
        </w:rPr>
        <w:t>Step 3: </w:t>
      </w:r>
      <w:r>
        <w:rPr>
          <w:rFonts w:ascii="IBM Plex Sans" w:hAnsi="IBM Plex Sans"/>
          <w:color w:val="333132"/>
          <w:sz w:val="27"/>
          <w:szCs w:val="27"/>
        </w:rPr>
        <w:t>At the transaction area, you can:</w:t>
      </w:r>
    </w:p>
    <w:p w14:paraId="22710863" w14:textId="77777777" w:rsidR="00527268" w:rsidRDefault="00527268" w:rsidP="00527268">
      <w:pPr>
        <w:numPr>
          <w:ilvl w:val="0"/>
          <w:numId w:val="10"/>
        </w:numPr>
        <w:spacing w:before="100" w:beforeAutospacing="1" w:after="100" w:afterAutospacing="1" w:line="240" w:lineRule="auto"/>
        <w:textAlignment w:val="baseline"/>
        <w:rPr>
          <w:rFonts w:ascii="var(--text-font)" w:hAnsi="var(--text-font)"/>
          <w:color w:val="333132"/>
          <w:sz w:val="27"/>
          <w:szCs w:val="27"/>
        </w:rPr>
      </w:pPr>
      <w:r>
        <w:rPr>
          <w:rFonts w:ascii="var(--text-font)" w:hAnsi="var(--text-font)"/>
          <w:color w:val="333132"/>
          <w:sz w:val="27"/>
          <w:szCs w:val="27"/>
        </w:rPr>
        <w:t xml:space="preserve">Slide the bar or enter the desired </w:t>
      </w:r>
      <w:proofErr w:type="gramStart"/>
      <w:r>
        <w:rPr>
          <w:rFonts w:ascii="var(--text-font)" w:hAnsi="var(--text-font)"/>
          <w:color w:val="333132"/>
          <w:sz w:val="27"/>
          <w:szCs w:val="27"/>
        </w:rPr>
        <w:t>amount</w:t>
      </w:r>
      <w:proofErr w:type="gramEnd"/>
      <w:r>
        <w:rPr>
          <w:rFonts w:ascii="var(--text-font)" w:hAnsi="var(--text-font)"/>
          <w:color w:val="333132"/>
          <w:sz w:val="27"/>
          <w:szCs w:val="27"/>
        </w:rPr>
        <w:t xml:space="preserve"> of tokens you want to trade.</w:t>
      </w:r>
    </w:p>
    <w:p w14:paraId="655B7AA8" w14:textId="77777777" w:rsidR="00527268" w:rsidRDefault="00527268" w:rsidP="00527268">
      <w:pPr>
        <w:numPr>
          <w:ilvl w:val="0"/>
          <w:numId w:val="10"/>
        </w:numPr>
        <w:spacing w:before="100" w:beforeAutospacing="1" w:after="100" w:afterAutospacing="1" w:line="240" w:lineRule="auto"/>
        <w:textAlignment w:val="baseline"/>
        <w:rPr>
          <w:rFonts w:ascii="var(--text-font)" w:hAnsi="var(--text-font)"/>
          <w:color w:val="333132"/>
          <w:sz w:val="27"/>
          <w:szCs w:val="27"/>
        </w:rPr>
      </w:pPr>
      <w:r>
        <w:rPr>
          <w:rFonts w:ascii="var(--text-font)" w:hAnsi="var(--text-font)"/>
          <w:color w:val="333132"/>
          <w:sz w:val="27"/>
          <w:szCs w:val="27"/>
        </w:rPr>
        <w:t xml:space="preserve">Adjust the </w:t>
      </w:r>
      <w:proofErr w:type="spellStart"/>
      <w:r>
        <w:rPr>
          <w:rFonts w:ascii="var(--text-font)" w:hAnsi="var(--text-font)"/>
          <w:color w:val="333132"/>
          <w:sz w:val="27"/>
          <w:szCs w:val="27"/>
        </w:rPr>
        <w:t>Gwei</w:t>
      </w:r>
      <w:proofErr w:type="spellEnd"/>
      <w:r>
        <w:rPr>
          <w:rFonts w:ascii="var(--text-font)" w:hAnsi="var(--text-font)"/>
          <w:color w:val="333132"/>
          <w:sz w:val="27"/>
          <w:szCs w:val="27"/>
        </w:rPr>
        <w:t xml:space="preserve"> bar according to the desired speed. The default gas fee on Coin98 Wallet has been set for the highest speed with the most reasonable cost.</w:t>
      </w:r>
    </w:p>
    <w:p w14:paraId="017D5DD2" w14:textId="77777777" w:rsidR="00527268" w:rsidRDefault="00527268" w:rsidP="00527268">
      <w:pPr>
        <w:numPr>
          <w:ilvl w:val="0"/>
          <w:numId w:val="10"/>
        </w:numPr>
        <w:spacing w:before="100" w:beforeAutospacing="1" w:after="100" w:afterAutospacing="1" w:line="240" w:lineRule="auto"/>
        <w:textAlignment w:val="baseline"/>
        <w:rPr>
          <w:rFonts w:ascii="var(--text-font)" w:hAnsi="var(--text-font)"/>
          <w:color w:val="333132"/>
          <w:sz w:val="27"/>
          <w:szCs w:val="27"/>
        </w:rPr>
      </w:pPr>
      <w:r>
        <w:rPr>
          <w:rFonts w:ascii="var(--text-font)" w:hAnsi="var(--text-font)"/>
          <w:color w:val="333132"/>
          <w:sz w:val="27"/>
          <w:szCs w:val="27"/>
        </w:rPr>
        <w:t>Adjust the Slippage tolerance according to the desired slippage. The default slippage tolerance on Coin98 Wallet is set at the standard rate of +/-5%, which is quite safe and applicable to most coins on the market.</w:t>
      </w:r>
    </w:p>
    <w:p w14:paraId="4184EC26" w14:textId="77777777" w:rsidR="00527268" w:rsidRDefault="00527268" w:rsidP="00527268">
      <w:pPr>
        <w:numPr>
          <w:ilvl w:val="0"/>
          <w:numId w:val="10"/>
        </w:numPr>
        <w:spacing w:before="100" w:beforeAutospacing="1" w:after="100" w:afterAutospacing="1" w:line="240" w:lineRule="auto"/>
        <w:textAlignment w:val="baseline"/>
        <w:rPr>
          <w:rFonts w:ascii="var(--text-font)" w:hAnsi="var(--text-font)"/>
          <w:color w:val="333132"/>
          <w:sz w:val="27"/>
          <w:szCs w:val="27"/>
        </w:rPr>
      </w:pPr>
      <w:r>
        <w:rPr>
          <w:rFonts w:ascii="var(--text-font)" w:hAnsi="var(--text-font)"/>
          <w:color w:val="333132"/>
          <w:sz w:val="27"/>
          <w:szCs w:val="27"/>
        </w:rPr>
        <w:t>Adjust the Transaction Deadline according to the desired waiting time. The default transaction deadline on Coin98 Wallet is set at the standard rate of 10 minutes.</w:t>
      </w:r>
    </w:p>
    <w:p w14:paraId="236443C0" w14:textId="77777777" w:rsidR="00527268" w:rsidRDefault="00527268" w:rsidP="00527268">
      <w:pPr>
        <w:numPr>
          <w:ilvl w:val="0"/>
          <w:numId w:val="10"/>
        </w:numPr>
        <w:spacing w:beforeAutospacing="1" w:after="0" w:afterAutospacing="1" w:line="240" w:lineRule="auto"/>
        <w:textAlignment w:val="baseline"/>
        <w:rPr>
          <w:rFonts w:ascii="var(--text-font)" w:hAnsi="var(--text-font)"/>
          <w:color w:val="333132"/>
          <w:sz w:val="27"/>
          <w:szCs w:val="27"/>
        </w:rPr>
      </w:pPr>
      <w:r>
        <w:rPr>
          <w:rFonts w:ascii="var(--text-font)" w:hAnsi="var(--text-font)"/>
          <w:color w:val="333132"/>
          <w:sz w:val="27"/>
          <w:szCs w:val="27"/>
        </w:rPr>
        <w:t>Click</w:t>
      </w:r>
      <w:r>
        <w:rPr>
          <w:rStyle w:val="Manh"/>
          <w:rFonts w:ascii="inherit" w:hAnsi="inherit"/>
          <w:color w:val="333132"/>
          <w:sz w:val="27"/>
          <w:szCs w:val="27"/>
          <w:bdr w:val="none" w:sz="0" w:space="0" w:color="auto" w:frame="1"/>
        </w:rPr>
        <w:t> Swap.</w:t>
      </w:r>
    </w:p>
    <w:p w14:paraId="5887E8CD" w14:textId="77777777" w:rsidR="00527268" w:rsidRDefault="00527268" w:rsidP="00527268">
      <w:pPr>
        <w:pStyle w:val="ThngthngWeb"/>
        <w:spacing w:before="0" w:after="0"/>
        <w:textAlignment w:val="baseline"/>
        <w:rPr>
          <w:rFonts w:ascii="IBM Plex Sans" w:hAnsi="IBM Plex Sans"/>
          <w:color w:val="333132"/>
          <w:sz w:val="27"/>
          <w:szCs w:val="27"/>
        </w:rPr>
      </w:pPr>
      <w:r>
        <w:rPr>
          <w:rStyle w:val="Manh"/>
          <w:rFonts w:ascii="inherit" w:hAnsi="inherit"/>
          <w:color w:val="333132"/>
          <w:sz w:val="27"/>
          <w:szCs w:val="27"/>
          <w:bdr w:val="none" w:sz="0" w:space="0" w:color="auto" w:frame="1"/>
        </w:rPr>
        <w:lastRenderedPageBreak/>
        <w:t>Step 4:</w:t>
      </w:r>
      <w:r>
        <w:rPr>
          <w:rFonts w:ascii="IBM Plex Sans" w:hAnsi="IBM Plex Sans"/>
          <w:color w:val="333132"/>
          <w:sz w:val="27"/>
          <w:szCs w:val="27"/>
        </w:rPr>
        <w:t> Click </w:t>
      </w:r>
      <w:r>
        <w:rPr>
          <w:rStyle w:val="Manh"/>
          <w:rFonts w:ascii="inherit" w:hAnsi="inherit"/>
          <w:color w:val="333132"/>
          <w:sz w:val="27"/>
          <w:szCs w:val="27"/>
          <w:bdr w:val="none" w:sz="0" w:space="0" w:color="auto" w:frame="1"/>
        </w:rPr>
        <w:t>Confirm</w:t>
      </w:r>
      <w:r>
        <w:rPr>
          <w:rFonts w:ascii="IBM Plex Sans" w:hAnsi="IBM Plex Sans"/>
          <w:color w:val="333132"/>
          <w:sz w:val="27"/>
          <w:szCs w:val="27"/>
        </w:rPr>
        <w:t> to confirm that you agree with the fee and are ready to make this transaction.</w:t>
      </w:r>
    </w:p>
    <w:p w14:paraId="70FAE852" w14:textId="7A264E43" w:rsidR="00527268" w:rsidRDefault="00527268" w:rsidP="00527268">
      <w:pPr>
        <w:rPr>
          <w:rFonts w:ascii="Times New Roman" w:hAnsi="Times New Roman"/>
          <w:sz w:val="24"/>
          <w:szCs w:val="24"/>
        </w:rPr>
      </w:pPr>
      <w:r>
        <w:rPr>
          <w:noProof/>
        </w:rPr>
        <w:drawing>
          <wp:inline distT="0" distB="0" distL="0" distR="0" wp14:anchorId="01348734" wp14:editId="5D2F4992">
            <wp:extent cx="5972175" cy="4975860"/>
            <wp:effectExtent l="0" t="0" r="952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175" cy="4975860"/>
                    </a:xfrm>
                    <a:prstGeom prst="rect">
                      <a:avLst/>
                    </a:prstGeom>
                    <a:noFill/>
                    <a:ln>
                      <a:noFill/>
                    </a:ln>
                  </pic:spPr>
                </pic:pic>
              </a:graphicData>
            </a:graphic>
          </wp:inline>
        </w:drawing>
      </w:r>
    </w:p>
    <w:p w14:paraId="64AF888C" w14:textId="77777777" w:rsidR="00527268" w:rsidRDefault="00527268" w:rsidP="00527268">
      <w:pPr>
        <w:pStyle w:val="ThngthngWeb"/>
        <w:textAlignment w:val="baseline"/>
        <w:rPr>
          <w:rFonts w:ascii="IBM Plex Sans" w:hAnsi="IBM Plex Sans"/>
          <w:color w:val="333132"/>
          <w:sz w:val="27"/>
          <w:szCs w:val="27"/>
        </w:rPr>
      </w:pPr>
      <w:r>
        <w:rPr>
          <w:rFonts w:ascii="IBM Plex Sans" w:hAnsi="IBM Plex Sans"/>
          <w:color w:val="333132"/>
          <w:sz w:val="27"/>
          <w:szCs w:val="27"/>
        </w:rPr>
        <w:t>When the transaction is completed, you will receive a notification at the bottom right corner of the screen.</w:t>
      </w:r>
    </w:p>
    <w:p w14:paraId="3D165F51" w14:textId="082684F8" w:rsidR="00527268" w:rsidRDefault="00527268" w:rsidP="00527268">
      <w:pPr>
        <w:rPr>
          <w:rFonts w:ascii="Times New Roman" w:hAnsi="Times New Roman"/>
          <w:sz w:val="24"/>
          <w:szCs w:val="24"/>
        </w:rPr>
      </w:pPr>
      <w:r>
        <w:rPr>
          <w:noProof/>
        </w:rPr>
        <w:lastRenderedPageBreak/>
        <w:drawing>
          <wp:inline distT="0" distB="0" distL="0" distR="0" wp14:anchorId="57338EC3" wp14:editId="2513EAE1">
            <wp:extent cx="5972175" cy="3342005"/>
            <wp:effectExtent l="0" t="0" r="952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175" cy="3342005"/>
                    </a:xfrm>
                    <a:prstGeom prst="rect">
                      <a:avLst/>
                    </a:prstGeom>
                    <a:noFill/>
                    <a:ln>
                      <a:noFill/>
                    </a:ln>
                  </pic:spPr>
                </pic:pic>
              </a:graphicData>
            </a:graphic>
          </wp:inline>
        </w:drawing>
      </w:r>
    </w:p>
    <w:p w14:paraId="1E5374F4" w14:textId="77777777" w:rsidR="00527268" w:rsidRDefault="00527268" w:rsidP="00527268">
      <w:pPr>
        <w:pStyle w:val="ThngthngWeb"/>
        <w:spacing w:before="0" w:after="0"/>
        <w:textAlignment w:val="baseline"/>
        <w:rPr>
          <w:rFonts w:ascii="IBM Plex Sans" w:hAnsi="IBM Plex Sans"/>
          <w:color w:val="333132"/>
          <w:sz w:val="27"/>
          <w:szCs w:val="27"/>
        </w:rPr>
      </w:pPr>
      <w:r>
        <w:rPr>
          <w:rStyle w:val="Manh"/>
          <w:rFonts w:ascii="inherit" w:hAnsi="inherit"/>
          <w:color w:val="333132"/>
          <w:sz w:val="27"/>
          <w:szCs w:val="27"/>
          <w:bdr w:val="none" w:sz="0" w:space="0" w:color="auto" w:frame="1"/>
        </w:rPr>
        <w:t>Note:</w:t>
      </w:r>
    </w:p>
    <w:p w14:paraId="02BA75E8" w14:textId="77777777" w:rsidR="00527268" w:rsidRDefault="00527268" w:rsidP="00527268">
      <w:pPr>
        <w:numPr>
          <w:ilvl w:val="0"/>
          <w:numId w:val="11"/>
        </w:numPr>
        <w:spacing w:before="100" w:beforeAutospacing="1" w:after="100" w:afterAutospacing="1" w:line="240" w:lineRule="auto"/>
        <w:textAlignment w:val="baseline"/>
        <w:rPr>
          <w:rFonts w:ascii="var(--text-font)" w:hAnsi="var(--text-font)"/>
          <w:color w:val="333132"/>
          <w:sz w:val="27"/>
          <w:szCs w:val="27"/>
        </w:rPr>
      </w:pPr>
      <w:r>
        <w:rPr>
          <w:rFonts w:ascii="var(--text-font)" w:hAnsi="var(--text-font)"/>
          <w:color w:val="333132"/>
          <w:sz w:val="27"/>
          <w:szCs w:val="27"/>
        </w:rPr>
        <w:t>The arrow in the middle of the trading interface is used to switch between the buying and selling positions. You need to check the tokens’ positions carefully before making any transactions.</w:t>
      </w:r>
    </w:p>
    <w:p w14:paraId="464A00C6" w14:textId="77777777" w:rsidR="00527268" w:rsidRDefault="00527268" w:rsidP="00527268">
      <w:pPr>
        <w:numPr>
          <w:ilvl w:val="0"/>
          <w:numId w:val="11"/>
        </w:numPr>
        <w:spacing w:before="100" w:beforeAutospacing="1" w:after="100" w:afterAutospacing="1" w:line="240" w:lineRule="auto"/>
        <w:textAlignment w:val="baseline"/>
        <w:rPr>
          <w:rFonts w:ascii="var(--text-font)" w:hAnsi="var(--text-font)"/>
          <w:color w:val="333132"/>
          <w:sz w:val="27"/>
          <w:szCs w:val="27"/>
        </w:rPr>
      </w:pPr>
      <w:r>
        <w:rPr>
          <w:rFonts w:ascii="var(--text-font)" w:hAnsi="var(--text-font)"/>
          <w:color w:val="333132"/>
          <w:sz w:val="27"/>
          <w:szCs w:val="27"/>
        </w:rPr>
        <w:t>The gas fee and the processing time are different on each blockchain. You need to double-check the information carefully before approving any transaction.</w:t>
      </w:r>
    </w:p>
    <w:p w14:paraId="200C8E51" w14:textId="77777777" w:rsidR="00527268" w:rsidRDefault="00527268" w:rsidP="00527268">
      <w:pPr>
        <w:numPr>
          <w:ilvl w:val="0"/>
          <w:numId w:val="11"/>
        </w:numPr>
        <w:spacing w:before="100" w:beforeAutospacing="1" w:after="100" w:afterAutospacing="1" w:line="240" w:lineRule="auto"/>
        <w:textAlignment w:val="baseline"/>
        <w:rPr>
          <w:rFonts w:ascii="var(--text-font)" w:hAnsi="var(--text-font)"/>
          <w:color w:val="333132"/>
          <w:sz w:val="27"/>
          <w:szCs w:val="27"/>
        </w:rPr>
      </w:pPr>
      <w:r>
        <w:rPr>
          <w:rFonts w:ascii="var(--text-font)" w:hAnsi="var(--text-font)"/>
          <w:color w:val="333132"/>
          <w:sz w:val="27"/>
          <w:szCs w:val="27"/>
        </w:rPr>
        <w:t>After swapping successfully, you can access the Pair section to view your transactions.</w:t>
      </w:r>
    </w:p>
    <w:p w14:paraId="1CBC7080" w14:textId="4E9C6238" w:rsidR="00527268" w:rsidRDefault="00527268" w:rsidP="00527268">
      <w:pPr>
        <w:spacing w:after="0"/>
        <w:rPr>
          <w:rFonts w:ascii="Times New Roman" w:hAnsi="Times New Roman"/>
          <w:sz w:val="24"/>
          <w:szCs w:val="24"/>
        </w:rPr>
      </w:pPr>
      <w:r>
        <w:rPr>
          <w:noProof/>
        </w:rPr>
        <w:lastRenderedPageBreak/>
        <w:drawing>
          <wp:inline distT="0" distB="0" distL="0" distR="0" wp14:anchorId="6FF8A382" wp14:editId="16F4F65F">
            <wp:extent cx="5972175" cy="3312160"/>
            <wp:effectExtent l="0" t="0" r="9525" b="254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175" cy="3312160"/>
                    </a:xfrm>
                    <a:prstGeom prst="rect">
                      <a:avLst/>
                    </a:prstGeom>
                    <a:noFill/>
                    <a:ln>
                      <a:noFill/>
                    </a:ln>
                  </pic:spPr>
                </pic:pic>
              </a:graphicData>
            </a:graphic>
          </wp:inline>
        </w:drawing>
      </w:r>
    </w:p>
    <w:p w14:paraId="1CA85D57" w14:textId="52DF4628" w:rsidR="00527268" w:rsidRPr="00527268" w:rsidRDefault="00527268" w:rsidP="00527268">
      <w:pPr>
        <w:pStyle w:val="ThngthngWeb"/>
        <w:textAlignment w:val="baseline"/>
        <w:rPr>
          <w:rFonts w:ascii="IBM Plex Sans" w:hAnsi="IBM Plex Sans"/>
          <w:color w:val="333132"/>
          <w:sz w:val="27"/>
          <w:szCs w:val="27"/>
        </w:rPr>
      </w:pPr>
      <w:r>
        <w:rPr>
          <w:rFonts w:ascii="IBM Plex Sans" w:hAnsi="IBM Plex Sans"/>
          <w:color w:val="333132"/>
          <w:sz w:val="27"/>
          <w:szCs w:val="27"/>
        </w:rPr>
        <w:t>In the future, Coin98 Exchange will integrate more top-tier AMMs and cross-chain bridges to elevate users' trading experience to a new level.</w:t>
      </w:r>
    </w:p>
    <w:p w14:paraId="37F428AB" w14:textId="77777777" w:rsidR="00527268" w:rsidRPr="00527268" w:rsidRDefault="00527268" w:rsidP="00527268">
      <w:pPr>
        <w:spacing w:beforeAutospacing="1" w:after="0" w:afterAutospacing="1" w:line="240" w:lineRule="auto"/>
        <w:textAlignment w:val="baseline"/>
        <w:rPr>
          <w:rFonts w:ascii="var(--text-font)" w:eastAsia="Times New Roman" w:hAnsi="var(--text-font)" w:cs="Times New Roman"/>
          <w:color w:val="333132"/>
          <w:sz w:val="27"/>
          <w:szCs w:val="27"/>
        </w:rPr>
      </w:pPr>
    </w:p>
    <w:p w14:paraId="38EBF033" w14:textId="77777777" w:rsidR="00527268" w:rsidRDefault="00527268"/>
    <w:sectPr w:rsidR="00527268" w:rsidSect="00455878">
      <w:pgSz w:w="12240" w:h="15840" w:code="1"/>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IBM Plex Sans">
    <w:charset w:val="00"/>
    <w:family w:val="swiss"/>
    <w:pitch w:val="variable"/>
    <w:sig w:usb0="A00002EF" w:usb1="5000207B" w:usb2="00000000" w:usb3="00000000" w:csb0="0000019F" w:csb1="00000000"/>
  </w:font>
  <w:font w:name="var(--text-font)">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A36F1"/>
    <w:multiLevelType w:val="multilevel"/>
    <w:tmpl w:val="E2DA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1119B3"/>
    <w:multiLevelType w:val="multilevel"/>
    <w:tmpl w:val="5DA6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83442A"/>
    <w:multiLevelType w:val="multilevel"/>
    <w:tmpl w:val="9854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E1542F"/>
    <w:multiLevelType w:val="multilevel"/>
    <w:tmpl w:val="BE84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F100FF"/>
    <w:multiLevelType w:val="multilevel"/>
    <w:tmpl w:val="DED4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ED6FB7"/>
    <w:multiLevelType w:val="multilevel"/>
    <w:tmpl w:val="1DC0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CC14C8"/>
    <w:multiLevelType w:val="multilevel"/>
    <w:tmpl w:val="EE94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F670A8"/>
    <w:multiLevelType w:val="multilevel"/>
    <w:tmpl w:val="4F86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C75366"/>
    <w:multiLevelType w:val="multilevel"/>
    <w:tmpl w:val="5862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5F7EA4"/>
    <w:multiLevelType w:val="multilevel"/>
    <w:tmpl w:val="5BD6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EF7108"/>
    <w:multiLevelType w:val="multilevel"/>
    <w:tmpl w:val="093ED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3"/>
  </w:num>
  <w:num w:numId="4">
    <w:abstractNumId w:val="8"/>
  </w:num>
  <w:num w:numId="5">
    <w:abstractNumId w:val="10"/>
  </w:num>
  <w:num w:numId="6">
    <w:abstractNumId w:val="6"/>
  </w:num>
  <w:num w:numId="7">
    <w:abstractNumId w:val="0"/>
  </w:num>
  <w:num w:numId="8">
    <w:abstractNumId w:val="2"/>
  </w:num>
  <w:num w:numId="9">
    <w:abstractNumId w:val="9"/>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268"/>
    <w:rsid w:val="00455878"/>
    <w:rsid w:val="00527268"/>
    <w:rsid w:val="008F1059"/>
    <w:rsid w:val="00A633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15F1A"/>
  <w15:chartTrackingRefBased/>
  <w15:docId w15:val="{CEE48F1B-EC81-49FC-A613-B447B96BB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8F1059"/>
    <w:pPr>
      <w:keepNext/>
      <w:keepLines/>
      <w:spacing w:before="240" w:after="0"/>
      <w:outlineLvl w:val="0"/>
    </w:pPr>
    <w:rPr>
      <w:rFonts w:ascii="Times New Roman" w:eastAsiaTheme="majorEastAsia" w:hAnsi="Times New Roman" w:cstheme="majorBidi"/>
      <w:b/>
      <w:color w:val="000000" w:themeColor="text1"/>
      <w:sz w:val="40"/>
      <w:szCs w:val="32"/>
    </w:rPr>
  </w:style>
  <w:style w:type="paragraph" w:styleId="u2">
    <w:name w:val="heading 2"/>
    <w:basedOn w:val="Binhthng"/>
    <w:link w:val="u2Char"/>
    <w:uiPriority w:val="9"/>
    <w:qFormat/>
    <w:rsid w:val="005272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u3">
    <w:name w:val="heading 3"/>
    <w:basedOn w:val="Binhthng"/>
    <w:next w:val="Binhthng"/>
    <w:link w:val="u3Char"/>
    <w:uiPriority w:val="9"/>
    <w:semiHidden/>
    <w:unhideWhenUsed/>
    <w:qFormat/>
    <w:rsid w:val="005272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F1059"/>
    <w:rPr>
      <w:rFonts w:ascii="Times New Roman" w:eastAsiaTheme="majorEastAsia" w:hAnsi="Times New Roman" w:cstheme="majorBidi"/>
      <w:b/>
      <w:color w:val="000000" w:themeColor="text1"/>
      <w:sz w:val="40"/>
      <w:szCs w:val="32"/>
    </w:rPr>
  </w:style>
  <w:style w:type="paragraph" w:styleId="ThngthngWeb">
    <w:name w:val="Normal (Web)"/>
    <w:basedOn w:val="Binhthng"/>
    <w:uiPriority w:val="99"/>
    <w:unhideWhenUsed/>
    <w:rsid w:val="00527268"/>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527268"/>
    <w:rPr>
      <w:b/>
      <w:bCs/>
    </w:rPr>
  </w:style>
  <w:style w:type="character" w:customStyle="1" w:styleId="u2Char">
    <w:name w:val="Đầu đề 2 Char"/>
    <w:basedOn w:val="Phngmcinhcuaoanvn"/>
    <w:link w:val="u2"/>
    <w:uiPriority w:val="9"/>
    <w:rsid w:val="00527268"/>
    <w:rPr>
      <w:rFonts w:ascii="Times New Roman" w:eastAsia="Times New Roman" w:hAnsi="Times New Roman" w:cs="Times New Roman"/>
      <w:b/>
      <w:bCs/>
      <w:sz w:val="36"/>
      <w:szCs w:val="36"/>
    </w:rPr>
  </w:style>
  <w:style w:type="character" w:customStyle="1" w:styleId="u3Char">
    <w:name w:val="Đầu đề 3 Char"/>
    <w:basedOn w:val="Phngmcinhcuaoanvn"/>
    <w:link w:val="u3"/>
    <w:uiPriority w:val="9"/>
    <w:semiHidden/>
    <w:rsid w:val="0052726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58933">
      <w:bodyDiv w:val="1"/>
      <w:marLeft w:val="0"/>
      <w:marRight w:val="0"/>
      <w:marTop w:val="0"/>
      <w:marBottom w:val="0"/>
      <w:divBdr>
        <w:top w:val="none" w:sz="0" w:space="0" w:color="auto"/>
        <w:left w:val="none" w:sz="0" w:space="0" w:color="auto"/>
        <w:bottom w:val="none" w:sz="0" w:space="0" w:color="auto"/>
        <w:right w:val="none" w:sz="0" w:space="0" w:color="auto"/>
      </w:divBdr>
    </w:div>
    <w:div w:id="156238581">
      <w:bodyDiv w:val="1"/>
      <w:marLeft w:val="0"/>
      <w:marRight w:val="0"/>
      <w:marTop w:val="0"/>
      <w:marBottom w:val="0"/>
      <w:divBdr>
        <w:top w:val="none" w:sz="0" w:space="0" w:color="auto"/>
        <w:left w:val="none" w:sz="0" w:space="0" w:color="auto"/>
        <w:bottom w:val="none" w:sz="0" w:space="0" w:color="auto"/>
        <w:right w:val="none" w:sz="0" w:space="0" w:color="auto"/>
      </w:divBdr>
    </w:div>
    <w:div w:id="219098743">
      <w:bodyDiv w:val="1"/>
      <w:marLeft w:val="0"/>
      <w:marRight w:val="0"/>
      <w:marTop w:val="0"/>
      <w:marBottom w:val="0"/>
      <w:divBdr>
        <w:top w:val="none" w:sz="0" w:space="0" w:color="auto"/>
        <w:left w:val="none" w:sz="0" w:space="0" w:color="auto"/>
        <w:bottom w:val="none" w:sz="0" w:space="0" w:color="auto"/>
        <w:right w:val="none" w:sz="0" w:space="0" w:color="auto"/>
      </w:divBdr>
      <w:divsChild>
        <w:div w:id="1288968180">
          <w:blockQuote w:val="1"/>
          <w:marLeft w:val="720"/>
          <w:marRight w:val="720"/>
          <w:marTop w:val="100"/>
          <w:marBottom w:val="100"/>
          <w:divBdr>
            <w:top w:val="none" w:sz="0" w:space="0" w:color="auto"/>
            <w:left w:val="single" w:sz="18" w:space="0" w:color="FFB761"/>
            <w:bottom w:val="none" w:sz="0" w:space="0" w:color="auto"/>
            <w:right w:val="none" w:sz="0" w:space="0" w:color="auto"/>
          </w:divBdr>
        </w:div>
      </w:divsChild>
    </w:div>
    <w:div w:id="534463592">
      <w:bodyDiv w:val="1"/>
      <w:marLeft w:val="0"/>
      <w:marRight w:val="0"/>
      <w:marTop w:val="0"/>
      <w:marBottom w:val="0"/>
      <w:divBdr>
        <w:top w:val="none" w:sz="0" w:space="0" w:color="auto"/>
        <w:left w:val="none" w:sz="0" w:space="0" w:color="auto"/>
        <w:bottom w:val="none" w:sz="0" w:space="0" w:color="auto"/>
        <w:right w:val="none" w:sz="0" w:space="0" w:color="auto"/>
      </w:divBdr>
    </w:div>
    <w:div w:id="202389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1109</Words>
  <Characters>6323</Characters>
  <Application>Microsoft Office Word</Application>
  <DocSecurity>0</DocSecurity>
  <Lines>52</Lines>
  <Paragraphs>14</Paragraphs>
  <ScaleCrop>false</ScaleCrop>
  <Company/>
  <LinksUpToDate>false</LinksUpToDate>
  <CharactersWithSpaces>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Hà</dc:creator>
  <cp:keywords/>
  <dc:description/>
  <cp:lastModifiedBy>Linh Hà</cp:lastModifiedBy>
  <cp:revision>1</cp:revision>
  <dcterms:created xsi:type="dcterms:W3CDTF">2021-10-22T07:16:00Z</dcterms:created>
  <dcterms:modified xsi:type="dcterms:W3CDTF">2021-10-22T07:23:00Z</dcterms:modified>
</cp:coreProperties>
</file>