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</w:t>
      </w:r>
    </w:p>
    <w:p>
      <w:r>
        <w:t>Servers are tagged with an asset identifier and a physical location label. The label is a photograph of the rack plate and is stored alongside the record.</w:t>
      </w:r>
    </w:p>
    <w:p>
      <w:r>
        <w:drawing>
          <wp:inline xmlns:a="http://schemas.openxmlformats.org/drawingml/2006/main" xmlns:pic="http://schemas.openxmlformats.org/drawingml/2006/picture">
            <wp:extent cx="8128000" cy="177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ck-lab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8000" cy="17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Report a missing or damaged label to the platform team; do not relocate hardware before the register has been updated.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Inventory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