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CB9473">
      <w:pPr>
        <w:pStyle w:val="6"/>
        <w:jc w:val="center"/>
      </w:pPr>
      <w:r>
        <w:rPr>
          <w:rFonts w:hint="eastAsia" w:eastAsia="宋体"/>
        </w:rPr>
        <w:t>Supporting</w:t>
      </w:r>
      <w:r>
        <w:rPr>
          <w:rFonts w:eastAsia="宋体"/>
        </w:rPr>
        <w:t xml:space="preserve"> </w:t>
      </w:r>
      <w:r>
        <w:rPr>
          <w:rFonts w:hint="eastAsia" w:eastAsia="宋体"/>
        </w:rPr>
        <w:t>Information</w:t>
      </w:r>
      <w:r>
        <w:rPr>
          <w:rFonts w:eastAsia="宋体"/>
        </w:rPr>
        <w:t xml:space="preserve">: </w:t>
      </w:r>
      <w:r>
        <w:t>A Hybrid UA–CG Force Field Study of Amyloidogenic Peptide–ATP Self-assembly</w:t>
      </w:r>
    </w:p>
    <w:p w14:paraId="1789EDAE">
      <w:pPr>
        <w:pStyle w:val="7"/>
        <w:jc w:val="center"/>
      </w:pPr>
      <w:r>
        <w:t xml:space="preserve">Hang Zheng </w:t>
      </w:r>
      <w:r>
        <w:rPr>
          <w:vertAlign w:val="superscript"/>
        </w:rPr>
        <w:t>1,*</w:t>
      </w:r>
      <w:r>
        <w:t xml:space="preserve">, Shu Li </w:t>
      </w:r>
      <w:r>
        <w:rPr>
          <w:vertAlign w:val="superscript"/>
        </w:rPr>
        <w:t>2</w:t>
      </w:r>
      <w:r>
        <w:t xml:space="preserve"> and Wei Han </w:t>
      </w:r>
      <w:r>
        <w:rPr>
          <w:vertAlign w:val="superscript"/>
        </w:rPr>
        <w:t>3</w:t>
      </w:r>
      <w:r>
        <w:rPr>
          <w:rFonts w:hint="eastAsia" w:ascii="宋体" w:hAnsi="宋体" w:eastAsia="宋体" w:cs="宋体"/>
          <w:vertAlign w:val="superscript"/>
          <w:lang w:val="de"/>
        </w:rPr>
        <w:t>，</w:t>
      </w:r>
      <w:r>
        <w:rPr>
          <w:rFonts w:hint="eastAsia" w:ascii="宋体" w:hAnsi="宋体" w:eastAsia="宋体" w:cs="宋体"/>
          <w:vertAlign w:val="superscript"/>
        </w:rPr>
        <w:t>4</w:t>
      </w:r>
      <w:r>
        <w:rPr>
          <w:vertAlign w:val="superscript"/>
        </w:rPr>
        <w:t>,</w:t>
      </w:r>
      <w:r>
        <w:t>*</w:t>
      </w:r>
    </w:p>
    <w:p w14:paraId="41D88052">
      <w:pPr>
        <w:pStyle w:val="11"/>
        <w:ind w:left="0"/>
      </w:pPr>
      <w:r>
        <w:rPr>
          <w:vertAlign w:val="superscript"/>
        </w:rPr>
        <w:t>1</w:t>
      </w:r>
      <w:r>
        <w:tab/>
      </w:r>
      <w:r>
        <w:t>State Key Laboratory of Chemical Oncogenomics, Guangdong Provincial Key Laboratory of Chemical Genomics, School of Chemical Biology and Biotechnology, Peking University Shenzhen Graduate School, Shenzhen 518055, China.</w:t>
      </w:r>
    </w:p>
    <w:p w14:paraId="2BF88E5B">
      <w:pPr>
        <w:pStyle w:val="11"/>
        <w:ind w:left="0"/>
      </w:pPr>
      <w:r>
        <w:rPr>
          <w:vertAlign w:val="superscript"/>
        </w:rPr>
        <w:t>2</w:t>
      </w:r>
      <w:r>
        <w:tab/>
      </w:r>
      <w:r>
        <w:t>Centre for Artificial Intelligence Driven Drug Discovery, Faculty of Applied Sciences, Macao Polytechnic University, Macao 999078, China.</w:t>
      </w:r>
    </w:p>
    <w:p w14:paraId="7458F515">
      <w:pPr>
        <w:pStyle w:val="11"/>
        <w:ind w:left="0"/>
      </w:pPr>
      <w:r>
        <w:rPr>
          <w:vertAlign w:val="superscript"/>
        </w:rPr>
        <w:t>3</w:t>
      </w:r>
      <w:r>
        <w:tab/>
      </w:r>
      <w:r>
        <w:t>Department of Chemistry, Hong Kong Baptist University, Kowloon, Hong Kong, SAR 999077, China.</w:t>
      </w:r>
    </w:p>
    <w:p w14:paraId="6EE4CD6B">
      <w:pPr>
        <w:pStyle w:val="11"/>
        <w:ind w:left="0"/>
      </w:pPr>
      <w:r>
        <w:rPr>
          <w:vertAlign w:val="superscript"/>
        </w:rPr>
        <w:t>4</w:t>
      </w:r>
      <w:r>
        <w:tab/>
      </w:r>
      <w:r>
        <w:t>Institute of Chemical Biology, Shenzhen Bay Laboratory, Shenzhen 518132, China</w:t>
      </w:r>
    </w:p>
    <w:p w14:paraId="4BD72673">
      <w:pPr>
        <w:pStyle w:val="11"/>
        <w:ind w:left="0"/>
        <w:rPr>
          <w:lang w:val="pt"/>
        </w:rPr>
      </w:pPr>
      <w:r>
        <w:rPr>
          <w:b/>
          <w:lang w:val="pt"/>
        </w:rPr>
        <w:t>*</w:t>
      </w:r>
      <w:r>
        <w:rPr>
          <w:lang w:val="pt"/>
        </w:rPr>
        <w:tab/>
      </w:r>
      <w:r>
        <w:rPr>
          <w:lang w:val="pt"/>
        </w:rPr>
        <w:t xml:space="preserve">Correspondence: </w:t>
      </w:r>
      <w:r>
        <w:fldChar w:fldCharType="begin"/>
      </w:r>
      <w:r>
        <w:instrText xml:space="preserve"> HYPERLINK "mailto:hzheng@pku.edu.cn" </w:instrText>
      </w:r>
      <w:r>
        <w:fldChar w:fldCharType="separate"/>
      </w:r>
      <w:r>
        <w:rPr>
          <w:rStyle w:val="5"/>
          <w:lang w:val="pt"/>
        </w:rPr>
        <w:t>hzheng@pku.edu.cn</w:t>
      </w:r>
      <w:r>
        <w:rPr>
          <w:rStyle w:val="5"/>
          <w:lang w:val="pt"/>
        </w:rPr>
        <w:fldChar w:fldCharType="end"/>
      </w:r>
      <w:r>
        <w:rPr>
          <w:lang w:val="pt"/>
        </w:rPr>
        <w:t xml:space="preserve"> (H. Z.); </w:t>
      </w:r>
      <w:r>
        <w:fldChar w:fldCharType="begin"/>
      </w:r>
      <w:r>
        <w:instrText xml:space="preserve"> HYPERLINK "mailto:hanw_chem@hkbu.edu.hk" </w:instrText>
      </w:r>
      <w:r>
        <w:fldChar w:fldCharType="separate"/>
      </w:r>
      <w:r>
        <w:rPr>
          <w:rStyle w:val="5"/>
          <w:lang w:val="pt"/>
        </w:rPr>
        <w:t>hanw_chem@hkbu.edu.hk</w:t>
      </w:r>
      <w:r>
        <w:rPr>
          <w:rStyle w:val="5"/>
          <w:lang w:val="pt"/>
        </w:rPr>
        <w:fldChar w:fldCharType="end"/>
      </w:r>
      <w:r>
        <w:rPr>
          <w:lang w:val="pt"/>
        </w:rPr>
        <w:t xml:space="preserve"> (W. H.)</w:t>
      </w:r>
    </w:p>
    <w:p w14:paraId="45F7C647">
      <w:pPr>
        <w:pStyle w:val="11"/>
        <w:ind w:left="0"/>
      </w:pPr>
    </w:p>
    <w:p w14:paraId="7787575F">
      <w:pPr>
        <w:pStyle w:val="11"/>
        <w:ind w:left="0"/>
        <w:rPr>
          <w:lang w:val="pt"/>
        </w:rPr>
      </w:pPr>
    </w:p>
    <w:p w14:paraId="6FD44292">
      <w:pPr>
        <w:pStyle w:val="11"/>
        <w:ind w:left="0"/>
        <w:rPr>
          <w:lang w:val="pt"/>
        </w:rPr>
      </w:pPr>
    </w:p>
    <w:p w14:paraId="32174D42">
      <w:pPr>
        <w:pStyle w:val="11"/>
        <w:numPr>
          <w:ilvl w:val="0"/>
          <w:numId w:val="1"/>
        </w:numPr>
        <w:rPr>
          <w:lang w:val="pt"/>
        </w:rPr>
      </w:pPr>
      <w:r>
        <w:rPr>
          <w:lang w:val="pt"/>
        </w:rPr>
        <w:t xml:space="preserve">                                                                (b)</w:t>
      </w:r>
    </w:p>
    <w:p w14:paraId="33CCFB71">
      <w:pPr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2973705" cy="1513840"/>
            <wp:effectExtent l="0" t="0" r="0" b="0"/>
            <wp:docPr id="615307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0710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333" cy="157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eastAsia="zh-CN"/>
        </w:rPr>
        <w:drawing>
          <wp:inline distT="0" distB="0" distL="0" distR="0">
            <wp:extent cx="1805940" cy="1505585"/>
            <wp:effectExtent l="0" t="0" r="0" b="5715"/>
            <wp:docPr id="157067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731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254" cy="15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2577">
      <w:pP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 w:bidi="ar"/>
        </w:rPr>
      </w:pPr>
      <w:r>
        <w:rPr>
          <w:rStyle w:val="4"/>
          <w:rFonts w:ascii="Times New Roman Bold" w:hAnsi="Times New Roman Bold" w:eastAsia="宋体" w:cs="Times New Roman Bold"/>
          <w:bCs/>
          <w:sz w:val="24"/>
          <w:szCs w:val="24"/>
          <w:lang w:eastAsia="zh-CN" w:bidi="ar"/>
        </w:rPr>
        <w:t>Figure S1. Radial charge distribution and representative snapshot of the micelle crown.</w:t>
      </w:r>
      <w:r>
        <w:rPr>
          <w:rStyle w:val="4"/>
          <w:rFonts w:hint="default" w:ascii="Times New Roman Bold" w:hAnsi="Times New Roman Bold" w:eastAsia="宋体" w:cs="Times New Roman Bold"/>
          <w:bCs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 w:bidi="ar"/>
        </w:rPr>
        <w:t>(a) Radial charge distribution functions ρg(r) between LVFF core atoms and the total positive charges (R</w:t>
      </w:r>
      <w:r>
        <w:rPr>
          <w:rStyle w:val="4"/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subscript"/>
          <w:lang w:eastAsia="zh-CN" w:bidi="ar"/>
        </w:rPr>
        <w:t>9</w:t>
      </w:r>
      <w:r>
        <w:rPr>
          <w:rStyle w:val="4"/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 w:bidi="ar"/>
        </w:rPr>
        <w:t>, cyan) as well as the total negative charges (ATP, yellow). The profiles show that positive charges preferentially localize at ~5–6 nm from the LVFF core, consistent with the formation of a positively charged crown, whereas negative charges exhibit a broader distribution.</w:t>
      </w:r>
      <w:r>
        <w:rPr>
          <w:rStyle w:val="4"/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  <w:r>
        <w:rPr>
          <w:rStyle w:val="4"/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 w:bidi="ar"/>
        </w:rPr>
        <w:t>(b) Representative snapshot from the 20 μs trajectory illustrating the spatial organization of the aggregates (LVFF in cyan, R</w:t>
      </w:r>
      <w:r>
        <w:rPr>
          <w:rStyle w:val="4"/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subscript"/>
          <w:lang w:eastAsia="zh-CN" w:bidi="ar"/>
        </w:rPr>
        <w:t>9</w:t>
      </w:r>
      <w:r>
        <w:rPr>
          <w:rStyle w:val="4"/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 w:bidi="ar"/>
        </w:rPr>
        <w:t xml:space="preserve"> in yellow, ATP in red). The R</w:t>
      </w:r>
      <w:r>
        <w:rPr>
          <w:rStyle w:val="4"/>
          <w:rFonts w:hint="default" w:ascii="Times New Roman" w:hAnsi="Times New Roman" w:eastAsia="宋体" w:cs="Times New Roman"/>
          <w:b w:val="0"/>
          <w:bCs w:val="0"/>
          <w:sz w:val="24"/>
          <w:szCs w:val="24"/>
          <w:vertAlign w:val="subscript"/>
          <w:lang w:eastAsia="zh-CN" w:bidi="ar"/>
        </w:rPr>
        <w:t>9</w:t>
      </w:r>
      <w:r>
        <w:rPr>
          <w:rStyle w:val="4"/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 w:bidi="ar"/>
        </w:rPr>
        <w:t xml:space="preserve"> segments form a crown-like arrangement surrounding the LVFF hydrophobic core, consistent with the interpretation in Section 2.4. See also Movie S1 for the temporal evolution of this organization.</w:t>
      </w:r>
    </w:p>
    <w:p w14:paraId="4CA338D1">
      <w:pPr>
        <w:rPr>
          <w:rFonts w:ascii="Times New Roman Regular" w:hAnsi="Times New Roman Regular" w:eastAsia="宋体" w:cs="Times New Roman Regular"/>
          <w:sz w:val="24"/>
          <w:szCs w:val="24"/>
          <w:lang w:eastAsia="zh-CN" w:bidi="ar"/>
        </w:rPr>
      </w:pPr>
    </w:p>
    <w:p w14:paraId="08AA5984">
      <w:pPr>
        <w:rPr>
          <w:rStyle w:val="4"/>
          <w:rFonts w:ascii="Times New Roman Regular" w:hAnsi="Times New Roman Regular" w:eastAsia="宋体" w:cs="Times New Roman Regular"/>
          <w:b w:val="0"/>
          <w:sz w:val="24"/>
          <w:szCs w:val="24"/>
          <w:lang w:eastAsia="zh-CN" w:bidi="ar"/>
        </w:rPr>
      </w:pPr>
      <w:r>
        <w:rPr>
          <w:rStyle w:val="4"/>
          <w:rFonts w:ascii="Times New Roman Bold" w:hAnsi="Times New Roman Bold" w:eastAsia="宋体" w:cs="Times New Roman Bold"/>
          <w:bCs/>
          <w:sz w:val="24"/>
          <w:szCs w:val="24"/>
          <w:lang w:eastAsia="zh-CN" w:bidi="ar"/>
        </w:rPr>
        <w:t xml:space="preserve">Movie S1. Time evolution of peptide–ATP co-assembly over 20 μs. </w:t>
      </w:r>
      <w:r>
        <w:rPr>
          <w:rStyle w:val="4"/>
          <w:rFonts w:ascii="Times New Roman Regular" w:hAnsi="Times New Roman Regular" w:eastAsia="宋体" w:cs="Times New Roman Regular"/>
          <w:b w:val="0"/>
          <w:sz w:val="24"/>
          <w:szCs w:val="24"/>
          <w:lang w:eastAsia="zh-CN" w:bidi="ar"/>
        </w:rPr>
        <w:t>The movie illustrates the spatial organization of the system during the self-assembly process. LVFF segments are colored in cyan, R</w:t>
      </w:r>
      <w:r>
        <w:rPr>
          <w:rStyle w:val="4"/>
          <w:rFonts w:ascii="Times New Roman Regular" w:hAnsi="Times New Roman Regular" w:eastAsia="宋体" w:cs="Times New Roman Regular"/>
          <w:b w:val="0"/>
          <w:sz w:val="24"/>
          <w:szCs w:val="24"/>
          <w:vertAlign w:val="subscript"/>
          <w:lang w:eastAsia="zh-CN" w:bidi="ar"/>
        </w:rPr>
        <w:t>9</w:t>
      </w:r>
      <w:r>
        <w:rPr>
          <w:rStyle w:val="4"/>
          <w:rFonts w:ascii="Times New Roman Regular" w:hAnsi="Times New Roman Regular" w:eastAsia="宋体" w:cs="Times New Roman Regular"/>
          <w:b w:val="0"/>
          <w:sz w:val="24"/>
          <w:szCs w:val="24"/>
          <w:lang w:eastAsia="zh-CN" w:bidi="ar"/>
        </w:rPr>
        <w:t xml:space="preserve"> segments in </w:t>
      </w:r>
      <w:r>
        <w:rPr>
          <w:rStyle w:val="4"/>
          <w:rFonts w:hint="eastAsia" w:ascii="Times New Roman Regular" w:hAnsi="Times New Roman Regular" w:eastAsia="宋体" w:cs="Times New Roman Regular"/>
          <w:b w:val="0"/>
          <w:sz w:val="24"/>
          <w:szCs w:val="24"/>
          <w:lang w:eastAsia="zh-CN" w:bidi="ar"/>
        </w:rPr>
        <w:t>yellow</w:t>
      </w:r>
      <w:r>
        <w:rPr>
          <w:rStyle w:val="4"/>
          <w:rFonts w:ascii="Times New Roman Regular" w:hAnsi="Times New Roman Regular" w:eastAsia="宋体" w:cs="Times New Roman Regular"/>
          <w:b w:val="0"/>
          <w:sz w:val="24"/>
          <w:szCs w:val="24"/>
          <w:lang w:eastAsia="zh-CN" w:bidi="ar"/>
        </w:rPr>
        <w:t>, and ATP molecules in red. The trajectory highlights the formation of micelle-like structures, with R</w:t>
      </w:r>
      <w:r>
        <w:rPr>
          <w:rStyle w:val="4"/>
          <w:rFonts w:ascii="Times New Roman Regular" w:hAnsi="Times New Roman Regular" w:eastAsia="宋体" w:cs="Times New Roman Regular"/>
          <w:b w:val="0"/>
          <w:sz w:val="24"/>
          <w:szCs w:val="24"/>
          <w:vertAlign w:val="subscript"/>
          <w:lang w:eastAsia="zh-CN" w:bidi="ar"/>
        </w:rPr>
        <w:t>9</w:t>
      </w:r>
      <w:r>
        <w:rPr>
          <w:rStyle w:val="4"/>
          <w:rFonts w:ascii="Times New Roman Regular" w:hAnsi="Times New Roman Regular" w:eastAsia="宋体" w:cs="Times New Roman Regular"/>
          <w:b w:val="0"/>
          <w:sz w:val="24"/>
          <w:szCs w:val="24"/>
          <w:lang w:eastAsia="zh-CN" w:bidi="ar"/>
        </w:rPr>
        <w:t xml:space="preserve"> residues organizing into a positively charged crown around the hydrophobic LVFF core.</w:t>
      </w:r>
    </w:p>
    <w:p w14:paraId="76A24E6B">
      <w:pPr>
        <w:rPr>
          <w:rFonts w:ascii="Times New Roman Regular" w:hAnsi="Times New Roman Regular" w:eastAsia="宋体" w:cs="Times New Roman Regular"/>
          <w:sz w:val="24"/>
          <w:szCs w:val="24"/>
          <w:lang w:eastAsia="zh-CN" w:bidi="ar"/>
        </w:rPr>
      </w:pPr>
    </w:p>
    <w:p w14:paraId="7801A9BB">
      <w:pPr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C869E0"/>
    <w:multiLevelType w:val="multilevel"/>
    <w:tmpl w:val="10C869E0"/>
    <w:lvl w:ilvl="0" w:tentative="0">
      <w:start w:val="1"/>
      <w:numFmt w:val="lowerLetter"/>
      <w:lvlText w:val="(%1)"/>
      <w:lvlJc w:val="left"/>
      <w:pPr>
        <w:ind w:left="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20" w:hanging="440"/>
      </w:pPr>
    </w:lvl>
    <w:lvl w:ilvl="2" w:tentative="0">
      <w:start w:val="1"/>
      <w:numFmt w:val="lowerRoman"/>
      <w:lvlText w:val="%3."/>
      <w:lvlJc w:val="right"/>
      <w:pPr>
        <w:ind w:left="1460" w:hanging="440"/>
      </w:pPr>
    </w:lvl>
    <w:lvl w:ilvl="3" w:tentative="0">
      <w:start w:val="1"/>
      <w:numFmt w:val="decimal"/>
      <w:lvlText w:val="%4."/>
      <w:lvlJc w:val="left"/>
      <w:pPr>
        <w:ind w:left="1900" w:hanging="440"/>
      </w:pPr>
    </w:lvl>
    <w:lvl w:ilvl="4" w:tentative="0">
      <w:start w:val="1"/>
      <w:numFmt w:val="lowerLetter"/>
      <w:lvlText w:val="%5)"/>
      <w:lvlJc w:val="left"/>
      <w:pPr>
        <w:ind w:left="2340" w:hanging="440"/>
      </w:pPr>
    </w:lvl>
    <w:lvl w:ilvl="5" w:tentative="0">
      <w:start w:val="1"/>
      <w:numFmt w:val="lowerRoman"/>
      <w:lvlText w:val="%6."/>
      <w:lvlJc w:val="right"/>
      <w:pPr>
        <w:ind w:left="2780" w:hanging="440"/>
      </w:pPr>
    </w:lvl>
    <w:lvl w:ilvl="6" w:tentative="0">
      <w:start w:val="1"/>
      <w:numFmt w:val="decimal"/>
      <w:lvlText w:val="%7."/>
      <w:lvlJc w:val="left"/>
      <w:pPr>
        <w:ind w:left="3220" w:hanging="440"/>
      </w:pPr>
    </w:lvl>
    <w:lvl w:ilvl="7" w:tentative="0">
      <w:start w:val="1"/>
      <w:numFmt w:val="lowerLetter"/>
      <w:lvlText w:val="%8)"/>
      <w:lvlJc w:val="left"/>
      <w:pPr>
        <w:ind w:left="3660" w:hanging="440"/>
      </w:pPr>
    </w:lvl>
    <w:lvl w:ilvl="8" w:tentative="0">
      <w:start w:val="1"/>
      <w:numFmt w:val="lowerRoman"/>
      <w:lvlText w:val="%9."/>
      <w:lvlJc w:val="right"/>
      <w:pPr>
        <w:ind w:left="41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8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B1946"/>
    <w:rsid w:val="003910DF"/>
    <w:rsid w:val="007E3971"/>
    <w:rsid w:val="00A11892"/>
    <w:rsid w:val="00DC509E"/>
    <w:rsid w:val="67FFDF70"/>
    <w:rsid w:val="73EB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customStyle="1" w:styleId="6">
    <w:name w:val="MDPI_1.2_title"/>
    <w:basedOn w:val="1"/>
    <w:next w:val="1"/>
    <w:uiPriority w:val="0"/>
    <w:pPr>
      <w:adjustRightInd w:val="0"/>
      <w:snapToGrid w:val="0"/>
      <w:spacing w:after="240" w:line="240" w:lineRule="atLeast"/>
    </w:pPr>
    <w:rPr>
      <w:rFonts w:ascii="Palatino Linotype" w:hAnsi="Palatino Linotype" w:eastAsia="Times New Roman" w:cs="Times New Roman"/>
      <w:b/>
      <w:color w:val="000000"/>
      <w:sz w:val="36"/>
      <w:szCs w:val="20"/>
      <w:lang w:eastAsia="zh-CN"/>
    </w:rPr>
  </w:style>
  <w:style w:type="paragraph" w:customStyle="1" w:styleId="7">
    <w:name w:val="MDPI_1.3_authornames"/>
    <w:basedOn w:val="1"/>
    <w:next w:val="1"/>
    <w:uiPriority w:val="0"/>
    <w:pPr>
      <w:adjustRightInd w:val="0"/>
      <w:snapToGrid w:val="0"/>
      <w:spacing w:after="360" w:line="260" w:lineRule="atLeast"/>
    </w:pPr>
    <w:rPr>
      <w:rFonts w:ascii="Palatino Linotype" w:hAnsi="Palatino Linotype" w:eastAsia="Times New Roman" w:cs="Times New Roman"/>
      <w:b/>
      <w:color w:val="000000"/>
      <w:sz w:val="20"/>
      <w:lang w:eastAsia="zh-CN"/>
    </w:rPr>
  </w:style>
  <w:style w:type="paragraph" w:customStyle="1" w:styleId="8">
    <w:name w:val="MDPI_1.4_history"/>
    <w:basedOn w:val="1"/>
    <w:next w:val="1"/>
    <w:uiPriority w:val="0"/>
    <w:pPr>
      <w:adjustRightInd w:val="0"/>
      <w:snapToGrid w:val="0"/>
      <w:spacing w:after="0" w:line="240" w:lineRule="atLeast"/>
      <w:ind w:right="113"/>
    </w:pPr>
    <w:rPr>
      <w:rFonts w:ascii="Palatino Linotype" w:hAnsi="Palatino Linotype" w:eastAsia="Times New Roman" w:cs="Times New Roman"/>
      <w:color w:val="000000"/>
      <w:sz w:val="14"/>
      <w:szCs w:val="20"/>
      <w:lang w:eastAsia="zh-CN"/>
    </w:rPr>
  </w:style>
  <w:style w:type="paragraph" w:customStyle="1" w:styleId="9">
    <w:name w:val="MDPI_6.1_citation"/>
    <w:basedOn w:val="1"/>
    <w:uiPriority w:val="0"/>
    <w:pPr>
      <w:adjustRightInd w:val="0"/>
      <w:snapToGrid w:val="0"/>
      <w:spacing w:before="120" w:after="120" w:line="240" w:lineRule="atLeast"/>
      <w:ind w:right="113"/>
    </w:pPr>
    <w:rPr>
      <w:rFonts w:ascii="Palatino Linotype" w:hAnsi="Palatino Linotype" w:eastAsia="宋体" w:cs="Times New Roman"/>
      <w:sz w:val="14"/>
      <w:lang w:eastAsia="zh-CN"/>
    </w:rPr>
  </w:style>
  <w:style w:type="paragraph" w:customStyle="1" w:styleId="10">
    <w:name w:val="MDPI_7.2_copyright"/>
    <w:basedOn w:val="1"/>
    <w:uiPriority w:val="0"/>
    <w:pPr>
      <w:adjustRightInd w:val="0"/>
      <w:snapToGrid w:val="0"/>
      <w:spacing w:before="120" w:after="0" w:line="240" w:lineRule="atLeast"/>
      <w:ind w:right="113"/>
    </w:pPr>
    <w:rPr>
      <w:rFonts w:ascii="Palatino Linotype" w:hAnsi="Palatino Linotype" w:eastAsia="Times New Roman" w:cs="Times New Roman"/>
      <w:color w:val="000000"/>
      <w:sz w:val="14"/>
      <w:szCs w:val="20"/>
      <w:lang w:eastAsia="zh-CN"/>
    </w:rPr>
  </w:style>
  <w:style w:type="paragraph" w:customStyle="1" w:styleId="11">
    <w:name w:val="MDPI_1.6_affiliation"/>
    <w:basedOn w:val="1"/>
    <w:uiPriority w:val="0"/>
    <w:pPr>
      <w:adjustRightInd w:val="0"/>
      <w:snapToGrid w:val="0"/>
      <w:spacing w:after="0" w:line="200" w:lineRule="atLeast"/>
      <w:ind w:left="2806"/>
    </w:pPr>
    <w:rPr>
      <w:rFonts w:ascii="Palatino Linotype" w:hAnsi="Palatino Linotype" w:eastAsia="Times New Roman" w:cs="Times New Roman"/>
      <w:color w:val="000000"/>
      <w:sz w:val="16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320</Words>
  <Characters>1827</Characters>
  <Lines>15</Lines>
  <Paragraphs>4</Paragraphs>
  <TotalTime>9</TotalTime>
  <ScaleCrop>false</ScaleCrop>
  <LinksUpToDate>false</LinksUpToDate>
  <CharactersWithSpaces>2143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2025-09-27T02:19:00Z</dcterms:created>
  <dc:creator>Line</dc:creator>
  <cp:lastModifiedBy>Line</cp:lastModifiedBy>
  <dcterms:modified xsi:type="dcterms:W3CDTF">2025-09-27T01:25:53Z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6D786AE387C654ADC068D6680909816E_41</vt:lpwstr>
  </property>
</Properties>
</file>