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charts/chart1.xml" ContentType="application/vnd.openxmlformats-officedocument.drawingml.chart+xml"/>
  <Override PartName="/word/charts/chart2.xml" ContentType="application/vnd.openxmlformats-officedocument.drawingml.chart+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left"/>
        <w:rPr>
          <w:rFonts w:ascii="Times" w:hAnsi="Times"/>
        </w:rPr>
      </w:pPr>
      <w:r>
        <w:rPr>
          <w:rFonts w:ascii="Times" w:hAnsi="Times"/>
        </w:rPr>
        <w:t>Connor Hanley</w:t>
      </w:r>
    </w:p>
    <w:p>
      <w:pPr>
        <w:pStyle w:val="Normal"/>
        <w:bidi w:val="0"/>
        <w:spacing w:lineRule="auto" w:line="360"/>
        <w:jc w:val="left"/>
        <w:rPr>
          <w:rFonts w:ascii="Times" w:hAnsi="Times"/>
        </w:rPr>
      </w:pPr>
      <w:r>
        <w:rPr>
          <w:rFonts w:ascii="Times" w:hAnsi="Times"/>
        </w:rPr>
        <w:t>LIN 313</w:t>
      </w:r>
    </w:p>
    <w:p>
      <w:pPr>
        <w:pStyle w:val="Normal"/>
        <w:bidi w:val="0"/>
        <w:spacing w:lineRule="auto" w:line="360"/>
        <w:jc w:val="left"/>
        <w:rPr>
          <w:rFonts w:ascii="Times" w:hAnsi="Times"/>
        </w:rPr>
      </w:pPr>
      <w:r>
        <w:rPr>
          <w:rFonts w:ascii="Times" w:hAnsi="Times"/>
        </w:rPr>
        <w:t>Prof Venkat</w:t>
      </w:r>
    </w:p>
    <w:p>
      <w:pPr>
        <w:pStyle w:val="Normal"/>
        <w:bidi w:val="0"/>
        <w:spacing w:lineRule="auto" w:line="360"/>
        <w:jc w:val="left"/>
        <w:rPr>
          <w:rFonts w:ascii="Times" w:hAnsi="Times"/>
        </w:rPr>
      </w:pPr>
      <w:r>
        <w:rPr>
          <w:rFonts w:ascii="Times" w:hAnsi="Times"/>
        </w:rPr>
        <w:t>July 22, 2022</w:t>
      </w:r>
    </w:p>
    <w:p>
      <w:pPr>
        <w:pStyle w:val="Normal"/>
        <w:bidi w:val="0"/>
        <w:spacing w:lineRule="auto" w:line="360"/>
        <w:jc w:val="center"/>
        <w:rPr>
          <w:rFonts w:ascii="Times" w:hAnsi="Times"/>
        </w:rPr>
      </w:pPr>
      <w:r>
        <w:rPr>
          <w:rFonts w:ascii="Times" w:hAnsi="Times"/>
        </w:rPr>
        <w:t>Assignment 2</w:t>
      </w:r>
    </w:p>
    <w:p>
      <w:pPr>
        <w:pStyle w:val="Normal"/>
        <w:bidi w:val="0"/>
        <w:spacing w:lineRule="auto" w:line="360"/>
        <w:jc w:val="left"/>
        <w:rPr>
          <w:rFonts w:ascii="Times" w:hAnsi="Times"/>
          <w:b/>
          <w:b/>
          <w:bCs/>
        </w:rPr>
      </w:pPr>
      <w:r>
        <w:rPr>
          <w:rFonts w:ascii="Times" w:hAnsi="Times"/>
          <w:b/>
          <w:bCs/>
        </w:rPr>
        <w:t>1. Precision and Recall</w:t>
      </w:r>
    </w:p>
    <w:p>
      <w:pPr>
        <w:pStyle w:val="Normal"/>
        <w:bidi w:val="0"/>
        <w:spacing w:lineRule="auto" w:line="360"/>
        <w:jc w:val="left"/>
        <w:rPr>
          <w:rFonts w:ascii="Times" w:hAnsi="Times"/>
          <w:b/>
          <w:b/>
          <w:bCs/>
        </w:rPr>
      </w:pPr>
      <w:r>
        <w:rPr>
          <w:rFonts w:ascii="Times" w:hAnsi="Times"/>
          <w:b w:val="false"/>
          <w:bCs w:val="false"/>
          <w:i/>
          <w:iCs/>
        </w:rPr>
        <w:t>1.i.</w:t>
      </w:r>
      <w:r>
        <w:rPr>
          <w:rFonts w:ascii="Times" w:hAnsi="Times"/>
          <w:b w:val="false"/>
          <w:bCs w:val="false"/>
        </w:rPr>
        <w:t xml:space="preserve"> I think that in this case, the most important factor between precision and recall is recall. Whenever we’re dealing a life-threatening disease like cancer (or most diseases I feel), it is always better to be a bit more heavy-handed in diagnoses and treatment. In other words, I think it is more beneficial to have more false positives (and the side-effects generated by that) than more false negatives. Especially with cancer, I can’t imagine how absolutely distraught someone or someone’s family would be if they were given a false negative, and then shortly after find out that they are really terminally ill over something that was easily preventable at an early stage.</w:t>
      </w:r>
    </w:p>
    <w:p>
      <w:pPr>
        <w:pStyle w:val="Normal"/>
        <w:bidi w:val="0"/>
        <w:spacing w:lineRule="auto" w:line="360"/>
        <w:jc w:val="left"/>
        <w:rPr>
          <w:b w:val="false"/>
          <w:b w:val="false"/>
          <w:bCs w:val="false"/>
        </w:rPr>
      </w:pPr>
      <w:r>
        <w:rPr>
          <w:rFonts w:ascii="Times" w:hAnsi="Times"/>
          <w:b/>
          <w:bCs/>
          <w:i/>
          <w:iCs/>
        </w:rPr>
      </w:r>
    </w:p>
    <w:p>
      <w:pPr>
        <w:pStyle w:val="Normal"/>
        <w:bidi w:val="0"/>
        <w:spacing w:lineRule="auto" w:line="360"/>
        <w:jc w:val="left"/>
        <w:rPr>
          <w:rFonts w:ascii="Times" w:hAnsi="Times"/>
          <w:b/>
          <w:b/>
          <w:bCs/>
          <w:i/>
          <w:i/>
          <w:iCs/>
        </w:rPr>
      </w:pPr>
      <w:r>
        <w:rPr>
          <w:rFonts w:ascii="Times" w:hAnsi="Times"/>
          <w:b w:val="false"/>
          <w:bCs w:val="false"/>
          <w:i/>
          <w:iCs/>
        </w:rPr>
        <w:t>1.ii</w:t>
      </w:r>
      <w:r>
        <w:rPr>
          <w:rFonts w:ascii="Times" w:hAnsi="Times"/>
          <w:b w:val="false"/>
          <w:bCs w:val="false"/>
          <w:i w:val="false"/>
          <w:iCs w:val="false"/>
        </w:rPr>
        <w:t>. While I did say for the example above that in cases of life-threatening diseases we ought to steer on the side of recall, in this case, when dealing with the potentials of death caused as a side-effect, I think it’s a bit more nuanced. For this drug, the factors that need to be weighed are the effectiveness of the drug, compared with it’s precision and recall, and finally the cancer it’s actually treating. For example, if it’s a normally easily treatable cancer, with treatments that are practically guaranteed to work, then we probably ought to steer on the side of precision, even if it is extremely effective. But if it is for a highly fatal, and extremely tragic type of cancer, then if it is highly effective it might be just a risk that you have to inform patients about whenever offering this as a treatment. For sufferers of extreme types of cancer, it might be a sort of “between a rock and a hard place” situation, either a death via cancer or a potential cure, with a possibility of death.</w:t>
      </w:r>
    </w:p>
    <w:p>
      <w:pPr>
        <w:pStyle w:val="Normal"/>
        <w:bidi w:val="0"/>
        <w:spacing w:lineRule="auto" w:line="360"/>
        <w:jc w:val="left"/>
        <w:rPr>
          <w:b w:val="false"/>
          <w:b w:val="false"/>
          <w:bCs w:val="false"/>
          <w:i w:val="false"/>
          <w:i w:val="false"/>
          <w:iCs w:val="false"/>
        </w:rPr>
      </w:pPr>
      <w:r>
        <w:rPr>
          <w:rFonts w:ascii="Times" w:hAnsi="Times"/>
          <w:b/>
          <w:bCs/>
          <w:i/>
          <w:iCs/>
        </w:rPr>
      </w:r>
    </w:p>
    <w:p>
      <w:pPr>
        <w:pStyle w:val="Normal"/>
        <w:bidi w:val="0"/>
        <w:spacing w:lineRule="auto" w:line="360"/>
        <w:jc w:val="left"/>
        <w:rPr>
          <w:rFonts w:ascii="Times" w:hAnsi="Times"/>
          <w:b/>
          <w:b/>
          <w:bCs/>
          <w:i/>
          <w:i/>
          <w:iCs/>
        </w:rPr>
      </w:pPr>
      <w:r>
        <w:rPr>
          <w:rFonts w:ascii="Times" w:hAnsi="Times"/>
          <w:b w:val="false"/>
          <w:bCs w:val="false"/>
          <w:i/>
          <w:iCs/>
        </w:rPr>
        <w:t>1.iii.</w:t>
      </w:r>
      <w:r>
        <w:rPr>
          <w:rFonts w:ascii="Times" w:hAnsi="Times"/>
          <w:b w:val="false"/>
          <w:bCs w:val="false"/>
          <w:i w:val="false"/>
          <w:iCs w:val="false"/>
        </w:rPr>
        <w:t xml:space="preserve"> Identifying cars, and driving generally, seems a lot safer to leave up to the demonstrably capable hands of humans. But because the question is about precision versus recall, I think that </w:t>
      </w:r>
      <w:r>
        <w:rPr>
          <w:rFonts w:ascii="Times" w:hAnsi="Times"/>
          <w:b w:val="false"/>
          <w:bCs w:val="false"/>
          <w:i w:val="false"/>
          <w:iCs w:val="false"/>
        </w:rPr>
        <w:t>it could arguable go either way as to whether precision or recall ought to be favored. I think that for me, at least, precision might be more important. For example, I think that it would be better to classify more things as running red lights (and then potentially have someone to review the classification for efficacy etc.), then for there to be less things caught as red lights. So, I would rather favor precision over recall.</w:t>
      </w:r>
    </w:p>
    <w:p>
      <w:pPr>
        <w:pStyle w:val="Normal"/>
        <w:bidi w:val="0"/>
        <w:spacing w:lineRule="auto" w:line="360"/>
        <w:jc w:val="left"/>
        <w:rPr>
          <w:b w:val="false"/>
          <w:b w:val="false"/>
          <w:bCs w:val="false"/>
          <w:i w:val="false"/>
          <w:i w:val="false"/>
          <w:iCs w:val="false"/>
        </w:rPr>
      </w:pPr>
      <w:r>
        <w:rPr>
          <w:rFonts w:ascii="Times" w:hAnsi="Times"/>
          <w:b/>
          <w:bCs/>
          <w:i/>
          <w:iCs/>
        </w:rPr>
      </w:r>
    </w:p>
    <w:p>
      <w:pPr>
        <w:pStyle w:val="Normal"/>
        <w:bidi w:val="0"/>
        <w:spacing w:lineRule="auto" w:line="360"/>
        <w:jc w:val="left"/>
        <w:rPr>
          <w:rFonts w:ascii="Times" w:hAnsi="Times"/>
          <w:b/>
          <w:b/>
          <w:bCs/>
          <w:i/>
          <w:i/>
          <w:iCs/>
        </w:rPr>
      </w:pPr>
      <w:r>
        <w:rPr>
          <w:rFonts w:ascii="Times" w:hAnsi="Times"/>
          <w:b w:val="false"/>
          <w:bCs w:val="false"/>
          <w:i/>
          <w:iCs/>
        </w:rPr>
        <w:t>1. iv.</w:t>
      </w:r>
      <w:r>
        <w:rPr>
          <w:rFonts w:ascii="Times" w:hAnsi="Times"/>
          <w:b w:val="false"/>
          <w:bCs w:val="false"/>
          <w:i w:val="false"/>
          <w:iCs w:val="false"/>
        </w:rPr>
        <w:t xml:space="preserve"> Because oftentimes, at least from what I know about weeds, they might be a sort of invasive species. So we might prefer precision in our removal of these weeds so as to prevent any possible weeds slipping through. It’s a very harsh approach, but invasive species can not only kill your garden, but also can endanger you and your communities (e.g., being highly flammable), as well as the local environment, as native plants and native fauna are closely interlinked.</w:t>
      </w:r>
    </w:p>
    <w:p>
      <w:pPr>
        <w:pStyle w:val="Normal"/>
        <w:bidi w:val="0"/>
        <w:spacing w:lineRule="auto" w:line="360"/>
        <w:jc w:val="left"/>
        <w:rPr>
          <w:b w:val="false"/>
          <w:b w:val="false"/>
          <w:bCs w:val="false"/>
          <w:i w:val="false"/>
          <w:i w:val="false"/>
          <w:iCs w:val="false"/>
        </w:rPr>
      </w:pPr>
      <w:r>
        <w:rPr>
          <w:rFonts w:ascii="Times" w:hAnsi="Times"/>
          <w:b/>
          <w:bCs/>
          <w:i/>
          <w:iCs/>
        </w:rPr>
      </w:r>
    </w:p>
    <w:p>
      <w:pPr>
        <w:pStyle w:val="Normal"/>
        <w:bidi w:val="0"/>
        <w:spacing w:lineRule="auto" w:line="360"/>
        <w:jc w:val="left"/>
        <w:rPr>
          <w:rFonts w:ascii="Times" w:hAnsi="Times"/>
          <w:b/>
          <w:b/>
          <w:bCs/>
          <w:i/>
          <w:i/>
          <w:iCs/>
        </w:rPr>
      </w:pPr>
      <w:r>
        <w:rPr>
          <w:rFonts w:ascii="Times" w:hAnsi="Times"/>
          <w:b/>
          <w:bCs/>
          <w:i w:val="false"/>
          <w:iCs w:val="false"/>
        </w:rPr>
        <w:t>2. PageRank</w:t>
      </w:r>
    </w:p>
    <w:p>
      <w:pPr>
        <w:pStyle w:val="Normal"/>
        <w:bidi w:val="0"/>
        <w:spacing w:lineRule="auto" w:line="360"/>
        <w:jc w:val="left"/>
        <w:rPr>
          <w:rFonts w:ascii="Times" w:hAnsi="Times"/>
          <w:b w:val="false"/>
          <w:b w:val="false"/>
          <w:bCs w:val="false"/>
          <w:i/>
          <w:i/>
          <w:iCs/>
        </w:rPr>
      </w:pPr>
      <w:r>
        <w:rPr>
          <w:rFonts w:ascii="Times" w:hAnsi="Times"/>
          <w:b w:val="false"/>
          <w:bCs w:val="false"/>
          <w:i w:val="false"/>
          <w:iCs w:val="false"/>
        </w:rPr>
        <w:t>I wrote a little program to do the calculations because like a good student of the College of Liberal Arts, I am unable to count.</w:t>
      </w:r>
    </w:p>
    <w:tbl>
      <w:tblPr>
        <w:tblW w:w="6430" w:type="dxa"/>
        <w:jc w:val="left"/>
        <w:tblInd w:w="-30" w:type="dxa"/>
        <w:tblLayout w:type="fixed"/>
        <w:tblCellMar>
          <w:top w:w="0" w:type="dxa"/>
          <w:left w:w="30" w:type="dxa"/>
          <w:bottom w:w="0" w:type="dxa"/>
          <w:right w:w="30" w:type="dxa"/>
        </w:tblCellMar>
      </w:tblPr>
      <w:tblGrid>
        <w:gridCol w:w="1309"/>
        <w:gridCol w:w="1281"/>
        <w:gridCol w:w="1280"/>
        <w:gridCol w:w="1279"/>
        <w:gridCol w:w="1281"/>
      </w:tblGrid>
      <w:tr>
        <w:trPr>
          <w:trHeight w:val="256" w:hRule="atLeast"/>
        </w:trPr>
        <w:tc>
          <w:tcPr>
            <w:tcW w:w="1309" w:type="dxa"/>
            <w:tcBorders/>
            <w:vAlign w:val="bottom"/>
          </w:tcPr>
          <w:p>
            <w:pPr>
              <w:pStyle w:val="Normal"/>
              <w:tabs>
                <w:tab w:val="clear" w:pos="709"/>
              </w:tabs>
              <w:bidi w:val="0"/>
              <w:jc w:val="left"/>
              <w:rPr/>
            </w:pPr>
            <w:r>
              <w:rPr/>
            </w:r>
          </w:p>
        </w:tc>
        <w:tc>
          <w:tcPr>
            <w:tcW w:w="1281" w:type="dxa"/>
            <w:tcBorders/>
            <w:vAlign w:val="bottom"/>
          </w:tcPr>
          <w:p>
            <w:pPr>
              <w:pStyle w:val="Normal"/>
              <w:tabs>
                <w:tab w:val="clear" w:pos="709"/>
              </w:tabs>
              <w:bidi w:val="0"/>
              <w:jc w:val="left"/>
              <w:rPr/>
            </w:pPr>
            <w:r>
              <w:rPr/>
              <w:t>NODE A</w:t>
            </w:r>
          </w:p>
        </w:tc>
        <w:tc>
          <w:tcPr>
            <w:tcW w:w="1280" w:type="dxa"/>
            <w:tcBorders/>
            <w:vAlign w:val="bottom"/>
          </w:tcPr>
          <w:p>
            <w:pPr>
              <w:pStyle w:val="Normal"/>
              <w:tabs>
                <w:tab w:val="clear" w:pos="709"/>
              </w:tabs>
              <w:bidi w:val="0"/>
              <w:jc w:val="left"/>
              <w:rPr/>
            </w:pPr>
            <w:r>
              <w:rPr/>
              <w:t>NODE B</w:t>
            </w:r>
          </w:p>
        </w:tc>
        <w:tc>
          <w:tcPr>
            <w:tcW w:w="1279" w:type="dxa"/>
            <w:tcBorders/>
            <w:vAlign w:val="bottom"/>
          </w:tcPr>
          <w:p>
            <w:pPr>
              <w:pStyle w:val="Normal"/>
              <w:tabs>
                <w:tab w:val="clear" w:pos="709"/>
              </w:tabs>
              <w:bidi w:val="0"/>
              <w:jc w:val="left"/>
              <w:rPr/>
            </w:pPr>
            <w:r>
              <w:rPr/>
              <w:t>NODE C</w:t>
            </w:r>
          </w:p>
        </w:tc>
        <w:tc>
          <w:tcPr>
            <w:tcW w:w="1281" w:type="dxa"/>
            <w:tcBorders/>
            <w:vAlign w:val="bottom"/>
          </w:tcPr>
          <w:p>
            <w:pPr>
              <w:pStyle w:val="Normal"/>
              <w:tabs>
                <w:tab w:val="clear" w:pos="709"/>
              </w:tabs>
              <w:bidi w:val="0"/>
              <w:jc w:val="left"/>
              <w:rPr/>
            </w:pPr>
            <w:r>
              <w:rPr/>
              <w:t>NODE D</w:t>
            </w:r>
          </w:p>
        </w:tc>
      </w:tr>
      <w:tr>
        <w:trPr>
          <w:trHeight w:val="256" w:hRule="atLeast"/>
        </w:trPr>
        <w:tc>
          <w:tcPr>
            <w:tcW w:w="1309" w:type="dxa"/>
            <w:tcBorders/>
            <w:vAlign w:val="bottom"/>
          </w:tcPr>
          <w:p>
            <w:pPr>
              <w:pStyle w:val="Normal"/>
              <w:tabs>
                <w:tab w:val="clear" w:pos="709"/>
              </w:tabs>
              <w:bidi w:val="0"/>
              <w:jc w:val="left"/>
              <w:rPr/>
            </w:pPr>
            <w:r>
              <w:rPr/>
              <w:t>Round 1</w:t>
            </w:r>
          </w:p>
        </w:tc>
        <w:tc>
          <w:tcPr>
            <w:tcW w:w="1281" w:type="dxa"/>
            <w:tcBorders/>
            <w:vAlign w:val="bottom"/>
          </w:tcPr>
          <w:p>
            <w:pPr>
              <w:pStyle w:val="Normal"/>
              <w:tabs>
                <w:tab w:val="clear" w:pos="709"/>
              </w:tabs>
              <w:bidi w:val="0"/>
              <w:jc w:val="right"/>
              <w:rPr/>
            </w:pPr>
            <w:r>
              <w:rPr/>
              <w:t>0.375</w:t>
            </w:r>
          </w:p>
        </w:tc>
        <w:tc>
          <w:tcPr>
            <w:tcW w:w="1280" w:type="dxa"/>
            <w:tcBorders/>
            <w:vAlign w:val="bottom"/>
          </w:tcPr>
          <w:p>
            <w:pPr>
              <w:pStyle w:val="Normal"/>
              <w:tabs>
                <w:tab w:val="clear" w:pos="709"/>
              </w:tabs>
              <w:bidi w:val="0"/>
              <w:jc w:val="right"/>
              <w:rPr/>
            </w:pPr>
            <w:r>
              <w:rPr/>
              <w:t>0.375</w:t>
            </w:r>
          </w:p>
        </w:tc>
        <w:tc>
          <w:tcPr>
            <w:tcW w:w="1279" w:type="dxa"/>
            <w:tcBorders/>
            <w:vAlign w:val="bottom"/>
          </w:tcPr>
          <w:p>
            <w:pPr>
              <w:pStyle w:val="Normal"/>
              <w:tabs>
                <w:tab w:val="clear" w:pos="709"/>
              </w:tabs>
              <w:bidi w:val="0"/>
              <w:jc w:val="right"/>
              <w:rPr/>
            </w:pPr>
            <w:r>
              <w:rPr/>
              <w:t>0.125</w:t>
            </w:r>
          </w:p>
        </w:tc>
        <w:tc>
          <w:tcPr>
            <w:tcW w:w="1281" w:type="dxa"/>
            <w:tcBorders/>
            <w:vAlign w:val="bottom"/>
          </w:tcPr>
          <w:p>
            <w:pPr>
              <w:pStyle w:val="Normal"/>
              <w:tabs>
                <w:tab w:val="clear" w:pos="709"/>
              </w:tabs>
              <w:bidi w:val="0"/>
              <w:jc w:val="right"/>
              <w:rPr/>
            </w:pPr>
            <w:r>
              <w:rPr/>
              <w:t>0.125</w:t>
            </w:r>
          </w:p>
        </w:tc>
      </w:tr>
      <w:tr>
        <w:trPr>
          <w:trHeight w:val="256" w:hRule="atLeast"/>
        </w:trPr>
        <w:tc>
          <w:tcPr>
            <w:tcW w:w="1309" w:type="dxa"/>
            <w:tcBorders/>
            <w:vAlign w:val="bottom"/>
          </w:tcPr>
          <w:p>
            <w:pPr>
              <w:pStyle w:val="Normal"/>
              <w:tabs>
                <w:tab w:val="clear" w:pos="709"/>
              </w:tabs>
              <w:bidi w:val="0"/>
              <w:jc w:val="left"/>
              <w:rPr/>
            </w:pPr>
            <w:r>
              <w:rPr/>
              <w:t>Round 2</w:t>
            </w:r>
          </w:p>
        </w:tc>
        <w:tc>
          <w:tcPr>
            <w:tcW w:w="1281" w:type="dxa"/>
            <w:tcBorders/>
            <w:vAlign w:val="bottom"/>
          </w:tcPr>
          <w:p>
            <w:pPr>
              <w:pStyle w:val="Normal"/>
              <w:tabs>
                <w:tab w:val="clear" w:pos="709"/>
              </w:tabs>
              <w:bidi w:val="0"/>
              <w:jc w:val="right"/>
              <w:rPr/>
            </w:pPr>
            <w:r>
              <w:rPr/>
              <w:t>0.3125</w:t>
            </w:r>
          </w:p>
        </w:tc>
        <w:tc>
          <w:tcPr>
            <w:tcW w:w="1280" w:type="dxa"/>
            <w:tcBorders/>
            <w:vAlign w:val="bottom"/>
          </w:tcPr>
          <w:p>
            <w:pPr>
              <w:pStyle w:val="Normal"/>
              <w:tabs>
                <w:tab w:val="clear" w:pos="709"/>
              </w:tabs>
              <w:bidi w:val="0"/>
              <w:jc w:val="right"/>
              <w:rPr/>
            </w:pPr>
            <w:r>
              <w:rPr/>
              <w:t>0.4375</w:t>
            </w:r>
          </w:p>
        </w:tc>
        <w:tc>
          <w:tcPr>
            <w:tcW w:w="1279" w:type="dxa"/>
            <w:tcBorders/>
            <w:vAlign w:val="bottom"/>
          </w:tcPr>
          <w:p>
            <w:pPr>
              <w:pStyle w:val="Normal"/>
              <w:tabs>
                <w:tab w:val="clear" w:pos="709"/>
              </w:tabs>
              <w:bidi w:val="0"/>
              <w:jc w:val="right"/>
              <w:rPr/>
            </w:pPr>
            <w:r>
              <w:rPr/>
              <w:t>0.625</w:t>
            </w:r>
          </w:p>
        </w:tc>
        <w:tc>
          <w:tcPr>
            <w:tcW w:w="1281" w:type="dxa"/>
            <w:tcBorders/>
            <w:vAlign w:val="bottom"/>
          </w:tcPr>
          <w:p>
            <w:pPr>
              <w:pStyle w:val="Normal"/>
              <w:tabs>
                <w:tab w:val="clear" w:pos="709"/>
              </w:tabs>
              <w:bidi w:val="0"/>
              <w:jc w:val="right"/>
              <w:rPr/>
            </w:pPr>
            <w:r>
              <w:rPr/>
              <w:t>0.1875</w:t>
            </w:r>
          </w:p>
        </w:tc>
      </w:tr>
      <w:tr>
        <w:trPr>
          <w:trHeight w:val="256" w:hRule="atLeast"/>
        </w:trPr>
        <w:tc>
          <w:tcPr>
            <w:tcW w:w="1309" w:type="dxa"/>
            <w:tcBorders/>
            <w:vAlign w:val="bottom"/>
          </w:tcPr>
          <w:p>
            <w:pPr>
              <w:pStyle w:val="Normal"/>
              <w:tabs>
                <w:tab w:val="clear" w:pos="709"/>
              </w:tabs>
              <w:bidi w:val="0"/>
              <w:jc w:val="left"/>
              <w:rPr/>
            </w:pPr>
            <w:r>
              <w:rPr/>
              <w:t>Round 3</w:t>
            </w:r>
          </w:p>
        </w:tc>
        <w:tc>
          <w:tcPr>
            <w:tcW w:w="1281" w:type="dxa"/>
            <w:tcBorders/>
            <w:vAlign w:val="bottom"/>
          </w:tcPr>
          <w:p>
            <w:pPr>
              <w:pStyle w:val="Normal"/>
              <w:tabs>
                <w:tab w:val="clear" w:pos="709"/>
              </w:tabs>
              <w:bidi w:val="0"/>
              <w:jc w:val="right"/>
              <w:rPr/>
            </w:pPr>
            <w:r>
              <w:rPr/>
              <w:t>0.34375</w:t>
            </w:r>
          </w:p>
        </w:tc>
        <w:tc>
          <w:tcPr>
            <w:tcW w:w="1280" w:type="dxa"/>
            <w:tcBorders/>
            <w:vAlign w:val="bottom"/>
          </w:tcPr>
          <w:p>
            <w:pPr>
              <w:pStyle w:val="Normal"/>
              <w:tabs>
                <w:tab w:val="clear" w:pos="709"/>
              </w:tabs>
              <w:bidi w:val="0"/>
              <w:jc w:val="right"/>
              <w:rPr/>
            </w:pPr>
            <w:r>
              <w:rPr/>
              <w:t>0.34375</w:t>
            </w:r>
          </w:p>
        </w:tc>
        <w:tc>
          <w:tcPr>
            <w:tcW w:w="1279" w:type="dxa"/>
            <w:tcBorders/>
            <w:vAlign w:val="bottom"/>
          </w:tcPr>
          <w:p>
            <w:pPr>
              <w:pStyle w:val="Normal"/>
              <w:tabs>
                <w:tab w:val="clear" w:pos="709"/>
              </w:tabs>
              <w:bidi w:val="0"/>
              <w:jc w:val="right"/>
              <w:rPr/>
            </w:pPr>
            <w:r>
              <w:rPr/>
              <w:t>0.9375</w:t>
            </w:r>
          </w:p>
        </w:tc>
        <w:tc>
          <w:tcPr>
            <w:tcW w:w="1281" w:type="dxa"/>
            <w:tcBorders/>
            <w:vAlign w:val="bottom"/>
          </w:tcPr>
          <w:p>
            <w:pPr>
              <w:pStyle w:val="Normal"/>
              <w:tabs>
                <w:tab w:val="clear" w:pos="709"/>
              </w:tabs>
              <w:bidi w:val="0"/>
              <w:jc w:val="right"/>
              <w:rPr/>
            </w:pPr>
            <w:r>
              <w:rPr/>
              <w:t>0.21875</w:t>
            </w:r>
          </w:p>
        </w:tc>
      </w:tr>
      <w:tr>
        <w:trPr>
          <w:trHeight w:val="256" w:hRule="atLeast"/>
        </w:trPr>
        <w:tc>
          <w:tcPr>
            <w:tcW w:w="1309" w:type="dxa"/>
            <w:tcBorders/>
            <w:vAlign w:val="bottom"/>
          </w:tcPr>
          <w:p>
            <w:pPr>
              <w:pStyle w:val="Normal"/>
              <w:tabs>
                <w:tab w:val="clear" w:pos="709"/>
              </w:tabs>
              <w:bidi w:val="0"/>
              <w:jc w:val="left"/>
              <w:rPr/>
            </w:pPr>
            <w:r>
              <w:rPr/>
              <w:t>Round 4</w:t>
            </w:r>
          </w:p>
        </w:tc>
        <w:tc>
          <w:tcPr>
            <w:tcW w:w="1281" w:type="dxa"/>
            <w:tcBorders/>
            <w:vAlign w:val="bottom"/>
          </w:tcPr>
          <w:p>
            <w:pPr>
              <w:pStyle w:val="Normal"/>
              <w:tabs>
                <w:tab w:val="clear" w:pos="709"/>
              </w:tabs>
              <w:bidi w:val="0"/>
              <w:jc w:val="right"/>
              <w:rPr/>
            </w:pPr>
            <w:r>
              <w:rPr/>
              <w:t>0.328125</w:t>
            </w:r>
          </w:p>
        </w:tc>
        <w:tc>
          <w:tcPr>
            <w:tcW w:w="1280" w:type="dxa"/>
            <w:tcBorders/>
            <w:vAlign w:val="bottom"/>
          </w:tcPr>
          <w:p>
            <w:pPr>
              <w:pStyle w:val="Normal"/>
              <w:tabs>
                <w:tab w:val="clear" w:pos="709"/>
              </w:tabs>
              <w:bidi w:val="0"/>
              <w:jc w:val="right"/>
              <w:rPr/>
            </w:pPr>
            <w:r>
              <w:rPr/>
              <w:t>0.390625</w:t>
            </w:r>
          </w:p>
        </w:tc>
        <w:tc>
          <w:tcPr>
            <w:tcW w:w="1279" w:type="dxa"/>
            <w:tcBorders/>
            <w:vAlign w:val="bottom"/>
          </w:tcPr>
          <w:p>
            <w:pPr>
              <w:pStyle w:val="Normal"/>
              <w:tabs>
                <w:tab w:val="clear" w:pos="709"/>
              </w:tabs>
              <w:bidi w:val="0"/>
              <w:jc w:val="right"/>
              <w:rPr/>
            </w:pPr>
            <w:r>
              <w:rPr/>
              <w:t>0.109375</w:t>
            </w:r>
          </w:p>
        </w:tc>
        <w:tc>
          <w:tcPr>
            <w:tcW w:w="1281" w:type="dxa"/>
            <w:tcBorders/>
            <w:vAlign w:val="bottom"/>
          </w:tcPr>
          <w:p>
            <w:pPr>
              <w:pStyle w:val="Normal"/>
              <w:tabs>
                <w:tab w:val="clear" w:pos="709"/>
              </w:tabs>
              <w:bidi w:val="0"/>
              <w:jc w:val="right"/>
              <w:rPr/>
            </w:pPr>
            <w:r>
              <w:rPr/>
              <w:t>0.171875</w:t>
            </w:r>
          </w:p>
        </w:tc>
      </w:tr>
      <w:tr>
        <w:trPr>
          <w:trHeight w:val="256" w:hRule="atLeast"/>
        </w:trPr>
        <w:tc>
          <w:tcPr>
            <w:tcW w:w="1309" w:type="dxa"/>
            <w:tcBorders/>
            <w:vAlign w:val="bottom"/>
          </w:tcPr>
          <w:p>
            <w:pPr>
              <w:pStyle w:val="Normal"/>
              <w:tabs>
                <w:tab w:val="clear" w:pos="709"/>
              </w:tabs>
              <w:bidi w:val="0"/>
              <w:jc w:val="left"/>
              <w:rPr/>
            </w:pPr>
            <w:r>
              <w:rPr/>
              <w:t>Round 5</w:t>
            </w:r>
          </w:p>
        </w:tc>
        <w:tc>
          <w:tcPr>
            <w:tcW w:w="1281" w:type="dxa"/>
            <w:tcBorders/>
            <w:vAlign w:val="bottom"/>
          </w:tcPr>
          <w:p>
            <w:pPr>
              <w:pStyle w:val="Normal"/>
              <w:tabs>
                <w:tab w:val="clear" w:pos="709"/>
              </w:tabs>
              <w:bidi w:val="0"/>
              <w:jc w:val="right"/>
              <w:rPr/>
            </w:pPr>
            <w:r>
              <w:rPr/>
              <w:t>0.3359375</w:t>
            </w:r>
          </w:p>
        </w:tc>
        <w:tc>
          <w:tcPr>
            <w:tcW w:w="1280" w:type="dxa"/>
            <w:tcBorders/>
            <w:vAlign w:val="bottom"/>
          </w:tcPr>
          <w:p>
            <w:pPr>
              <w:pStyle w:val="Normal"/>
              <w:tabs>
                <w:tab w:val="clear" w:pos="709"/>
              </w:tabs>
              <w:bidi w:val="0"/>
              <w:jc w:val="right"/>
              <w:rPr/>
            </w:pPr>
            <w:r>
              <w:rPr/>
              <w:t>0.3828125</w:t>
            </w:r>
          </w:p>
        </w:tc>
        <w:tc>
          <w:tcPr>
            <w:tcW w:w="1279" w:type="dxa"/>
            <w:tcBorders/>
            <w:vAlign w:val="bottom"/>
          </w:tcPr>
          <w:p>
            <w:pPr>
              <w:pStyle w:val="Normal"/>
              <w:tabs>
                <w:tab w:val="clear" w:pos="709"/>
              </w:tabs>
              <w:bidi w:val="0"/>
              <w:jc w:val="right"/>
              <w:rPr/>
            </w:pPr>
            <w:r>
              <w:rPr/>
              <w:t>0.859375</w:t>
            </w:r>
          </w:p>
        </w:tc>
        <w:tc>
          <w:tcPr>
            <w:tcW w:w="1281" w:type="dxa"/>
            <w:tcBorders/>
            <w:vAlign w:val="bottom"/>
          </w:tcPr>
          <w:p>
            <w:pPr>
              <w:pStyle w:val="Normal"/>
              <w:tabs>
                <w:tab w:val="clear" w:pos="709"/>
              </w:tabs>
              <w:bidi w:val="0"/>
              <w:jc w:val="right"/>
              <w:rPr/>
            </w:pPr>
            <w:r>
              <w:rPr/>
              <w:t>0.1953125</w:t>
            </w:r>
          </w:p>
        </w:tc>
      </w:tr>
      <w:tr>
        <w:trPr>
          <w:trHeight w:val="256" w:hRule="atLeast"/>
        </w:trPr>
        <w:tc>
          <w:tcPr>
            <w:tcW w:w="1309" w:type="dxa"/>
            <w:tcBorders/>
            <w:vAlign w:val="bottom"/>
          </w:tcPr>
          <w:p>
            <w:pPr>
              <w:pStyle w:val="Normal"/>
              <w:tabs>
                <w:tab w:val="clear" w:pos="709"/>
              </w:tabs>
              <w:bidi w:val="0"/>
              <w:jc w:val="left"/>
              <w:rPr/>
            </w:pPr>
            <w:r>
              <w:rPr/>
              <w:t>Round 6</w:t>
            </w:r>
          </w:p>
        </w:tc>
        <w:tc>
          <w:tcPr>
            <w:tcW w:w="1281" w:type="dxa"/>
            <w:tcBorders/>
            <w:vAlign w:val="bottom"/>
          </w:tcPr>
          <w:p>
            <w:pPr>
              <w:pStyle w:val="Normal"/>
              <w:tabs>
                <w:tab w:val="clear" w:pos="709"/>
              </w:tabs>
              <w:bidi w:val="0"/>
              <w:jc w:val="right"/>
              <w:rPr/>
            </w:pPr>
            <w:r>
              <w:rPr/>
              <w:t>0.33203125</w:t>
            </w:r>
          </w:p>
        </w:tc>
        <w:tc>
          <w:tcPr>
            <w:tcW w:w="1280" w:type="dxa"/>
            <w:tcBorders/>
            <w:vAlign w:val="bottom"/>
          </w:tcPr>
          <w:p>
            <w:pPr>
              <w:pStyle w:val="Normal"/>
              <w:tabs>
                <w:tab w:val="clear" w:pos="709"/>
              </w:tabs>
              <w:bidi w:val="0"/>
              <w:jc w:val="right"/>
              <w:rPr/>
            </w:pPr>
            <w:r>
              <w:rPr/>
              <w:t>0.37890625</w:t>
            </w:r>
          </w:p>
        </w:tc>
        <w:tc>
          <w:tcPr>
            <w:tcW w:w="1279" w:type="dxa"/>
            <w:tcBorders/>
            <w:vAlign w:val="bottom"/>
          </w:tcPr>
          <w:p>
            <w:pPr>
              <w:pStyle w:val="Normal"/>
              <w:tabs>
                <w:tab w:val="clear" w:pos="709"/>
              </w:tabs>
              <w:bidi w:val="0"/>
              <w:jc w:val="right"/>
              <w:rPr/>
            </w:pPr>
            <w:r>
              <w:rPr/>
              <w:t>0.9765625</w:t>
            </w:r>
          </w:p>
        </w:tc>
        <w:tc>
          <w:tcPr>
            <w:tcW w:w="1281" w:type="dxa"/>
            <w:tcBorders/>
            <w:vAlign w:val="bottom"/>
          </w:tcPr>
          <w:p>
            <w:pPr>
              <w:pStyle w:val="Normal"/>
              <w:tabs>
                <w:tab w:val="clear" w:pos="709"/>
              </w:tabs>
              <w:bidi w:val="0"/>
              <w:jc w:val="right"/>
              <w:rPr/>
            </w:pPr>
            <w:r>
              <w:rPr/>
              <w:t>0.19140625</w:t>
            </w:r>
          </w:p>
        </w:tc>
      </w:tr>
      <w:tr>
        <w:trPr>
          <w:trHeight w:val="256" w:hRule="atLeast"/>
        </w:trPr>
        <w:tc>
          <w:tcPr>
            <w:tcW w:w="1309" w:type="dxa"/>
            <w:tcBorders/>
            <w:vAlign w:val="bottom"/>
          </w:tcPr>
          <w:p>
            <w:pPr>
              <w:pStyle w:val="Normal"/>
              <w:tabs>
                <w:tab w:val="clear" w:pos="709"/>
              </w:tabs>
              <w:bidi w:val="0"/>
              <w:jc w:val="left"/>
              <w:rPr/>
            </w:pPr>
            <w:r>
              <w:rPr/>
              <w:t>Round 7</w:t>
            </w:r>
          </w:p>
        </w:tc>
        <w:tc>
          <w:tcPr>
            <w:tcW w:w="1281" w:type="dxa"/>
            <w:tcBorders/>
            <w:vAlign w:val="bottom"/>
          </w:tcPr>
          <w:p>
            <w:pPr>
              <w:pStyle w:val="Normal"/>
              <w:tabs>
                <w:tab w:val="clear" w:pos="709"/>
              </w:tabs>
              <w:bidi w:val="0"/>
              <w:jc w:val="right"/>
              <w:rPr/>
            </w:pPr>
            <w:r>
              <w:rPr/>
              <w:t>0.33398438</w:t>
            </w:r>
          </w:p>
        </w:tc>
        <w:tc>
          <w:tcPr>
            <w:tcW w:w="1280" w:type="dxa"/>
            <w:tcBorders/>
            <w:vAlign w:val="bottom"/>
          </w:tcPr>
          <w:p>
            <w:pPr>
              <w:pStyle w:val="Normal"/>
              <w:tabs>
                <w:tab w:val="clear" w:pos="709"/>
              </w:tabs>
              <w:bidi w:val="0"/>
              <w:jc w:val="right"/>
              <w:rPr/>
            </w:pPr>
            <w:r>
              <w:rPr/>
              <w:t>0.38085938</w:t>
            </w:r>
          </w:p>
        </w:tc>
        <w:tc>
          <w:tcPr>
            <w:tcW w:w="1279" w:type="dxa"/>
            <w:tcBorders/>
            <w:vAlign w:val="bottom"/>
          </w:tcPr>
          <w:p>
            <w:pPr>
              <w:pStyle w:val="Normal"/>
              <w:tabs>
                <w:tab w:val="clear" w:pos="709"/>
              </w:tabs>
              <w:bidi w:val="0"/>
              <w:jc w:val="right"/>
              <w:rPr/>
            </w:pPr>
            <w:r>
              <w:rPr/>
              <w:t>0.95703125</w:t>
            </w:r>
          </w:p>
        </w:tc>
        <w:tc>
          <w:tcPr>
            <w:tcW w:w="1281" w:type="dxa"/>
            <w:tcBorders/>
            <w:vAlign w:val="bottom"/>
          </w:tcPr>
          <w:p>
            <w:pPr>
              <w:pStyle w:val="Normal"/>
              <w:tabs>
                <w:tab w:val="clear" w:pos="709"/>
              </w:tabs>
              <w:bidi w:val="0"/>
              <w:jc w:val="right"/>
              <w:rPr/>
            </w:pPr>
            <w:r>
              <w:rPr/>
              <w:t>0.18945313</w:t>
            </w:r>
          </w:p>
        </w:tc>
      </w:tr>
      <w:tr>
        <w:trPr>
          <w:trHeight w:val="256" w:hRule="atLeast"/>
        </w:trPr>
        <w:tc>
          <w:tcPr>
            <w:tcW w:w="1309" w:type="dxa"/>
            <w:tcBorders/>
            <w:vAlign w:val="bottom"/>
          </w:tcPr>
          <w:p>
            <w:pPr>
              <w:pStyle w:val="Normal"/>
              <w:tabs>
                <w:tab w:val="clear" w:pos="709"/>
              </w:tabs>
              <w:bidi w:val="0"/>
              <w:jc w:val="left"/>
              <w:rPr/>
            </w:pPr>
            <w:r>
              <w:rPr/>
              <w:t>Round 8</w:t>
            </w:r>
          </w:p>
        </w:tc>
        <w:tc>
          <w:tcPr>
            <w:tcW w:w="1281" w:type="dxa"/>
            <w:tcBorders/>
            <w:vAlign w:val="bottom"/>
          </w:tcPr>
          <w:p>
            <w:pPr>
              <w:pStyle w:val="Normal"/>
              <w:tabs>
                <w:tab w:val="clear" w:pos="709"/>
              </w:tabs>
              <w:bidi w:val="0"/>
              <w:jc w:val="right"/>
              <w:rPr/>
            </w:pPr>
            <w:r>
              <w:rPr/>
              <w:t>0.3330078</w:t>
            </w:r>
          </w:p>
        </w:tc>
        <w:tc>
          <w:tcPr>
            <w:tcW w:w="1280" w:type="dxa"/>
            <w:tcBorders/>
            <w:vAlign w:val="bottom"/>
          </w:tcPr>
          <w:p>
            <w:pPr>
              <w:pStyle w:val="Normal"/>
              <w:tabs>
                <w:tab w:val="clear" w:pos="709"/>
              </w:tabs>
              <w:bidi w:val="0"/>
              <w:jc w:val="right"/>
              <w:rPr/>
            </w:pPr>
            <w:r>
              <w:rPr/>
              <w:t>0.38183594</w:t>
            </w:r>
          </w:p>
        </w:tc>
        <w:tc>
          <w:tcPr>
            <w:tcW w:w="1279" w:type="dxa"/>
            <w:tcBorders/>
            <w:vAlign w:val="bottom"/>
          </w:tcPr>
          <w:p>
            <w:pPr>
              <w:pStyle w:val="Normal"/>
              <w:tabs>
                <w:tab w:val="clear" w:pos="709"/>
              </w:tabs>
              <w:bidi w:val="0"/>
              <w:jc w:val="right"/>
              <w:rPr/>
            </w:pPr>
            <w:r>
              <w:rPr/>
              <w:t>0.9472656</w:t>
            </w:r>
          </w:p>
        </w:tc>
        <w:tc>
          <w:tcPr>
            <w:tcW w:w="1281" w:type="dxa"/>
            <w:tcBorders/>
            <w:vAlign w:val="bottom"/>
          </w:tcPr>
          <w:p>
            <w:pPr>
              <w:pStyle w:val="Normal"/>
              <w:tabs>
                <w:tab w:val="clear" w:pos="709"/>
              </w:tabs>
              <w:bidi w:val="0"/>
              <w:jc w:val="right"/>
              <w:rPr/>
            </w:pPr>
            <w:r>
              <w:rPr/>
              <w:t>0.19042969</w:t>
            </w:r>
          </w:p>
        </w:tc>
      </w:tr>
      <w:tr>
        <w:trPr>
          <w:trHeight w:val="256" w:hRule="atLeast"/>
        </w:trPr>
        <w:tc>
          <w:tcPr>
            <w:tcW w:w="1309" w:type="dxa"/>
            <w:tcBorders/>
            <w:vAlign w:val="bottom"/>
          </w:tcPr>
          <w:p>
            <w:pPr>
              <w:pStyle w:val="Normal"/>
              <w:tabs>
                <w:tab w:val="clear" w:pos="709"/>
              </w:tabs>
              <w:bidi w:val="0"/>
              <w:jc w:val="left"/>
              <w:rPr/>
            </w:pPr>
            <w:r>
              <w:rPr/>
              <w:t>Round 9</w:t>
            </w:r>
          </w:p>
        </w:tc>
        <w:tc>
          <w:tcPr>
            <w:tcW w:w="1281" w:type="dxa"/>
            <w:tcBorders/>
            <w:vAlign w:val="bottom"/>
          </w:tcPr>
          <w:p>
            <w:pPr>
              <w:pStyle w:val="Normal"/>
              <w:tabs>
                <w:tab w:val="clear" w:pos="709"/>
              </w:tabs>
              <w:bidi w:val="0"/>
              <w:jc w:val="right"/>
              <w:rPr/>
            </w:pPr>
            <w:r>
              <w:rPr/>
              <w:t>0.3334961</w:t>
            </w:r>
          </w:p>
        </w:tc>
        <w:tc>
          <w:tcPr>
            <w:tcW w:w="1280" w:type="dxa"/>
            <w:tcBorders/>
            <w:vAlign w:val="bottom"/>
          </w:tcPr>
          <w:p>
            <w:pPr>
              <w:pStyle w:val="Normal"/>
              <w:tabs>
                <w:tab w:val="clear" w:pos="709"/>
              </w:tabs>
              <w:bidi w:val="0"/>
              <w:jc w:val="right"/>
              <w:rPr/>
            </w:pPr>
            <w:r>
              <w:rPr/>
              <w:t>0.3803711</w:t>
            </w:r>
          </w:p>
        </w:tc>
        <w:tc>
          <w:tcPr>
            <w:tcW w:w="1279" w:type="dxa"/>
            <w:tcBorders/>
            <w:vAlign w:val="bottom"/>
          </w:tcPr>
          <w:p>
            <w:pPr>
              <w:pStyle w:val="Normal"/>
              <w:tabs>
                <w:tab w:val="clear" w:pos="709"/>
              </w:tabs>
              <w:bidi w:val="0"/>
              <w:jc w:val="right"/>
              <w:rPr/>
            </w:pPr>
            <w:r>
              <w:rPr/>
              <w:t>0.95214844</w:t>
            </w:r>
          </w:p>
        </w:tc>
        <w:tc>
          <w:tcPr>
            <w:tcW w:w="1281" w:type="dxa"/>
            <w:tcBorders/>
            <w:vAlign w:val="bottom"/>
          </w:tcPr>
          <w:p>
            <w:pPr>
              <w:pStyle w:val="Normal"/>
              <w:tabs>
                <w:tab w:val="clear" w:pos="709"/>
              </w:tabs>
              <w:bidi w:val="0"/>
              <w:jc w:val="right"/>
              <w:rPr/>
            </w:pPr>
            <w:r>
              <w:rPr/>
              <w:t>0.19091797</w:t>
            </w:r>
          </w:p>
        </w:tc>
      </w:tr>
      <w:tr>
        <w:trPr>
          <w:trHeight w:val="256" w:hRule="atLeast"/>
        </w:trPr>
        <w:tc>
          <w:tcPr>
            <w:tcW w:w="1309" w:type="dxa"/>
            <w:tcBorders/>
            <w:vAlign w:val="bottom"/>
          </w:tcPr>
          <w:p>
            <w:pPr>
              <w:pStyle w:val="Normal"/>
              <w:tabs>
                <w:tab w:val="clear" w:pos="709"/>
              </w:tabs>
              <w:bidi w:val="0"/>
              <w:jc w:val="left"/>
              <w:rPr/>
            </w:pPr>
            <w:r>
              <w:rPr/>
              <w:t>Round 10</w:t>
            </w:r>
          </w:p>
        </w:tc>
        <w:tc>
          <w:tcPr>
            <w:tcW w:w="1281" w:type="dxa"/>
            <w:tcBorders/>
            <w:vAlign w:val="bottom"/>
          </w:tcPr>
          <w:p>
            <w:pPr>
              <w:pStyle w:val="Normal"/>
              <w:tabs>
                <w:tab w:val="clear" w:pos="709"/>
              </w:tabs>
              <w:bidi w:val="0"/>
              <w:jc w:val="right"/>
              <w:rPr/>
            </w:pPr>
            <w:r>
              <w:rPr/>
              <w:t>0.33325195</w:t>
            </w:r>
          </w:p>
        </w:tc>
        <w:tc>
          <w:tcPr>
            <w:tcW w:w="1280" w:type="dxa"/>
            <w:tcBorders/>
            <w:vAlign w:val="bottom"/>
          </w:tcPr>
          <w:p>
            <w:pPr>
              <w:pStyle w:val="Normal"/>
              <w:tabs>
                <w:tab w:val="clear" w:pos="709"/>
              </w:tabs>
              <w:bidi w:val="0"/>
              <w:jc w:val="right"/>
              <w:rPr/>
            </w:pPr>
            <w:r>
              <w:rPr/>
              <w:t>0.38110352</w:t>
            </w:r>
          </w:p>
        </w:tc>
        <w:tc>
          <w:tcPr>
            <w:tcW w:w="1279" w:type="dxa"/>
            <w:tcBorders/>
            <w:vAlign w:val="bottom"/>
          </w:tcPr>
          <w:p>
            <w:pPr>
              <w:pStyle w:val="Normal"/>
              <w:tabs>
                <w:tab w:val="clear" w:pos="709"/>
              </w:tabs>
              <w:bidi w:val="0"/>
              <w:jc w:val="right"/>
              <w:rPr/>
            </w:pPr>
            <w:r>
              <w:rPr/>
              <w:t>0.95458984</w:t>
            </w:r>
          </w:p>
        </w:tc>
        <w:tc>
          <w:tcPr>
            <w:tcW w:w="1281" w:type="dxa"/>
            <w:tcBorders/>
            <w:vAlign w:val="bottom"/>
          </w:tcPr>
          <w:p>
            <w:pPr>
              <w:pStyle w:val="Normal"/>
              <w:tabs>
                <w:tab w:val="clear" w:pos="709"/>
              </w:tabs>
              <w:bidi w:val="0"/>
              <w:jc w:val="right"/>
              <w:rPr/>
            </w:pPr>
            <w:r>
              <w:rPr/>
              <w:t>0.19018555</w:t>
            </w:r>
          </w:p>
        </w:tc>
      </w:tr>
      <w:tr>
        <w:trPr>
          <w:trHeight w:val="256" w:hRule="atLeast"/>
        </w:trPr>
        <w:tc>
          <w:tcPr>
            <w:tcW w:w="1309" w:type="dxa"/>
            <w:tcBorders/>
            <w:vAlign w:val="bottom"/>
          </w:tcPr>
          <w:p>
            <w:pPr>
              <w:pStyle w:val="Normal"/>
              <w:tabs>
                <w:tab w:val="clear" w:pos="709"/>
              </w:tabs>
              <w:bidi w:val="0"/>
              <w:jc w:val="left"/>
              <w:rPr/>
            </w:pPr>
            <w:r>
              <w:rPr/>
              <w:t>Round 11</w:t>
            </w:r>
          </w:p>
        </w:tc>
        <w:tc>
          <w:tcPr>
            <w:tcW w:w="1281" w:type="dxa"/>
            <w:tcBorders/>
            <w:vAlign w:val="bottom"/>
          </w:tcPr>
          <w:p>
            <w:pPr>
              <w:pStyle w:val="Normal"/>
              <w:tabs>
                <w:tab w:val="clear" w:pos="709"/>
              </w:tabs>
              <w:bidi w:val="0"/>
              <w:jc w:val="right"/>
              <w:rPr/>
            </w:pPr>
            <w:r>
              <w:rPr/>
              <w:t>0.33337402</w:t>
            </w:r>
          </w:p>
        </w:tc>
        <w:tc>
          <w:tcPr>
            <w:tcW w:w="1280" w:type="dxa"/>
            <w:tcBorders/>
            <w:vAlign w:val="bottom"/>
          </w:tcPr>
          <w:p>
            <w:pPr>
              <w:pStyle w:val="Normal"/>
              <w:tabs>
                <w:tab w:val="clear" w:pos="709"/>
              </w:tabs>
              <w:bidi w:val="0"/>
              <w:jc w:val="right"/>
              <w:rPr/>
            </w:pPr>
            <w:r>
              <w:rPr/>
              <w:t>0.38098145</w:t>
            </w:r>
          </w:p>
        </w:tc>
        <w:tc>
          <w:tcPr>
            <w:tcW w:w="1279" w:type="dxa"/>
            <w:tcBorders/>
            <w:vAlign w:val="bottom"/>
          </w:tcPr>
          <w:p>
            <w:pPr>
              <w:pStyle w:val="Normal"/>
              <w:tabs>
                <w:tab w:val="clear" w:pos="709"/>
              </w:tabs>
              <w:bidi w:val="0"/>
              <w:jc w:val="right"/>
              <w:rPr/>
            </w:pPr>
            <w:r>
              <w:rPr/>
              <w:t>0.9509277</w:t>
            </w:r>
          </w:p>
        </w:tc>
        <w:tc>
          <w:tcPr>
            <w:tcW w:w="1281" w:type="dxa"/>
            <w:tcBorders/>
            <w:vAlign w:val="bottom"/>
          </w:tcPr>
          <w:p>
            <w:pPr>
              <w:pStyle w:val="Normal"/>
              <w:tabs>
                <w:tab w:val="clear" w:pos="709"/>
              </w:tabs>
              <w:bidi w:val="0"/>
              <w:jc w:val="right"/>
              <w:rPr/>
            </w:pPr>
            <w:r>
              <w:rPr/>
              <w:t>0.19055176</w:t>
            </w:r>
          </w:p>
        </w:tc>
      </w:tr>
      <w:tr>
        <w:trPr>
          <w:trHeight w:val="256" w:hRule="atLeast"/>
        </w:trPr>
        <w:tc>
          <w:tcPr>
            <w:tcW w:w="1309" w:type="dxa"/>
            <w:tcBorders/>
            <w:vAlign w:val="bottom"/>
          </w:tcPr>
          <w:p>
            <w:pPr>
              <w:pStyle w:val="Normal"/>
              <w:tabs>
                <w:tab w:val="clear" w:pos="709"/>
              </w:tabs>
              <w:bidi w:val="0"/>
              <w:jc w:val="left"/>
              <w:rPr/>
            </w:pPr>
            <w:r>
              <w:rPr/>
              <w:t>Round 12</w:t>
            </w:r>
          </w:p>
        </w:tc>
        <w:tc>
          <w:tcPr>
            <w:tcW w:w="1281" w:type="dxa"/>
            <w:tcBorders/>
            <w:vAlign w:val="bottom"/>
          </w:tcPr>
          <w:p>
            <w:pPr>
              <w:pStyle w:val="Normal"/>
              <w:tabs>
                <w:tab w:val="clear" w:pos="709"/>
              </w:tabs>
              <w:bidi w:val="0"/>
              <w:jc w:val="right"/>
              <w:rPr/>
            </w:pPr>
            <w:r>
              <w:rPr/>
              <w:t>0.333313</w:t>
            </w:r>
          </w:p>
        </w:tc>
        <w:tc>
          <w:tcPr>
            <w:tcW w:w="1280" w:type="dxa"/>
            <w:tcBorders/>
            <w:vAlign w:val="bottom"/>
          </w:tcPr>
          <w:p>
            <w:pPr>
              <w:pStyle w:val="Normal"/>
              <w:tabs>
                <w:tab w:val="clear" w:pos="709"/>
              </w:tabs>
              <w:bidi w:val="0"/>
              <w:jc w:val="right"/>
              <w:rPr/>
            </w:pPr>
            <w:r>
              <w:rPr/>
              <w:t>0.3809204</w:t>
            </w:r>
          </w:p>
        </w:tc>
        <w:tc>
          <w:tcPr>
            <w:tcW w:w="1279" w:type="dxa"/>
            <w:tcBorders/>
            <w:vAlign w:val="bottom"/>
          </w:tcPr>
          <w:p>
            <w:pPr>
              <w:pStyle w:val="Normal"/>
              <w:tabs>
                <w:tab w:val="clear" w:pos="709"/>
              </w:tabs>
              <w:bidi w:val="0"/>
              <w:jc w:val="right"/>
              <w:rPr/>
            </w:pPr>
            <w:r>
              <w:rPr/>
              <w:t>0.9527588</w:t>
            </w:r>
          </w:p>
        </w:tc>
        <w:tc>
          <w:tcPr>
            <w:tcW w:w="1281" w:type="dxa"/>
            <w:tcBorders/>
            <w:vAlign w:val="bottom"/>
          </w:tcPr>
          <w:p>
            <w:pPr>
              <w:pStyle w:val="Normal"/>
              <w:tabs>
                <w:tab w:val="clear" w:pos="709"/>
              </w:tabs>
              <w:bidi w:val="0"/>
              <w:jc w:val="right"/>
              <w:rPr/>
            </w:pPr>
            <w:r>
              <w:rPr/>
              <w:t>0.19049072</w:t>
            </w:r>
          </w:p>
        </w:tc>
      </w:tr>
      <w:tr>
        <w:trPr>
          <w:trHeight w:val="256" w:hRule="atLeast"/>
        </w:trPr>
        <w:tc>
          <w:tcPr>
            <w:tcW w:w="1309" w:type="dxa"/>
            <w:tcBorders/>
            <w:vAlign w:val="bottom"/>
          </w:tcPr>
          <w:p>
            <w:pPr>
              <w:pStyle w:val="Normal"/>
              <w:tabs>
                <w:tab w:val="clear" w:pos="709"/>
              </w:tabs>
              <w:bidi w:val="0"/>
              <w:jc w:val="left"/>
              <w:rPr/>
            </w:pPr>
            <w:r>
              <w:rPr/>
              <w:t>Round 13</w:t>
            </w:r>
          </w:p>
        </w:tc>
        <w:tc>
          <w:tcPr>
            <w:tcW w:w="1281" w:type="dxa"/>
            <w:tcBorders/>
            <w:vAlign w:val="bottom"/>
          </w:tcPr>
          <w:p>
            <w:pPr>
              <w:pStyle w:val="Normal"/>
              <w:tabs>
                <w:tab w:val="clear" w:pos="709"/>
              </w:tabs>
              <w:bidi w:val="0"/>
              <w:jc w:val="right"/>
              <w:rPr/>
            </w:pPr>
            <w:r>
              <w:rPr/>
              <w:t>0.3333435</w:t>
            </w:r>
          </w:p>
        </w:tc>
        <w:tc>
          <w:tcPr>
            <w:tcW w:w="1280" w:type="dxa"/>
            <w:tcBorders/>
            <w:vAlign w:val="bottom"/>
          </w:tcPr>
          <w:p>
            <w:pPr>
              <w:pStyle w:val="Normal"/>
              <w:tabs>
                <w:tab w:val="clear" w:pos="709"/>
              </w:tabs>
              <w:bidi w:val="0"/>
              <w:jc w:val="right"/>
              <w:rPr/>
            </w:pPr>
            <w:r>
              <w:rPr/>
              <w:t>0.38095093</w:t>
            </w:r>
          </w:p>
        </w:tc>
        <w:tc>
          <w:tcPr>
            <w:tcW w:w="1279" w:type="dxa"/>
            <w:tcBorders/>
            <w:vAlign w:val="bottom"/>
          </w:tcPr>
          <w:p>
            <w:pPr>
              <w:pStyle w:val="Normal"/>
              <w:tabs>
                <w:tab w:val="clear" w:pos="709"/>
              </w:tabs>
              <w:bidi w:val="0"/>
              <w:jc w:val="right"/>
              <w:rPr/>
            </w:pPr>
            <w:r>
              <w:rPr/>
              <w:t>0.9524536</w:t>
            </w:r>
          </w:p>
        </w:tc>
        <w:tc>
          <w:tcPr>
            <w:tcW w:w="1281" w:type="dxa"/>
            <w:tcBorders/>
            <w:vAlign w:val="bottom"/>
          </w:tcPr>
          <w:p>
            <w:pPr>
              <w:pStyle w:val="Normal"/>
              <w:tabs>
                <w:tab w:val="clear" w:pos="709"/>
              </w:tabs>
              <w:bidi w:val="0"/>
              <w:jc w:val="right"/>
              <w:rPr/>
            </w:pPr>
            <w:r>
              <w:rPr/>
              <w:t>0.1904602</w:t>
            </w:r>
          </w:p>
        </w:tc>
      </w:tr>
      <w:tr>
        <w:trPr>
          <w:trHeight w:val="256" w:hRule="atLeast"/>
        </w:trPr>
        <w:tc>
          <w:tcPr>
            <w:tcW w:w="1309" w:type="dxa"/>
            <w:tcBorders/>
            <w:vAlign w:val="bottom"/>
          </w:tcPr>
          <w:p>
            <w:pPr>
              <w:pStyle w:val="Normal"/>
              <w:tabs>
                <w:tab w:val="clear" w:pos="709"/>
              </w:tabs>
              <w:bidi w:val="0"/>
              <w:jc w:val="left"/>
              <w:rPr/>
            </w:pPr>
            <w:r>
              <w:rPr/>
              <w:t>Round 14</w:t>
            </w:r>
          </w:p>
        </w:tc>
        <w:tc>
          <w:tcPr>
            <w:tcW w:w="1281" w:type="dxa"/>
            <w:tcBorders/>
            <w:vAlign w:val="bottom"/>
          </w:tcPr>
          <w:p>
            <w:pPr>
              <w:pStyle w:val="Normal"/>
              <w:tabs>
                <w:tab w:val="clear" w:pos="709"/>
              </w:tabs>
              <w:bidi w:val="0"/>
              <w:jc w:val="right"/>
              <w:rPr/>
            </w:pPr>
            <w:r>
              <w:rPr/>
              <w:t>0.33332825</w:t>
            </w:r>
          </w:p>
        </w:tc>
        <w:tc>
          <w:tcPr>
            <w:tcW w:w="1280" w:type="dxa"/>
            <w:tcBorders/>
            <w:vAlign w:val="bottom"/>
          </w:tcPr>
          <w:p>
            <w:pPr>
              <w:pStyle w:val="Normal"/>
              <w:tabs>
                <w:tab w:val="clear" w:pos="709"/>
              </w:tabs>
              <w:bidi w:val="0"/>
              <w:jc w:val="right"/>
              <w:rPr/>
            </w:pPr>
            <w:r>
              <w:rPr/>
              <w:t>0.3809662</w:t>
            </w:r>
          </w:p>
        </w:tc>
        <w:tc>
          <w:tcPr>
            <w:tcW w:w="1279" w:type="dxa"/>
            <w:tcBorders/>
            <w:vAlign w:val="bottom"/>
          </w:tcPr>
          <w:p>
            <w:pPr>
              <w:pStyle w:val="Normal"/>
              <w:tabs>
                <w:tab w:val="clear" w:pos="709"/>
              </w:tabs>
              <w:bidi w:val="0"/>
              <w:jc w:val="right"/>
              <w:rPr/>
            </w:pPr>
            <w:r>
              <w:rPr/>
              <w:t>0.952301</w:t>
            </w:r>
          </w:p>
        </w:tc>
        <w:tc>
          <w:tcPr>
            <w:tcW w:w="1281" w:type="dxa"/>
            <w:tcBorders/>
            <w:vAlign w:val="bottom"/>
          </w:tcPr>
          <w:p>
            <w:pPr>
              <w:pStyle w:val="Normal"/>
              <w:tabs>
                <w:tab w:val="clear" w:pos="709"/>
              </w:tabs>
              <w:bidi w:val="0"/>
              <w:jc w:val="right"/>
              <w:rPr/>
            </w:pPr>
            <w:r>
              <w:rPr/>
              <w:t>0.19047546</w:t>
            </w:r>
          </w:p>
        </w:tc>
      </w:tr>
      <w:tr>
        <w:trPr>
          <w:trHeight w:val="256" w:hRule="atLeast"/>
        </w:trPr>
        <w:tc>
          <w:tcPr>
            <w:tcW w:w="1309" w:type="dxa"/>
            <w:tcBorders/>
            <w:vAlign w:val="bottom"/>
          </w:tcPr>
          <w:p>
            <w:pPr>
              <w:pStyle w:val="Normal"/>
              <w:tabs>
                <w:tab w:val="clear" w:pos="709"/>
              </w:tabs>
              <w:bidi w:val="0"/>
              <w:jc w:val="left"/>
              <w:rPr/>
            </w:pPr>
            <w:r>
              <w:rPr/>
              <w:t>Round 15</w:t>
            </w:r>
          </w:p>
        </w:tc>
        <w:tc>
          <w:tcPr>
            <w:tcW w:w="1281" w:type="dxa"/>
            <w:tcBorders/>
            <w:vAlign w:val="bottom"/>
          </w:tcPr>
          <w:p>
            <w:pPr>
              <w:pStyle w:val="Normal"/>
              <w:tabs>
                <w:tab w:val="clear" w:pos="709"/>
              </w:tabs>
              <w:bidi w:val="0"/>
              <w:jc w:val="right"/>
              <w:rPr/>
            </w:pPr>
            <w:r>
              <w:rPr/>
              <w:t>0.33333588</w:t>
            </w:r>
          </w:p>
        </w:tc>
        <w:tc>
          <w:tcPr>
            <w:tcW w:w="1280" w:type="dxa"/>
            <w:tcBorders/>
            <w:vAlign w:val="bottom"/>
          </w:tcPr>
          <w:p>
            <w:pPr>
              <w:pStyle w:val="Normal"/>
              <w:tabs>
                <w:tab w:val="clear" w:pos="709"/>
              </w:tabs>
              <w:bidi w:val="0"/>
              <w:jc w:val="right"/>
              <w:rPr/>
            </w:pPr>
            <w:r>
              <w:rPr/>
              <w:t>0.3809433</w:t>
            </w:r>
          </w:p>
        </w:tc>
        <w:tc>
          <w:tcPr>
            <w:tcW w:w="1279" w:type="dxa"/>
            <w:tcBorders/>
            <w:vAlign w:val="bottom"/>
          </w:tcPr>
          <w:p>
            <w:pPr>
              <w:pStyle w:val="Normal"/>
              <w:tabs>
                <w:tab w:val="clear" w:pos="709"/>
              </w:tabs>
              <w:bidi w:val="0"/>
              <w:jc w:val="right"/>
              <w:rPr/>
            </w:pPr>
            <w:r>
              <w:rPr/>
              <w:t>0.9523773</w:t>
            </w:r>
          </w:p>
        </w:tc>
        <w:tc>
          <w:tcPr>
            <w:tcW w:w="1281" w:type="dxa"/>
            <w:tcBorders/>
            <w:vAlign w:val="bottom"/>
          </w:tcPr>
          <w:p>
            <w:pPr>
              <w:pStyle w:val="Normal"/>
              <w:tabs>
                <w:tab w:val="clear" w:pos="709"/>
              </w:tabs>
              <w:bidi w:val="0"/>
              <w:jc w:val="right"/>
              <w:rPr/>
            </w:pPr>
            <w:r>
              <w:rPr/>
              <w:t>0.1904831</w:t>
            </w:r>
          </w:p>
        </w:tc>
      </w:tr>
      <w:tr>
        <w:trPr>
          <w:trHeight w:val="256" w:hRule="atLeast"/>
        </w:trPr>
        <w:tc>
          <w:tcPr>
            <w:tcW w:w="1309" w:type="dxa"/>
            <w:tcBorders/>
            <w:vAlign w:val="bottom"/>
          </w:tcPr>
          <w:p>
            <w:pPr>
              <w:pStyle w:val="Normal"/>
              <w:tabs>
                <w:tab w:val="clear" w:pos="709"/>
              </w:tabs>
              <w:bidi w:val="0"/>
              <w:jc w:val="left"/>
              <w:rPr/>
            </w:pPr>
            <w:r>
              <w:rPr/>
              <w:t>Round 16</w:t>
            </w:r>
          </w:p>
        </w:tc>
        <w:tc>
          <w:tcPr>
            <w:tcW w:w="1281" w:type="dxa"/>
            <w:tcBorders/>
            <w:vAlign w:val="bottom"/>
          </w:tcPr>
          <w:p>
            <w:pPr>
              <w:pStyle w:val="Normal"/>
              <w:tabs>
                <w:tab w:val="clear" w:pos="709"/>
              </w:tabs>
              <w:bidi w:val="0"/>
              <w:jc w:val="right"/>
              <w:rPr/>
            </w:pPr>
            <w:r>
              <w:rPr/>
              <w:t>0.33333206</w:t>
            </w:r>
          </w:p>
        </w:tc>
        <w:tc>
          <w:tcPr>
            <w:tcW w:w="1280" w:type="dxa"/>
            <w:tcBorders/>
            <w:vAlign w:val="bottom"/>
          </w:tcPr>
          <w:p>
            <w:pPr>
              <w:pStyle w:val="Normal"/>
              <w:tabs>
                <w:tab w:val="clear" w:pos="709"/>
              </w:tabs>
              <w:bidi w:val="0"/>
              <w:jc w:val="right"/>
              <w:rPr/>
            </w:pPr>
            <w:r>
              <w:rPr/>
              <w:t>0.38095474</w:t>
            </w:r>
          </w:p>
        </w:tc>
        <w:tc>
          <w:tcPr>
            <w:tcW w:w="1279" w:type="dxa"/>
            <w:tcBorders/>
            <w:vAlign w:val="bottom"/>
          </w:tcPr>
          <w:p>
            <w:pPr>
              <w:pStyle w:val="Normal"/>
              <w:tabs>
                <w:tab w:val="clear" w:pos="709"/>
              </w:tabs>
              <w:bidi w:val="0"/>
              <w:jc w:val="right"/>
              <w:rPr/>
            </w:pPr>
            <w:r>
              <w:rPr/>
              <w:t>0.9524155</w:t>
            </w:r>
          </w:p>
        </w:tc>
        <w:tc>
          <w:tcPr>
            <w:tcW w:w="1281" w:type="dxa"/>
            <w:tcBorders/>
            <w:vAlign w:val="bottom"/>
          </w:tcPr>
          <w:p>
            <w:pPr>
              <w:pStyle w:val="Normal"/>
              <w:tabs>
                <w:tab w:val="clear" w:pos="709"/>
              </w:tabs>
              <w:bidi w:val="0"/>
              <w:jc w:val="right"/>
              <w:rPr/>
            </w:pPr>
            <w:r>
              <w:rPr/>
              <w:t>0.19047165</w:t>
            </w:r>
          </w:p>
        </w:tc>
      </w:tr>
      <w:tr>
        <w:trPr>
          <w:trHeight w:val="256" w:hRule="atLeast"/>
        </w:trPr>
        <w:tc>
          <w:tcPr>
            <w:tcW w:w="1309" w:type="dxa"/>
            <w:tcBorders/>
            <w:vAlign w:val="bottom"/>
          </w:tcPr>
          <w:p>
            <w:pPr>
              <w:pStyle w:val="Normal"/>
              <w:tabs>
                <w:tab w:val="clear" w:pos="709"/>
              </w:tabs>
              <w:bidi w:val="0"/>
              <w:jc w:val="left"/>
              <w:rPr/>
            </w:pPr>
            <w:r>
              <w:rPr/>
              <w:t>Round 17</w:t>
            </w:r>
          </w:p>
        </w:tc>
        <w:tc>
          <w:tcPr>
            <w:tcW w:w="1281" w:type="dxa"/>
            <w:tcBorders/>
            <w:vAlign w:val="bottom"/>
          </w:tcPr>
          <w:p>
            <w:pPr>
              <w:pStyle w:val="Normal"/>
              <w:tabs>
                <w:tab w:val="clear" w:pos="709"/>
              </w:tabs>
              <w:bidi w:val="0"/>
              <w:jc w:val="right"/>
              <w:rPr/>
            </w:pPr>
            <w:r>
              <w:rPr/>
              <w:t>0.33333397</w:t>
            </w:r>
          </w:p>
        </w:tc>
        <w:tc>
          <w:tcPr>
            <w:tcW w:w="1280" w:type="dxa"/>
            <w:tcBorders/>
            <w:vAlign w:val="bottom"/>
          </w:tcPr>
          <w:p>
            <w:pPr>
              <w:pStyle w:val="Normal"/>
              <w:tabs>
                <w:tab w:val="clear" w:pos="709"/>
              </w:tabs>
              <w:bidi w:val="0"/>
              <w:jc w:val="right"/>
              <w:rPr/>
            </w:pPr>
            <w:r>
              <w:rPr/>
              <w:t>0.38095284</w:t>
            </w:r>
          </w:p>
        </w:tc>
        <w:tc>
          <w:tcPr>
            <w:tcW w:w="1279" w:type="dxa"/>
            <w:tcBorders/>
            <w:vAlign w:val="bottom"/>
          </w:tcPr>
          <w:p>
            <w:pPr>
              <w:pStyle w:val="Normal"/>
              <w:tabs>
                <w:tab w:val="clear" w:pos="709"/>
              </w:tabs>
              <w:bidi w:val="0"/>
              <w:jc w:val="right"/>
              <w:rPr/>
            </w:pPr>
            <w:r>
              <w:rPr/>
              <w:t>0.95235825</w:t>
            </w:r>
          </w:p>
        </w:tc>
        <w:tc>
          <w:tcPr>
            <w:tcW w:w="1281" w:type="dxa"/>
            <w:tcBorders/>
            <w:vAlign w:val="bottom"/>
          </w:tcPr>
          <w:p>
            <w:pPr>
              <w:pStyle w:val="Normal"/>
              <w:tabs>
                <w:tab w:val="clear" w:pos="709"/>
              </w:tabs>
              <w:bidi w:val="0"/>
              <w:jc w:val="right"/>
              <w:rPr/>
            </w:pPr>
            <w:r>
              <w:rPr/>
              <w:t>0.19047737</w:t>
            </w:r>
          </w:p>
        </w:tc>
      </w:tr>
      <w:tr>
        <w:trPr>
          <w:trHeight w:val="256" w:hRule="atLeast"/>
        </w:trPr>
        <w:tc>
          <w:tcPr>
            <w:tcW w:w="1309" w:type="dxa"/>
            <w:tcBorders/>
            <w:vAlign w:val="bottom"/>
          </w:tcPr>
          <w:p>
            <w:pPr>
              <w:pStyle w:val="Normal"/>
              <w:tabs>
                <w:tab w:val="clear" w:pos="709"/>
              </w:tabs>
              <w:bidi w:val="0"/>
              <w:jc w:val="left"/>
              <w:rPr/>
            </w:pPr>
            <w:r>
              <w:rPr/>
              <w:t>Round 18</w:t>
            </w:r>
          </w:p>
        </w:tc>
        <w:tc>
          <w:tcPr>
            <w:tcW w:w="1281" w:type="dxa"/>
            <w:tcBorders/>
            <w:vAlign w:val="bottom"/>
          </w:tcPr>
          <w:p>
            <w:pPr>
              <w:pStyle w:val="Normal"/>
              <w:tabs>
                <w:tab w:val="clear" w:pos="709"/>
              </w:tabs>
              <w:bidi w:val="0"/>
              <w:jc w:val="right"/>
              <w:rPr/>
            </w:pPr>
            <w:r>
              <w:rPr/>
              <w:t>0.33333302</w:t>
            </w:r>
          </w:p>
        </w:tc>
        <w:tc>
          <w:tcPr>
            <w:tcW w:w="1280" w:type="dxa"/>
            <w:tcBorders/>
            <w:vAlign w:val="bottom"/>
          </w:tcPr>
          <w:p>
            <w:pPr>
              <w:pStyle w:val="Normal"/>
              <w:tabs>
                <w:tab w:val="clear" w:pos="709"/>
              </w:tabs>
              <w:bidi w:val="0"/>
              <w:jc w:val="right"/>
              <w:rPr/>
            </w:pPr>
            <w:r>
              <w:rPr/>
              <w:t>0.38095188</w:t>
            </w:r>
          </w:p>
        </w:tc>
        <w:tc>
          <w:tcPr>
            <w:tcW w:w="1279" w:type="dxa"/>
            <w:tcBorders/>
            <w:vAlign w:val="bottom"/>
          </w:tcPr>
          <w:p>
            <w:pPr>
              <w:pStyle w:val="Normal"/>
              <w:tabs>
                <w:tab w:val="clear" w:pos="709"/>
              </w:tabs>
              <w:bidi w:val="0"/>
              <w:jc w:val="right"/>
              <w:rPr/>
            </w:pPr>
            <w:r>
              <w:rPr/>
              <w:t>0.95238686</w:t>
            </w:r>
          </w:p>
        </w:tc>
        <w:tc>
          <w:tcPr>
            <w:tcW w:w="1281" w:type="dxa"/>
            <w:tcBorders/>
            <w:vAlign w:val="bottom"/>
          </w:tcPr>
          <w:p>
            <w:pPr>
              <w:pStyle w:val="Normal"/>
              <w:tabs>
                <w:tab w:val="clear" w:pos="709"/>
              </w:tabs>
              <w:bidi w:val="0"/>
              <w:jc w:val="right"/>
              <w:rPr/>
            </w:pPr>
            <w:r>
              <w:rPr/>
              <w:t>0.19047642</w:t>
            </w:r>
          </w:p>
        </w:tc>
      </w:tr>
      <w:tr>
        <w:trPr>
          <w:trHeight w:val="256" w:hRule="atLeast"/>
        </w:trPr>
        <w:tc>
          <w:tcPr>
            <w:tcW w:w="1309" w:type="dxa"/>
            <w:tcBorders/>
            <w:vAlign w:val="bottom"/>
          </w:tcPr>
          <w:p>
            <w:pPr>
              <w:pStyle w:val="Normal"/>
              <w:tabs>
                <w:tab w:val="clear" w:pos="709"/>
              </w:tabs>
              <w:bidi w:val="0"/>
              <w:jc w:val="left"/>
              <w:rPr/>
            </w:pPr>
            <w:r>
              <w:rPr/>
              <w:t>Round 19</w:t>
            </w:r>
          </w:p>
        </w:tc>
        <w:tc>
          <w:tcPr>
            <w:tcW w:w="1281" w:type="dxa"/>
            <w:tcBorders/>
            <w:vAlign w:val="bottom"/>
          </w:tcPr>
          <w:p>
            <w:pPr>
              <w:pStyle w:val="Normal"/>
              <w:tabs>
                <w:tab w:val="clear" w:pos="709"/>
              </w:tabs>
              <w:bidi w:val="0"/>
              <w:jc w:val="right"/>
              <w:rPr/>
            </w:pPr>
            <w:r>
              <w:rPr/>
              <w:t>0.3333335</w:t>
            </w:r>
          </w:p>
        </w:tc>
        <w:tc>
          <w:tcPr>
            <w:tcW w:w="1280" w:type="dxa"/>
            <w:tcBorders/>
            <w:vAlign w:val="bottom"/>
          </w:tcPr>
          <w:p>
            <w:pPr>
              <w:pStyle w:val="Normal"/>
              <w:tabs>
                <w:tab w:val="clear" w:pos="709"/>
              </w:tabs>
              <w:bidi w:val="0"/>
              <w:jc w:val="right"/>
              <w:rPr/>
            </w:pPr>
            <w:r>
              <w:rPr/>
              <w:t>0.38095236</w:t>
            </w:r>
          </w:p>
        </w:tc>
        <w:tc>
          <w:tcPr>
            <w:tcW w:w="1279" w:type="dxa"/>
            <w:tcBorders/>
            <w:vAlign w:val="bottom"/>
          </w:tcPr>
          <w:p>
            <w:pPr>
              <w:pStyle w:val="Normal"/>
              <w:tabs>
                <w:tab w:val="clear" w:pos="709"/>
              </w:tabs>
              <w:bidi w:val="0"/>
              <w:jc w:val="right"/>
              <w:rPr/>
            </w:pPr>
            <w:r>
              <w:rPr/>
              <w:t>0.9523821</w:t>
            </w:r>
          </w:p>
        </w:tc>
        <w:tc>
          <w:tcPr>
            <w:tcW w:w="1281" w:type="dxa"/>
            <w:tcBorders/>
            <w:vAlign w:val="bottom"/>
          </w:tcPr>
          <w:p>
            <w:pPr>
              <w:pStyle w:val="Normal"/>
              <w:tabs>
                <w:tab w:val="clear" w:pos="709"/>
              </w:tabs>
              <w:bidi w:val="0"/>
              <w:jc w:val="right"/>
              <w:rPr/>
            </w:pPr>
            <w:r>
              <w:rPr/>
              <w:t>0.19047594</w:t>
            </w:r>
          </w:p>
        </w:tc>
      </w:tr>
      <w:tr>
        <w:trPr>
          <w:trHeight w:val="256" w:hRule="atLeast"/>
        </w:trPr>
        <w:tc>
          <w:tcPr>
            <w:tcW w:w="1309" w:type="dxa"/>
            <w:tcBorders/>
            <w:vAlign w:val="bottom"/>
          </w:tcPr>
          <w:p>
            <w:pPr>
              <w:pStyle w:val="Normal"/>
              <w:tabs>
                <w:tab w:val="clear" w:pos="709"/>
              </w:tabs>
              <w:bidi w:val="0"/>
              <w:jc w:val="left"/>
              <w:rPr/>
            </w:pPr>
            <w:r>
              <w:rPr/>
              <w:t>Round 20</w:t>
            </w:r>
          </w:p>
        </w:tc>
        <w:tc>
          <w:tcPr>
            <w:tcW w:w="1281" w:type="dxa"/>
            <w:tcBorders/>
            <w:vAlign w:val="bottom"/>
          </w:tcPr>
          <w:p>
            <w:pPr>
              <w:pStyle w:val="Normal"/>
              <w:tabs>
                <w:tab w:val="clear" w:pos="709"/>
              </w:tabs>
              <w:bidi w:val="0"/>
              <w:jc w:val="right"/>
              <w:rPr/>
            </w:pPr>
            <w:r>
              <w:rPr/>
              <w:t>0.33333325</w:t>
            </w:r>
          </w:p>
        </w:tc>
        <w:tc>
          <w:tcPr>
            <w:tcW w:w="1280" w:type="dxa"/>
            <w:tcBorders/>
            <w:vAlign w:val="bottom"/>
          </w:tcPr>
          <w:p>
            <w:pPr>
              <w:pStyle w:val="Normal"/>
              <w:tabs>
                <w:tab w:val="clear" w:pos="709"/>
              </w:tabs>
              <w:bidi w:val="0"/>
              <w:jc w:val="right"/>
              <w:rPr/>
            </w:pPr>
            <w:r>
              <w:rPr/>
              <w:t>0.3809526</w:t>
            </w:r>
          </w:p>
        </w:tc>
        <w:tc>
          <w:tcPr>
            <w:tcW w:w="1279" w:type="dxa"/>
            <w:tcBorders/>
            <w:vAlign w:val="bottom"/>
          </w:tcPr>
          <w:p>
            <w:pPr>
              <w:pStyle w:val="Normal"/>
              <w:tabs>
                <w:tab w:val="clear" w:pos="709"/>
              </w:tabs>
              <w:bidi w:val="0"/>
              <w:jc w:val="right"/>
              <w:rPr/>
            </w:pPr>
            <w:r>
              <w:rPr/>
              <w:t>0.9523797</w:t>
            </w:r>
          </w:p>
        </w:tc>
        <w:tc>
          <w:tcPr>
            <w:tcW w:w="1281" w:type="dxa"/>
            <w:tcBorders/>
            <w:vAlign w:val="bottom"/>
          </w:tcPr>
          <w:p>
            <w:pPr>
              <w:pStyle w:val="Normal"/>
              <w:tabs>
                <w:tab w:val="clear" w:pos="709"/>
              </w:tabs>
              <w:bidi w:val="0"/>
              <w:jc w:val="right"/>
              <w:rPr/>
            </w:pPr>
            <w:r>
              <w:rPr/>
              <w:t>0.19047618</w:t>
            </w:r>
          </w:p>
        </w:tc>
      </w:tr>
      <w:tr>
        <w:trPr>
          <w:trHeight w:val="256" w:hRule="atLeast"/>
        </w:trPr>
        <w:tc>
          <w:tcPr>
            <w:tcW w:w="1309" w:type="dxa"/>
            <w:tcBorders/>
            <w:vAlign w:val="bottom"/>
          </w:tcPr>
          <w:p>
            <w:pPr>
              <w:pStyle w:val="Normal"/>
              <w:tabs>
                <w:tab w:val="clear" w:pos="709"/>
              </w:tabs>
              <w:bidi w:val="0"/>
              <w:jc w:val="left"/>
              <w:rPr/>
            </w:pPr>
            <w:r>
              <w:rPr/>
              <w:t>Round 21</w:t>
            </w:r>
          </w:p>
        </w:tc>
        <w:tc>
          <w:tcPr>
            <w:tcW w:w="1281" w:type="dxa"/>
            <w:tcBorders/>
            <w:vAlign w:val="bottom"/>
          </w:tcPr>
          <w:p>
            <w:pPr>
              <w:pStyle w:val="Normal"/>
              <w:tabs>
                <w:tab w:val="clear" w:pos="709"/>
              </w:tabs>
              <w:bidi w:val="0"/>
              <w:jc w:val="right"/>
              <w:rPr/>
            </w:pPr>
            <w:r>
              <w:rPr/>
              <w:t>0.33333337</w:t>
            </w:r>
          </w:p>
        </w:tc>
        <w:tc>
          <w:tcPr>
            <w:tcW w:w="1280" w:type="dxa"/>
            <w:tcBorders/>
            <w:vAlign w:val="bottom"/>
          </w:tcPr>
          <w:p>
            <w:pPr>
              <w:pStyle w:val="Normal"/>
              <w:tabs>
                <w:tab w:val="clear" w:pos="709"/>
              </w:tabs>
              <w:bidi w:val="0"/>
              <w:jc w:val="right"/>
              <w:rPr/>
            </w:pPr>
            <w:r>
              <w:rPr/>
              <w:t>0.38095224</w:t>
            </w:r>
          </w:p>
        </w:tc>
        <w:tc>
          <w:tcPr>
            <w:tcW w:w="1279" w:type="dxa"/>
            <w:tcBorders/>
            <w:vAlign w:val="bottom"/>
          </w:tcPr>
          <w:p>
            <w:pPr>
              <w:pStyle w:val="Normal"/>
              <w:tabs>
                <w:tab w:val="clear" w:pos="709"/>
              </w:tabs>
              <w:bidi w:val="0"/>
              <w:jc w:val="right"/>
              <w:rPr/>
            </w:pPr>
            <w:r>
              <w:rPr/>
              <w:t>0.9523809</w:t>
            </w:r>
          </w:p>
        </w:tc>
        <w:tc>
          <w:tcPr>
            <w:tcW w:w="1281" w:type="dxa"/>
            <w:tcBorders/>
            <w:vAlign w:val="bottom"/>
          </w:tcPr>
          <w:p>
            <w:pPr>
              <w:pStyle w:val="Normal"/>
              <w:tabs>
                <w:tab w:val="clear" w:pos="709"/>
              </w:tabs>
              <w:bidi w:val="0"/>
              <w:jc w:val="right"/>
              <w:rPr/>
            </w:pPr>
            <w:r>
              <w:rPr/>
              <w:t>0.1904763</w:t>
            </w:r>
          </w:p>
        </w:tc>
      </w:tr>
      <w:tr>
        <w:trPr>
          <w:trHeight w:val="318" w:hRule="atLeast"/>
        </w:trPr>
        <w:tc>
          <w:tcPr>
            <w:tcW w:w="1309" w:type="dxa"/>
            <w:tcBorders/>
            <w:vAlign w:val="bottom"/>
          </w:tcPr>
          <w:p>
            <w:pPr>
              <w:pStyle w:val="Normal"/>
              <w:tabs>
                <w:tab w:val="clear" w:pos="709"/>
              </w:tabs>
              <w:bidi w:val="0"/>
              <w:jc w:val="left"/>
              <w:rPr/>
            </w:pPr>
            <w:r>
              <w:rPr/>
              <w:t>Round 22</w:t>
            </w:r>
          </w:p>
        </w:tc>
        <w:tc>
          <w:tcPr>
            <w:tcW w:w="1281" w:type="dxa"/>
            <w:tcBorders/>
            <w:vAlign w:val="bottom"/>
          </w:tcPr>
          <w:p>
            <w:pPr>
              <w:pStyle w:val="Normal"/>
              <w:tabs>
                <w:tab w:val="clear" w:pos="709"/>
              </w:tabs>
              <w:bidi w:val="0"/>
              <w:jc w:val="right"/>
              <w:rPr/>
            </w:pPr>
            <w:r>
              <w:rPr/>
              <w:t>0.3333333</w:t>
            </w:r>
          </w:p>
        </w:tc>
        <w:tc>
          <w:tcPr>
            <w:tcW w:w="1280" w:type="dxa"/>
            <w:tcBorders/>
            <w:vAlign w:val="bottom"/>
          </w:tcPr>
          <w:p>
            <w:pPr>
              <w:pStyle w:val="Normal"/>
              <w:tabs>
                <w:tab w:val="clear" w:pos="709"/>
              </w:tabs>
              <w:bidi w:val="0"/>
              <w:jc w:val="right"/>
              <w:rPr/>
            </w:pPr>
            <w:r>
              <w:rPr/>
              <w:t>0.38095242</w:t>
            </w:r>
          </w:p>
        </w:tc>
        <w:tc>
          <w:tcPr>
            <w:tcW w:w="1279" w:type="dxa"/>
            <w:tcBorders/>
            <w:vAlign w:val="bottom"/>
          </w:tcPr>
          <w:p>
            <w:pPr>
              <w:pStyle w:val="Normal"/>
              <w:tabs>
                <w:tab w:val="clear" w:pos="709"/>
              </w:tabs>
              <w:bidi w:val="0"/>
              <w:jc w:val="right"/>
              <w:rPr/>
            </w:pPr>
            <w:r>
              <w:rPr/>
              <w:t>0.9523815</w:t>
            </w:r>
          </w:p>
        </w:tc>
        <w:tc>
          <w:tcPr>
            <w:tcW w:w="1281" w:type="dxa"/>
            <w:tcBorders/>
            <w:vAlign w:val="bottom"/>
          </w:tcPr>
          <w:p>
            <w:pPr>
              <w:pStyle w:val="Normal"/>
              <w:tabs>
                <w:tab w:val="clear" w:pos="709"/>
              </w:tabs>
              <w:bidi w:val="0"/>
              <w:jc w:val="right"/>
              <w:rPr/>
            </w:pPr>
            <w:r>
              <w:rPr/>
              <w:t>0.19047612</w:t>
            </w:r>
          </w:p>
        </w:tc>
      </w:tr>
    </w:tbl>
    <w:p>
      <w:pPr>
        <w:pStyle w:val="Normal"/>
        <w:bidi w:val="0"/>
        <w:jc w:val="left"/>
        <w:rPr>
          <w:rFonts w:ascii="Times" w:hAnsi="Times"/>
          <w:b w:val="false"/>
          <w:b w:val="false"/>
          <w:bCs w:val="false"/>
          <w:i/>
          <w:i/>
          <w:iCs/>
        </w:rPr>
      </w:pPr>
      <w:r>
        <w:rPr>
          <w:rFonts w:ascii="Times" w:hAnsi="Times"/>
          <w:b w:val="false"/>
          <w:bCs w:val="false"/>
          <w:i/>
          <w:iCs/>
        </w:rPr>
      </w:r>
    </w:p>
    <w:p>
      <w:pPr>
        <w:pStyle w:val="Normal"/>
        <w:bidi w:val="0"/>
        <w:spacing w:lineRule="auto" w:line="360"/>
        <w:jc w:val="left"/>
        <w:rPr>
          <w:rFonts w:ascii="Times" w:hAnsi="Times"/>
          <w:b/>
          <w:b/>
          <w:bCs/>
          <w:i/>
          <w:i/>
          <w:iCs/>
        </w:rPr>
      </w:pPr>
      <w:r/>
      <w:r>
        <w:rPr>
          <w:rFonts w:ascii="Times" w:hAnsi="Times"/>
          <w:b w:val="false"/>
          <w:bCs w:val="false"/>
          <w:i w:val="false"/>
          <w:iCs w:val="false"/>
        </w:rPr>
        <w:drawing>
          <wp:anchor behindDoc="0" distT="0" distB="0" distL="0" distR="0" simplePos="0" locked="0" layoutInCell="0" allowOverlap="1" relativeHeight="2">
            <wp:simplePos x="0" y="0"/>
            <wp:positionH relativeFrom="column">
              <wp:posOffset>127000</wp:posOffset>
            </wp:positionH>
            <wp:positionV relativeFrom="paragraph">
              <wp:posOffset>71755</wp:posOffset>
            </wp:positionV>
            <wp:extent cx="6448425" cy="3629660"/>
            <wp:effectExtent l="0" t="0" r="0" b="0"/>
            <wp:wrapSquare wrapText="largest"/>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anchor>
        </w:drawing>
        <w:t xml:space="preserve"> </w:t>
      </w:r>
      <w:r>
        <w:rPr>
          <w:rFonts w:ascii="Times" w:hAnsi="Times"/>
          <w:b w:val="false"/>
          <w:bCs w:val="false"/>
          <w:i w:val="false"/>
          <w:iCs w:val="false"/>
        </w:rPr>
        <w:t xml:space="preserve">Definite overkill given what you asked, but it was a fun little problem trying to figure out how to model the system. </w:t>
      </w:r>
    </w:p>
    <w:p>
      <w:pPr>
        <w:pStyle w:val="Normal"/>
        <w:bidi w:val="0"/>
        <w:spacing w:lineRule="auto" w:line="360"/>
        <w:jc w:val="left"/>
        <w:rPr>
          <w:b w:val="false"/>
          <w:b w:val="false"/>
          <w:bCs w:val="false"/>
          <w:i w:val="false"/>
          <w:i w:val="false"/>
          <w:iCs w:val="false"/>
        </w:rPr>
      </w:pPr>
      <w:r>
        <w:rPr>
          <w:rFonts w:ascii="Times" w:hAnsi="Times"/>
          <w:b/>
          <w:bCs/>
          <w:i/>
          <w:iCs/>
        </w:rPr>
      </w:r>
    </w:p>
    <w:p>
      <w:pPr>
        <w:pStyle w:val="Normal"/>
        <w:bidi w:val="0"/>
        <w:spacing w:lineRule="auto" w:line="360"/>
        <w:jc w:val="left"/>
        <w:rPr>
          <w:rFonts w:ascii="Times" w:hAnsi="Times"/>
          <w:b/>
          <w:b/>
          <w:bCs/>
          <w:i/>
          <w:i/>
          <w:iCs/>
        </w:rPr>
      </w:pPr>
      <w:r>
        <w:rPr>
          <w:rFonts w:ascii="Times" w:hAnsi="Times"/>
          <w:b w:val="false"/>
          <w:bCs w:val="false"/>
          <w:i w:val="false"/>
          <w:iCs w:val="false"/>
        </w:rPr>
        <w:t>For the second system, my hypothesis was that the addition of the new nodes F, G, and H would affect the final rank of the A node; however, I think that given the previous results, it ultimately must balance out at the same position. I don’t have any mathematical justification for this, but I think that because E and G are “incestuous” (in that they feed back to one another, and then feed to C), and further that F is removed in the first round, that it shouldn’t affect the system too much.</w:t>
      </w:r>
    </w:p>
    <w:p>
      <w:pPr>
        <w:pStyle w:val="Normal"/>
        <w:bidi w:val="0"/>
        <w:spacing w:lineRule="auto" w:line="360"/>
        <w:jc w:val="left"/>
        <w:rPr>
          <w:b w:val="false"/>
          <w:b w:val="false"/>
          <w:bCs w:val="false"/>
          <w:i w:val="false"/>
          <w:i w:val="false"/>
          <w:iCs w:val="false"/>
        </w:rPr>
      </w:pPr>
      <w:r>
        <w:rPr>
          <w:rFonts w:ascii="Times" w:hAnsi="Times"/>
          <w:b/>
          <w:bCs/>
          <w:i/>
          <w:iCs/>
        </w:rPr>
      </w:r>
    </w:p>
    <w:p>
      <w:pPr>
        <w:pStyle w:val="Normal"/>
        <w:bidi w:val="0"/>
        <w:spacing w:lineRule="auto" w:line="360"/>
        <w:jc w:val="left"/>
        <w:rPr>
          <w:rFonts w:ascii="Times" w:hAnsi="Times"/>
          <w:b/>
          <w:b/>
          <w:bCs/>
          <w:i/>
          <w:i/>
          <w:iCs/>
        </w:rPr>
      </w:pPr>
      <w:r>
        <w:rPr>
          <w:rFonts w:ascii="Times" w:hAnsi="Times"/>
          <w:b w:val="false"/>
          <w:bCs w:val="false"/>
          <w:i w:val="false"/>
          <w:iCs w:val="false"/>
        </w:rPr>
        <w:t>I made a pretty 3D graph to verify my hypothesis:</w:t>
      </w:r>
    </w:p>
    <w:p>
      <w:pPr>
        <w:pStyle w:val="Normal"/>
        <w:bidi w:val="0"/>
        <w:spacing w:lineRule="auto" w:line="360"/>
        <w:jc w:val="left"/>
        <w:rPr>
          <w:b w:val="false"/>
          <w:b w:val="false"/>
          <w:bCs w:val="false"/>
          <w:i w:val="false"/>
          <w:i w:val="false"/>
          <w:iCs w:val="false"/>
        </w:rPr>
      </w:pPr>
      <w:r>
        <w:rPr>
          <w:rFonts w:ascii="Times" w:hAnsi="Times"/>
          <w:b/>
          <w:bCs/>
          <w:i/>
          <w:iCs/>
        </w:rPr>
      </w:r>
    </w:p>
    <w:p>
      <w:pPr>
        <w:pStyle w:val="Normal"/>
        <w:bidi w:val="0"/>
        <w:spacing w:lineRule="auto" w:line="360"/>
        <w:jc w:val="left"/>
        <w:rPr>
          <w:b w:val="false"/>
          <w:b w:val="false"/>
          <w:bCs w:val="false"/>
          <w:i w:val="false"/>
          <w:i w:val="false"/>
          <w:iCs w:val="false"/>
        </w:rPr>
      </w:pPr>
      <w:r>
        <w:rPr>
          <w:rFonts w:ascii="Times" w:hAnsi="Times"/>
          <w:b/>
          <w:bCs/>
          <w:i/>
          <w:iCs/>
        </w:rPr>
      </w:r>
    </w:p>
    <w:p>
      <w:pPr>
        <w:pStyle w:val="Normal"/>
        <w:bidi w:val="0"/>
        <w:spacing w:lineRule="auto" w:line="360"/>
        <w:jc w:val="left"/>
        <w:rPr>
          <w:b w:val="false"/>
          <w:b w:val="false"/>
          <w:bCs w:val="false"/>
          <w:i w:val="false"/>
          <w:i w:val="false"/>
          <w:iCs w:val="false"/>
        </w:rPr>
      </w:pPr>
      <w:r>
        <w:rPr>
          <w:rFonts w:ascii="Times" w:hAnsi="Times"/>
          <w:b/>
          <w:bCs/>
          <w:i/>
          <w:iCs/>
        </w:rPr>
      </w:r>
    </w:p>
    <w:p>
      <w:pPr>
        <w:pStyle w:val="Normal"/>
        <w:bidi w:val="0"/>
        <w:spacing w:lineRule="auto" w:line="360"/>
        <w:jc w:val="left"/>
        <w:rPr>
          <w:b w:val="false"/>
          <w:b w:val="false"/>
          <w:bCs w:val="false"/>
          <w:i w:val="false"/>
          <w:i w:val="false"/>
          <w:iCs w:val="false"/>
        </w:rPr>
      </w:pPr>
      <w:r>
        <w:rPr>
          <w:rFonts w:ascii="Times" w:hAnsi="Times"/>
          <w:b/>
          <w:bCs/>
          <w:i/>
          <w:iCs/>
        </w:rPr>
      </w:r>
    </w:p>
    <w:p>
      <w:pPr>
        <w:pStyle w:val="Normal"/>
        <w:bidi w:val="0"/>
        <w:spacing w:lineRule="auto" w:line="360"/>
        <w:jc w:val="left"/>
        <w:rPr>
          <w:b w:val="false"/>
          <w:b w:val="false"/>
          <w:bCs w:val="false"/>
          <w:i w:val="false"/>
          <w:i w:val="false"/>
          <w:iCs w:val="false"/>
        </w:rPr>
      </w:pPr>
      <w:r>
        <w:rPr>
          <w:rFonts w:ascii="Times" w:hAnsi="Times"/>
          <w:b/>
          <w:bCs/>
          <w:i/>
          <w:iCs/>
        </w:rPr>
      </w:r>
    </w:p>
    <w:p>
      <w:pPr>
        <w:pStyle w:val="Normal"/>
        <w:bidi w:val="0"/>
        <w:spacing w:lineRule="auto" w:line="360"/>
        <w:jc w:val="left"/>
        <w:rPr>
          <w:b w:val="false"/>
          <w:b w:val="false"/>
          <w:bCs w:val="false"/>
          <w:i w:val="false"/>
          <w:i w:val="false"/>
          <w:iCs w:val="false"/>
        </w:rPr>
      </w:pPr>
      <w:r>
        <w:rPr>
          <w:rFonts w:ascii="Times" w:hAnsi="Times"/>
          <w:b/>
          <w:bCs/>
          <w:i/>
          <w:iCs/>
        </w:rPr>
        <w:drawing>
          <wp:anchor behindDoc="0" distT="0" distB="0" distL="0" distR="0" simplePos="0" locked="0" layoutInCell="0" allowOverlap="1" relativeHeight="3">
            <wp:simplePos x="0" y="0"/>
            <wp:positionH relativeFrom="column">
              <wp:posOffset>143510</wp:posOffset>
            </wp:positionH>
            <wp:positionV relativeFrom="paragraph">
              <wp:posOffset>63500</wp:posOffset>
            </wp:positionV>
            <wp:extent cx="5759450" cy="3239770"/>
            <wp:effectExtent l="0" t="0" r="0" b="0"/>
            <wp:wrapSquare wrapText="largest"/>
            <wp:docPr id="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r>
    </w:p>
    <w:p>
      <w:pPr>
        <w:pStyle w:val="Normal"/>
        <w:bidi w:val="0"/>
        <w:spacing w:lineRule="auto" w:line="360"/>
        <w:jc w:val="left"/>
        <w:rPr>
          <w:b w:val="false"/>
          <w:b w:val="false"/>
          <w:bCs w:val="false"/>
          <w:i w:val="false"/>
          <w:i w:val="false"/>
          <w:iCs w:val="false"/>
        </w:rPr>
      </w:pPr>
      <w:r>
        <w:rPr>
          <w:rFonts w:ascii="Times" w:hAnsi="Times"/>
          <w:b/>
          <w:bCs/>
          <w:i/>
          <w:iCs/>
        </w:rPr>
      </w:r>
    </w:p>
    <w:p>
      <w:pPr>
        <w:pStyle w:val="Normal"/>
        <w:bidi w:val="0"/>
        <w:spacing w:lineRule="auto" w:line="360"/>
        <w:jc w:val="left"/>
        <w:rPr>
          <w:b w:val="false"/>
          <w:b w:val="false"/>
          <w:bCs w:val="false"/>
          <w:i w:val="false"/>
          <w:i w:val="false"/>
          <w:iCs w:val="false"/>
        </w:rPr>
      </w:pPr>
      <w:r>
        <w:rPr>
          <w:rFonts w:ascii="Times" w:hAnsi="Times"/>
          <w:b/>
          <w:bCs/>
          <w:i/>
          <w:iCs/>
        </w:rPr>
      </w:r>
    </w:p>
    <w:p>
      <w:pPr>
        <w:pStyle w:val="Normal"/>
        <w:bidi w:val="0"/>
        <w:spacing w:lineRule="auto" w:line="360"/>
        <w:jc w:val="left"/>
        <w:rPr>
          <w:b w:val="false"/>
          <w:b w:val="false"/>
          <w:bCs w:val="false"/>
          <w:i w:val="false"/>
          <w:i w:val="false"/>
          <w:iCs w:val="false"/>
        </w:rPr>
      </w:pPr>
      <w:r>
        <w:rPr>
          <w:rFonts w:ascii="Times" w:hAnsi="Times"/>
          <w:b/>
          <w:bCs/>
          <w:i/>
          <w:iCs/>
        </w:rPr>
      </w:r>
    </w:p>
    <w:p>
      <w:pPr>
        <w:pStyle w:val="Normal"/>
        <w:bidi w:val="0"/>
        <w:spacing w:lineRule="auto" w:line="360"/>
        <w:jc w:val="left"/>
        <w:rPr>
          <w:b w:val="false"/>
          <w:b w:val="false"/>
          <w:bCs w:val="false"/>
          <w:i w:val="false"/>
          <w:i w:val="false"/>
          <w:iCs w:val="false"/>
        </w:rPr>
      </w:pPr>
      <w:r>
        <w:rPr>
          <w:rFonts w:ascii="Times" w:hAnsi="Times"/>
          <w:b/>
          <w:bCs/>
          <w:i/>
          <w:iCs/>
        </w:rPr>
      </w:r>
    </w:p>
    <w:p>
      <w:pPr>
        <w:pStyle w:val="Normal"/>
        <w:bidi w:val="0"/>
        <w:spacing w:lineRule="auto" w:line="360"/>
        <w:jc w:val="left"/>
        <w:rPr>
          <w:b w:val="false"/>
          <w:b w:val="false"/>
          <w:bCs w:val="false"/>
          <w:i w:val="false"/>
          <w:i w:val="false"/>
          <w:iCs w:val="false"/>
        </w:rPr>
      </w:pPr>
      <w:r>
        <w:rPr>
          <w:rFonts w:ascii="Times" w:hAnsi="Times"/>
          <w:b/>
          <w:bCs/>
          <w:i/>
          <w:iCs/>
        </w:rPr>
      </w:r>
    </w:p>
    <w:p>
      <w:pPr>
        <w:pStyle w:val="Normal"/>
        <w:bidi w:val="0"/>
        <w:spacing w:lineRule="auto" w:line="360"/>
        <w:jc w:val="left"/>
        <w:rPr>
          <w:b w:val="false"/>
          <w:b w:val="false"/>
          <w:bCs w:val="false"/>
          <w:i w:val="false"/>
          <w:i w:val="false"/>
          <w:iCs w:val="false"/>
        </w:rPr>
      </w:pPr>
      <w:r>
        <w:rPr>
          <w:rFonts w:ascii="Times" w:hAnsi="Times"/>
          <w:b/>
          <w:bCs/>
          <w:i/>
          <w:iCs/>
        </w:rPr>
      </w:r>
    </w:p>
    <w:p>
      <w:pPr>
        <w:pStyle w:val="Normal"/>
        <w:bidi w:val="0"/>
        <w:spacing w:lineRule="auto" w:line="360"/>
        <w:jc w:val="left"/>
        <w:rPr>
          <w:b w:val="false"/>
          <w:b w:val="false"/>
          <w:bCs w:val="false"/>
          <w:i w:val="false"/>
          <w:i w:val="false"/>
          <w:iCs w:val="false"/>
        </w:rPr>
      </w:pPr>
      <w:r>
        <w:rPr>
          <w:rFonts w:ascii="Times" w:hAnsi="Times"/>
          <w:b/>
          <w:bCs/>
          <w:i/>
          <w:iCs/>
        </w:rPr>
      </w:r>
    </w:p>
    <w:p>
      <w:pPr>
        <w:pStyle w:val="Normal"/>
        <w:bidi w:val="0"/>
        <w:spacing w:lineRule="auto" w:line="360"/>
        <w:jc w:val="left"/>
        <w:rPr>
          <w:b w:val="false"/>
          <w:b w:val="false"/>
          <w:bCs w:val="false"/>
          <w:i w:val="false"/>
          <w:i w:val="false"/>
          <w:iCs w:val="false"/>
        </w:rPr>
      </w:pPr>
      <w:r>
        <w:rPr>
          <w:rFonts w:ascii="Times" w:hAnsi="Times"/>
          <w:b/>
          <w:bCs/>
          <w:i/>
          <w:iCs/>
        </w:rPr>
      </w:r>
    </w:p>
    <w:p>
      <w:pPr>
        <w:pStyle w:val="Normal"/>
        <w:bidi w:val="0"/>
        <w:spacing w:lineRule="auto" w:line="360"/>
        <w:jc w:val="left"/>
        <w:rPr>
          <w:b w:val="false"/>
          <w:b w:val="false"/>
          <w:bCs w:val="false"/>
          <w:i w:val="false"/>
          <w:i w:val="false"/>
          <w:iCs w:val="false"/>
        </w:rPr>
      </w:pPr>
      <w:r>
        <w:rPr>
          <w:rFonts w:ascii="Times" w:hAnsi="Times"/>
          <w:b/>
          <w:bCs/>
          <w:i/>
          <w:iCs/>
        </w:rPr>
      </w:r>
    </w:p>
    <w:p>
      <w:pPr>
        <w:pStyle w:val="Normal"/>
        <w:bidi w:val="0"/>
        <w:spacing w:lineRule="auto" w:line="360"/>
        <w:jc w:val="left"/>
        <w:rPr>
          <w:rFonts w:ascii="Times" w:hAnsi="Times"/>
          <w:b/>
          <w:b/>
          <w:bCs/>
          <w:i/>
          <w:i/>
          <w:iCs/>
        </w:rPr>
      </w:pPr>
      <w:r>
        <w:rPr>
          <w:rFonts w:ascii="Times" w:hAnsi="Times"/>
          <w:b w:val="false"/>
          <w:bCs w:val="false"/>
          <w:i w:val="false"/>
          <w:iCs w:val="false"/>
        </w:rPr>
        <w:br/>
      </w:r>
    </w:p>
    <w:p>
      <w:pPr>
        <w:pStyle w:val="Normal"/>
        <w:bidi w:val="0"/>
        <w:spacing w:lineRule="auto" w:line="360"/>
        <w:jc w:val="left"/>
        <w:rPr>
          <w:rFonts w:ascii="Times" w:hAnsi="Times"/>
          <w:b/>
          <w:b/>
          <w:bCs/>
          <w:i/>
          <w:i/>
          <w:iCs/>
        </w:rPr>
      </w:pPr>
      <w:r>
        <w:rPr>
          <w:rFonts w:ascii="Times" w:hAnsi="Times"/>
          <w:b w:val="false"/>
          <w:bCs w:val="false"/>
          <w:i w:val="false"/>
          <w:iCs w:val="false"/>
        </w:rPr>
        <w:t xml:space="preserve">It seems I was dead wrong actually, in this case node B comes out on top. In fact, the results seem to be thrown on their heads – node C for example is now the last place compared to the old nodes. And similarly, the “incestuous” nodes of E, F, </w:t>
      </w:r>
      <w:r>
        <w:rPr>
          <w:rFonts w:ascii="Times" w:hAnsi="Times"/>
          <w:b w:val="false"/>
          <w:bCs w:val="false"/>
          <w:i w:val="false"/>
          <w:iCs w:val="false"/>
        </w:rPr>
        <w:t>and G</w:t>
      </w:r>
      <w:r>
        <w:rPr>
          <w:rFonts w:ascii="Times" w:hAnsi="Times"/>
          <w:b w:val="false"/>
          <w:bCs w:val="false"/>
          <w:i w:val="false"/>
          <w:iCs w:val="false"/>
        </w:rPr>
        <w:t xml:space="preserve"> almost immediately fall down to zero. G doesn’t even stand a chance! </w:t>
      </w:r>
      <w:hyperlink r:id="rId4">
        <w:r>
          <w:rPr>
            <w:rStyle w:val="InternetLink"/>
            <w:rFonts w:ascii="Times" w:hAnsi="Times"/>
            <w:b w:val="false"/>
            <w:bCs w:val="false"/>
            <w:i w:val="false"/>
            <w:iCs w:val="false"/>
          </w:rPr>
          <w:t xml:space="preserve">Here’s a link to the code as well :) </w:t>
        </w:r>
      </w:hyperlink>
    </w:p>
    <w:p>
      <w:pPr>
        <w:pStyle w:val="Normal"/>
        <w:bidi w:val="0"/>
        <w:spacing w:lineRule="auto" w:line="360"/>
        <w:jc w:val="left"/>
        <w:rPr>
          <w:b w:val="false"/>
          <w:b w:val="false"/>
          <w:bCs w:val="false"/>
          <w:i w:val="false"/>
          <w:i w:val="false"/>
          <w:iCs w:val="false"/>
        </w:rPr>
      </w:pPr>
      <w:r>
        <w:rPr>
          <w:rFonts w:ascii="Times" w:hAnsi="Times"/>
          <w:b/>
          <w:bCs/>
          <w:i/>
          <w:iCs/>
        </w:rPr>
      </w:r>
    </w:p>
    <w:p>
      <w:pPr>
        <w:pStyle w:val="Normal"/>
        <w:bidi w:val="0"/>
        <w:spacing w:lineRule="auto" w:line="360"/>
        <w:jc w:val="left"/>
        <w:rPr>
          <w:rFonts w:ascii="Times" w:hAnsi="Times"/>
          <w:b/>
          <w:b/>
          <w:bCs/>
          <w:i/>
          <w:i/>
          <w:iCs/>
        </w:rPr>
      </w:pPr>
      <w:r>
        <w:rPr>
          <w:rFonts w:ascii="Times" w:hAnsi="Times"/>
          <w:b/>
          <w:bCs/>
          <w:i w:val="false"/>
          <w:iCs w:val="false"/>
        </w:rPr>
        <w:t>Problem 3</w:t>
      </w:r>
    </w:p>
    <w:p>
      <w:pPr>
        <w:pStyle w:val="Normal"/>
        <w:bidi w:val="0"/>
        <w:spacing w:lineRule="auto" w:line="360"/>
        <w:jc w:val="left"/>
        <w:rPr>
          <w:rFonts w:ascii="Times" w:hAnsi="Times"/>
          <w:b w:val="false"/>
          <w:b w:val="false"/>
          <w:bCs w:val="false"/>
          <w:i/>
          <w:i/>
          <w:iCs/>
        </w:rPr>
      </w:pPr>
      <w:r>
        <w:rPr>
          <w:rFonts w:ascii="Times" w:hAnsi="Times"/>
          <w:b w:val="false"/>
          <w:bCs w:val="false"/>
          <w:i/>
          <w:iCs/>
        </w:rPr>
        <w:t xml:space="preserve">3.i. </w:t>
      </w:r>
      <w:r>
        <w:rPr>
          <w:rFonts w:ascii="Times" w:hAnsi="Times"/>
          <w:b w:val="false"/>
          <w:bCs w:val="false"/>
          <w:i w:val="false"/>
          <w:iCs w:val="false"/>
        </w:rPr>
        <w:t xml:space="preserve">I think that the conjunction between two search terms ought to limit the search results, as we’re saying that the search result </w:t>
      </w:r>
      <w:r>
        <w:rPr>
          <w:rFonts w:ascii="Times" w:hAnsi="Times"/>
          <w:b w:val="false"/>
          <w:bCs w:val="false"/>
          <w:i/>
          <w:iCs/>
        </w:rPr>
        <w:t>must</w:t>
      </w:r>
      <w:r>
        <w:rPr>
          <w:rFonts w:ascii="Times" w:hAnsi="Times"/>
          <w:b w:val="false"/>
          <w:bCs w:val="false"/>
          <w:i w:val="false"/>
          <w:iCs w:val="false"/>
        </w:rPr>
        <w:t xml:space="preserve"> contain both of these terms. So anything that might have one or the other is excluded. </w:t>
      </w:r>
      <w:r>
        <w:rPr>
          <w:rFonts w:ascii="Times" w:hAnsi="Times"/>
          <w:b w:val="false"/>
          <w:bCs w:val="false"/>
          <w:i w:val="false"/>
          <w:iCs w:val="false"/>
        </w:rPr>
        <w:t>We can think of this actually just by inspecting the truth table for conjunction, the sentence p &amp;&amp; q is true just in case both p is true and q is true. In all other cases it is false. So, 1/3 of all search results that contain either p or q are included. The rest are thrown out.</w:t>
      </w:r>
    </w:p>
    <w:p>
      <w:pPr>
        <w:pStyle w:val="Normal"/>
        <w:bidi w:val="0"/>
        <w:spacing w:lineRule="auto" w:line="360"/>
        <w:jc w:val="left"/>
        <w:rPr/>
      </w:pPr>
      <w:r>
        <w:rPr>
          <w:rFonts w:ascii="Times" w:hAnsi="Times"/>
          <w:b w:val="false"/>
          <w:bCs w:val="false"/>
          <w:i/>
          <w:iCs/>
        </w:rPr>
        <w:t>3.ii.</w:t>
      </w:r>
      <w:r>
        <w:rPr>
          <w:rFonts w:ascii="Times" w:hAnsi="Times"/>
          <w:b w:val="false"/>
          <w:bCs w:val="false"/>
          <w:i w:val="false"/>
          <w:iCs w:val="false"/>
        </w:rPr>
        <w:t xml:space="preserve"> I think that the disjunction between two terms does limit the search results to some extent, as it forces the result to contain either the first term or the second term, but it does not limit it to the same extent as conjunction. </w:t>
      </w:r>
      <w:r>
        <w:rPr>
          <w:rFonts w:ascii="Times" w:hAnsi="Times"/>
          <w:b w:val="false"/>
          <w:bCs w:val="false"/>
          <w:i w:val="false"/>
          <w:iCs w:val="false"/>
        </w:rPr>
        <w:t>We can think of this gain by looking at a semantic interpretation of the sentence p || q, which is true just in case either p is true, or q is true.</w:t>
      </w:r>
    </w:p>
    <w:p>
      <w:pPr>
        <w:pStyle w:val="Normal"/>
        <w:bidi w:val="0"/>
        <w:spacing w:lineRule="auto" w:line="360"/>
        <w:jc w:val="left"/>
        <w:rPr>
          <w:rFonts w:ascii="Times" w:hAnsi="Times"/>
          <w:b w:val="false"/>
          <w:b w:val="false"/>
          <w:bCs w:val="false"/>
          <w:i/>
          <w:i/>
          <w:iCs/>
        </w:rPr>
      </w:pPr>
      <w:r>
        <w:rPr>
          <w:rFonts w:ascii="Times" w:hAnsi="Times"/>
          <w:b w:val="false"/>
          <w:bCs w:val="false"/>
          <w:i/>
          <w:iCs/>
        </w:rPr>
        <w:t>3.iii.</w:t>
      </w:r>
      <w:r>
        <w:rPr>
          <w:rFonts w:ascii="Times" w:hAnsi="Times"/>
          <w:b w:val="false"/>
          <w:bCs w:val="false"/>
          <w:i w:val="false"/>
          <w:iCs w:val="false"/>
        </w:rPr>
        <w:t xml:space="preserve"> I think that negating a search term ought to produce really anything. The results it produces are just one step below looking at an index of everything that Google has logged (maybe if the negated terms are very general?). </w:t>
      </w:r>
      <w:r>
        <w:rPr>
          <w:rFonts w:ascii="Times" w:hAnsi="Times"/>
          <w:b w:val="false"/>
          <w:bCs w:val="false"/>
          <w:i w:val="false"/>
          <w:iCs w:val="false"/>
        </w:rPr>
        <w:t>Thinking of it regarding sets, suppose we have the set  A = {apple, apple, orange, orange, orange, lemonade, lemonade, caffeine}. If we were to search for  the difference of {caffeine} \ A, we would get {apple, apple, orange, orange, orange, orange, lemonade, lemonade}. If we think of these operations are the steps in applying a search, then we can say that {caffeine} \ A is the result of our search, and as we can see, the range of possible search terms is only decreased by a single term. But, we can also think about negating non-singleton sets, so for example, the difference {apple, orange, lemonade, caffeine} \ A produces the empty set {}. In this case we’ve completely excluded any possible search result.</w:t>
      </w:r>
    </w:p>
    <w:sectPr>
      <w:type w:val="nextPage"/>
      <w:pgSz w:w="12240" w:h="15840"/>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w:altName w:val="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hyperlink" Target="https://github.com/hanleyc01/LIN-313/blob/main/pagerank/src/main.rs"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869225479777458"/>
          <c:y val="0.0365636808179595"/>
          <c:w val="0.723073076201788"/>
          <c:h val="0.75994665481218"/>
        </c:manualLayout>
      </c:layout>
      <c:lineChart>
        <c:grouping val="standard"/>
        <c:varyColors val="0"/>
        <c:ser>
          <c:idx val="0"/>
          <c:order val="0"/>
          <c:tx>
            <c:strRef>
              <c:f>Table1.B1:B1</c:f>
              <c:strCache>
                <c:ptCount val="1"/>
                <c:pt idx="0">
                  <c:v>NODE A</c:v>
                </c:pt>
              </c:strCache>
            </c:strRef>
          </c:tx>
          <c:spPr>
            <a:solidFill>
              <a:srgbClr val="004586"/>
            </a:solidFill>
            <a:ln w="28800">
              <a:solidFill>
                <a:srgbClr val="004586"/>
              </a:solidFill>
              <a:round/>
            </a:ln>
          </c:spPr>
          <c:marker>
            <c:symbol val="none"/>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Table1.A2:A23</c:f>
              <c:strCache>
                <c:ptCount val="22"/>
                <c:pt idx="0">
                  <c:v>Round 1</c:v>
                </c:pt>
                <c:pt idx="1">
                  <c:v>Round 2</c:v>
                </c:pt>
                <c:pt idx="2">
                  <c:v>Round 3</c:v>
                </c:pt>
                <c:pt idx="3">
                  <c:v>Round 4</c:v>
                </c:pt>
                <c:pt idx="4">
                  <c:v>Round 5</c:v>
                </c:pt>
                <c:pt idx="5">
                  <c:v>Round 6</c:v>
                </c:pt>
                <c:pt idx="6">
                  <c:v>Round 7</c:v>
                </c:pt>
                <c:pt idx="7">
                  <c:v>Round 8</c:v>
                </c:pt>
                <c:pt idx="8">
                  <c:v>Round 9</c:v>
                </c:pt>
                <c:pt idx="9">
                  <c:v>Round 10</c:v>
                </c:pt>
                <c:pt idx="10">
                  <c:v>Round 11</c:v>
                </c:pt>
                <c:pt idx="11">
                  <c:v>Round 12</c:v>
                </c:pt>
                <c:pt idx="12">
                  <c:v>Round 13</c:v>
                </c:pt>
                <c:pt idx="13">
                  <c:v>Round 14</c:v>
                </c:pt>
                <c:pt idx="14">
                  <c:v>Round 15</c:v>
                </c:pt>
                <c:pt idx="15">
                  <c:v>Round 16</c:v>
                </c:pt>
                <c:pt idx="16">
                  <c:v>Round 17</c:v>
                </c:pt>
                <c:pt idx="17">
                  <c:v>Round 18</c:v>
                </c:pt>
                <c:pt idx="18">
                  <c:v>Round 19</c:v>
                </c:pt>
                <c:pt idx="19">
                  <c:v>Round 20</c:v>
                </c:pt>
                <c:pt idx="20">
                  <c:v>Round 21</c:v>
                </c:pt>
                <c:pt idx="21">
                  <c:v>Round 22</c:v>
                </c:pt>
              </c:strCache>
            </c:strRef>
          </c:cat>
          <c:val>
            <c:numRef>
              <c:f>Table1.B2:B23</c:f>
              <c:numCache>
                <c:formatCode>General</c:formatCode>
                <c:ptCount val="22"/>
                <c:pt idx="0">
                  <c:v>0.375</c:v>
                </c:pt>
                <c:pt idx="1">
                  <c:v>0.3125</c:v>
                </c:pt>
                <c:pt idx="2">
                  <c:v>0.34375</c:v>
                </c:pt>
                <c:pt idx="3">
                  <c:v>0.328125</c:v>
                </c:pt>
                <c:pt idx="4">
                  <c:v>0.3359375</c:v>
                </c:pt>
                <c:pt idx="5">
                  <c:v>0.33203125</c:v>
                </c:pt>
                <c:pt idx="6">
                  <c:v>0.33398438</c:v>
                </c:pt>
                <c:pt idx="7">
                  <c:v>0.3330078</c:v>
                </c:pt>
                <c:pt idx="8">
                  <c:v>0.3334961</c:v>
                </c:pt>
                <c:pt idx="9">
                  <c:v>0.33325195</c:v>
                </c:pt>
                <c:pt idx="10">
                  <c:v>0.33337402</c:v>
                </c:pt>
                <c:pt idx="11">
                  <c:v>0.333313</c:v>
                </c:pt>
                <c:pt idx="12">
                  <c:v>0.3333435</c:v>
                </c:pt>
                <c:pt idx="13">
                  <c:v>0.33332825</c:v>
                </c:pt>
                <c:pt idx="14">
                  <c:v>0.33333588</c:v>
                </c:pt>
                <c:pt idx="15">
                  <c:v>0.33333206</c:v>
                </c:pt>
                <c:pt idx="16">
                  <c:v>0.33333397</c:v>
                </c:pt>
                <c:pt idx="17">
                  <c:v>0.33333302</c:v>
                </c:pt>
                <c:pt idx="18">
                  <c:v>0.3333335</c:v>
                </c:pt>
                <c:pt idx="19">
                  <c:v>0.33333325</c:v>
                </c:pt>
                <c:pt idx="20">
                  <c:v>0.33333337</c:v>
                </c:pt>
                <c:pt idx="21">
                  <c:v>0.3333333</c:v>
                </c:pt>
              </c:numCache>
            </c:numRef>
          </c:val>
          <c:smooth val="0"/>
        </c:ser>
        <c:ser>
          <c:idx val="1"/>
          <c:order val="1"/>
          <c:tx>
            <c:strRef>
              <c:f>Table1.C1:C1</c:f>
              <c:strCache>
                <c:ptCount val="1"/>
                <c:pt idx="0">
                  <c:v>NODE B</c:v>
                </c:pt>
              </c:strCache>
            </c:strRef>
          </c:tx>
          <c:spPr>
            <a:solidFill>
              <a:srgbClr val="ff420e"/>
            </a:solidFill>
            <a:ln w="28800">
              <a:solidFill>
                <a:srgbClr val="ff420e"/>
              </a:solidFill>
              <a:round/>
            </a:ln>
          </c:spPr>
          <c:marker>
            <c:symbol val="none"/>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Table1.A2:A23</c:f>
              <c:strCache>
                <c:ptCount val="22"/>
                <c:pt idx="0">
                  <c:v>Round 1</c:v>
                </c:pt>
                <c:pt idx="1">
                  <c:v>Round 2</c:v>
                </c:pt>
                <c:pt idx="2">
                  <c:v>Round 3</c:v>
                </c:pt>
                <c:pt idx="3">
                  <c:v>Round 4</c:v>
                </c:pt>
                <c:pt idx="4">
                  <c:v>Round 5</c:v>
                </c:pt>
                <c:pt idx="5">
                  <c:v>Round 6</c:v>
                </c:pt>
                <c:pt idx="6">
                  <c:v>Round 7</c:v>
                </c:pt>
                <c:pt idx="7">
                  <c:v>Round 8</c:v>
                </c:pt>
                <c:pt idx="8">
                  <c:v>Round 9</c:v>
                </c:pt>
                <c:pt idx="9">
                  <c:v>Round 10</c:v>
                </c:pt>
                <c:pt idx="10">
                  <c:v>Round 11</c:v>
                </c:pt>
                <c:pt idx="11">
                  <c:v>Round 12</c:v>
                </c:pt>
                <c:pt idx="12">
                  <c:v>Round 13</c:v>
                </c:pt>
                <c:pt idx="13">
                  <c:v>Round 14</c:v>
                </c:pt>
                <c:pt idx="14">
                  <c:v>Round 15</c:v>
                </c:pt>
                <c:pt idx="15">
                  <c:v>Round 16</c:v>
                </c:pt>
                <c:pt idx="16">
                  <c:v>Round 17</c:v>
                </c:pt>
                <c:pt idx="17">
                  <c:v>Round 18</c:v>
                </c:pt>
                <c:pt idx="18">
                  <c:v>Round 19</c:v>
                </c:pt>
                <c:pt idx="19">
                  <c:v>Round 20</c:v>
                </c:pt>
                <c:pt idx="20">
                  <c:v>Round 21</c:v>
                </c:pt>
                <c:pt idx="21">
                  <c:v>Round 22</c:v>
                </c:pt>
              </c:strCache>
            </c:strRef>
          </c:cat>
          <c:val>
            <c:numRef>
              <c:f>Table1.C2:C23</c:f>
              <c:numCache>
                <c:formatCode>General</c:formatCode>
                <c:ptCount val="22"/>
                <c:pt idx="0">
                  <c:v>0.375</c:v>
                </c:pt>
                <c:pt idx="1">
                  <c:v>0.4375</c:v>
                </c:pt>
                <c:pt idx="2">
                  <c:v>0.34375</c:v>
                </c:pt>
                <c:pt idx="3">
                  <c:v>0.390625</c:v>
                </c:pt>
                <c:pt idx="4">
                  <c:v>0.3828125</c:v>
                </c:pt>
                <c:pt idx="5">
                  <c:v>0.37890625</c:v>
                </c:pt>
                <c:pt idx="6">
                  <c:v>0.38085938</c:v>
                </c:pt>
                <c:pt idx="7">
                  <c:v>0.38183594</c:v>
                </c:pt>
                <c:pt idx="8">
                  <c:v>0.3803711</c:v>
                </c:pt>
                <c:pt idx="9">
                  <c:v>0.38110352</c:v>
                </c:pt>
                <c:pt idx="10">
                  <c:v>0.38098145</c:v>
                </c:pt>
                <c:pt idx="11">
                  <c:v>0.3809204</c:v>
                </c:pt>
                <c:pt idx="12">
                  <c:v>0.38095093</c:v>
                </c:pt>
                <c:pt idx="13">
                  <c:v>0.3809662</c:v>
                </c:pt>
                <c:pt idx="14">
                  <c:v>0.3809433</c:v>
                </c:pt>
                <c:pt idx="15">
                  <c:v>0.38095474</c:v>
                </c:pt>
                <c:pt idx="16">
                  <c:v>0.38095284</c:v>
                </c:pt>
                <c:pt idx="17">
                  <c:v>0.38095188</c:v>
                </c:pt>
                <c:pt idx="18">
                  <c:v>0.38095236</c:v>
                </c:pt>
                <c:pt idx="19">
                  <c:v>0.3809526</c:v>
                </c:pt>
                <c:pt idx="20">
                  <c:v>0.38095224</c:v>
                </c:pt>
                <c:pt idx="21">
                  <c:v>0.38095242</c:v>
                </c:pt>
              </c:numCache>
            </c:numRef>
          </c:val>
          <c:smooth val="0"/>
        </c:ser>
        <c:ser>
          <c:idx val="2"/>
          <c:order val="2"/>
          <c:tx>
            <c:strRef>
              <c:f>Table1.D1:D1</c:f>
              <c:strCache>
                <c:ptCount val="1"/>
                <c:pt idx="0">
                  <c:v>NODE C</c:v>
                </c:pt>
              </c:strCache>
            </c:strRef>
          </c:tx>
          <c:spPr>
            <a:solidFill>
              <a:srgbClr val="ffd320"/>
            </a:solidFill>
            <a:ln w="28800">
              <a:solidFill>
                <a:srgbClr val="ffd320"/>
              </a:solidFill>
              <a:round/>
            </a:ln>
          </c:spPr>
          <c:marker>
            <c:symbol val="none"/>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Table1.A2:A23</c:f>
              <c:strCache>
                <c:ptCount val="22"/>
                <c:pt idx="0">
                  <c:v>Round 1</c:v>
                </c:pt>
                <c:pt idx="1">
                  <c:v>Round 2</c:v>
                </c:pt>
                <c:pt idx="2">
                  <c:v>Round 3</c:v>
                </c:pt>
                <c:pt idx="3">
                  <c:v>Round 4</c:v>
                </c:pt>
                <c:pt idx="4">
                  <c:v>Round 5</c:v>
                </c:pt>
                <c:pt idx="5">
                  <c:v>Round 6</c:v>
                </c:pt>
                <c:pt idx="6">
                  <c:v>Round 7</c:v>
                </c:pt>
                <c:pt idx="7">
                  <c:v>Round 8</c:v>
                </c:pt>
                <c:pt idx="8">
                  <c:v>Round 9</c:v>
                </c:pt>
                <c:pt idx="9">
                  <c:v>Round 10</c:v>
                </c:pt>
                <c:pt idx="10">
                  <c:v>Round 11</c:v>
                </c:pt>
                <c:pt idx="11">
                  <c:v>Round 12</c:v>
                </c:pt>
                <c:pt idx="12">
                  <c:v>Round 13</c:v>
                </c:pt>
                <c:pt idx="13">
                  <c:v>Round 14</c:v>
                </c:pt>
                <c:pt idx="14">
                  <c:v>Round 15</c:v>
                </c:pt>
                <c:pt idx="15">
                  <c:v>Round 16</c:v>
                </c:pt>
                <c:pt idx="16">
                  <c:v>Round 17</c:v>
                </c:pt>
                <c:pt idx="17">
                  <c:v>Round 18</c:v>
                </c:pt>
                <c:pt idx="18">
                  <c:v>Round 19</c:v>
                </c:pt>
                <c:pt idx="19">
                  <c:v>Round 20</c:v>
                </c:pt>
                <c:pt idx="20">
                  <c:v>Round 21</c:v>
                </c:pt>
                <c:pt idx="21">
                  <c:v>Round 22</c:v>
                </c:pt>
              </c:strCache>
            </c:strRef>
          </c:cat>
          <c:val>
            <c:numRef>
              <c:f>Table1.D2:D23</c:f>
              <c:numCache>
                <c:formatCode>General</c:formatCode>
                <c:ptCount val="22"/>
                <c:pt idx="0">
                  <c:v>0.125</c:v>
                </c:pt>
                <c:pt idx="1">
                  <c:v>0.625</c:v>
                </c:pt>
                <c:pt idx="2">
                  <c:v>0.9375</c:v>
                </c:pt>
                <c:pt idx="3">
                  <c:v>0.109375</c:v>
                </c:pt>
                <c:pt idx="4">
                  <c:v>0.859375</c:v>
                </c:pt>
                <c:pt idx="5">
                  <c:v>0.9765625</c:v>
                </c:pt>
                <c:pt idx="6">
                  <c:v>0.95703125</c:v>
                </c:pt>
                <c:pt idx="7">
                  <c:v>0.9472656</c:v>
                </c:pt>
                <c:pt idx="8">
                  <c:v>0.95214844</c:v>
                </c:pt>
                <c:pt idx="9">
                  <c:v>0.95458984</c:v>
                </c:pt>
                <c:pt idx="10">
                  <c:v>0.9509277</c:v>
                </c:pt>
                <c:pt idx="11">
                  <c:v>0.9527588</c:v>
                </c:pt>
                <c:pt idx="12">
                  <c:v>0.9524536</c:v>
                </c:pt>
                <c:pt idx="13">
                  <c:v>0.952301</c:v>
                </c:pt>
                <c:pt idx="14">
                  <c:v>0.9523773</c:v>
                </c:pt>
                <c:pt idx="15">
                  <c:v>0.9524155</c:v>
                </c:pt>
                <c:pt idx="16">
                  <c:v>0.95235825</c:v>
                </c:pt>
                <c:pt idx="17">
                  <c:v>0.95238686</c:v>
                </c:pt>
                <c:pt idx="18">
                  <c:v>0.9523821</c:v>
                </c:pt>
                <c:pt idx="19">
                  <c:v>0.9523797</c:v>
                </c:pt>
                <c:pt idx="20">
                  <c:v>0.9523809</c:v>
                </c:pt>
                <c:pt idx="21">
                  <c:v>0.9523815</c:v>
                </c:pt>
              </c:numCache>
            </c:numRef>
          </c:val>
          <c:smooth val="0"/>
        </c:ser>
        <c:ser>
          <c:idx val="3"/>
          <c:order val="3"/>
          <c:tx>
            <c:strRef>
              <c:f>Table1.E1:E1</c:f>
              <c:strCache>
                <c:ptCount val="1"/>
                <c:pt idx="0">
                  <c:v>NODE D</c:v>
                </c:pt>
              </c:strCache>
            </c:strRef>
          </c:tx>
          <c:spPr>
            <a:solidFill>
              <a:srgbClr val="579d1c"/>
            </a:solidFill>
            <a:ln w="28800">
              <a:solidFill>
                <a:srgbClr val="579d1c"/>
              </a:solidFill>
              <a:round/>
            </a:ln>
          </c:spPr>
          <c:marker>
            <c:symbol val="none"/>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Table1.A2:A23</c:f>
              <c:strCache>
                <c:ptCount val="22"/>
                <c:pt idx="0">
                  <c:v>Round 1</c:v>
                </c:pt>
                <c:pt idx="1">
                  <c:v>Round 2</c:v>
                </c:pt>
                <c:pt idx="2">
                  <c:v>Round 3</c:v>
                </c:pt>
                <c:pt idx="3">
                  <c:v>Round 4</c:v>
                </c:pt>
                <c:pt idx="4">
                  <c:v>Round 5</c:v>
                </c:pt>
                <c:pt idx="5">
                  <c:v>Round 6</c:v>
                </c:pt>
                <c:pt idx="6">
                  <c:v>Round 7</c:v>
                </c:pt>
                <c:pt idx="7">
                  <c:v>Round 8</c:v>
                </c:pt>
                <c:pt idx="8">
                  <c:v>Round 9</c:v>
                </c:pt>
                <c:pt idx="9">
                  <c:v>Round 10</c:v>
                </c:pt>
                <c:pt idx="10">
                  <c:v>Round 11</c:v>
                </c:pt>
                <c:pt idx="11">
                  <c:v>Round 12</c:v>
                </c:pt>
                <c:pt idx="12">
                  <c:v>Round 13</c:v>
                </c:pt>
                <c:pt idx="13">
                  <c:v>Round 14</c:v>
                </c:pt>
                <c:pt idx="14">
                  <c:v>Round 15</c:v>
                </c:pt>
                <c:pt idx="15">
                  <c:v>Round 16</c:v>
                </c:pt>
                <c:pt idx="16">
                  <c:v>Round 17</c:v>
                </c:pt>
                <c:pt idx="17">
                  <c:v>Round 18</c:v>
                </c:pt>
                <c:pt idx="18">
                  <c:v>Round 19</c:v>
                </c:pt>
                <c:pt idx="19">
                  <c:v>Round 20</c:v>
                </c:pt>
                <c:pt idx="20">
                  <c:v>Round 21</c:v>
                </c:pt>
                <c:pt idx="21">
                  <c:v>Round 22</c:v>
                </c:pt>
              </c:strCache>
            </c:strRef>
          </c:cat>
          <c:val>
            <c:numRef>
              <c:f>Table1.E2:E23</c:f>
              <c:numCache>
                <c:formatCode>General</c:formatCode>
                <c:ptCount val="22"/>
                <c:pt idx="0">
                  <c:v>0.125</c:v>
                </c:pt>
                <c:pt idx="1">
                  <c:v>0.1875</c:v>
                </c:pt>
                <c:pt idx="2">
                  <c:v>0.21875</c:v>
                </c:pt>
                <c:pt idx="3">
                  <c:v>0.171875</c:v>
                </c:pt>
                <c:pt idx="4">
                  <c:v>0.1953125</c:v>
                </c:pt>
                <c:pt idx="5">
                  <c:v>0.19140625</c:v>
                </c:pt>
                <c:pt idx="6">
                  <c:v>0.18945313</c:v>
                </c:pt>
                <c:pt idx="7">
                  <c:v>0.19042969</c:v>
                </c:pt>
                <c:pt idx="8">
                  <c:v>0.19091797</c:v>
                </c:pt>
                <c:pt idx="9">
                  <c:v>0.19018555</c:v>
                </c:pt>
                <c:pt idx="10">
                  <c:v>0.19055176</c:v>
                </c:pt>
                <c:pt idx="11">
                  <c:v>0.19049072</c:v>
                </c:pt>
                <c:pt idx="12">
                  <c:v>0.1904602</c:v>
                </c:pt>
                <c:pt idx="13">
                  <c:v>0.19047546</c:v>
                </c:pt>
                <c:pt idx="14">
                  <c:v>0.1904831</c:v>
                </c:pt>
                <c:pt idx="15">
                  <c:v>0.19047165</c:v>
                </c:pt>
                <c:pt idx="16">
                  <c:v>0.19047737</c:v>
                </c:pt>
                <c:pt idx="17">
                  <c:v>0.19047642</c:v>
                </c:pt>
                <c:pt idx="18">
                  <c:v>0.19047594</c:v>
                </c:pt>
                <c:pt idx="19">
                  <c:v>0.19047618</c:v>
                </c:pt>
                <c:pt idx="20">
                  <c:v>0.1904763</c:v>
                </c:pt>
                <c:pt idx="21">
                  <c:v>0.19047612</c:v>
                </c:pt>
              </c:numCache>
            </c:numRef>
          </c:val>
          <c:smooth val="0"/>
        </c:ser>
        <c:hiLowLines>
          <c:spPr>
            <a:ln w="0">
              <a:noFill/>
            </a:ln>
          </c:spPr>
        </c:hiLowLines>
        <c:marker val="0"/>
        <c:axId val="34532452"/>
        <c:axId val="55564362"/>
      </c:lineChart>
      <c:catAx>
        <c:axId val="34532452"/>
        <c:scaling>
          <c:orientation val="minMax"/>
        </c:scaling>
        <c:delete val="0"/>
        <c:axPos val="b"/>
        <c:numFmt formatCode="General" sourceLinked="1"/>
        <c:majorTickMark val="out"/>
        <c:minorTickMark val="none"/>
        <c:tickLblPos val="nextTo"/>
        <c:spPr>
          <a:ln w="0">
            <a:solidFill>
              <a:srgbClr val="b3b3b3"/>
            </a:solidFill>
          </a:ln>
        </c:spPr>
        <c:txPr>
          <a:bodyPr/>
          <a:lstStyle/>
          <a:p>
            <a:pPr>
              <a:defRPr b="0" sz="1000" spc="-1" strike="noStrike">
                <a:latin typeface="Arial"/>
              </a:defRPr>
            </a:pPr>
          </a:p>
        </c:txPr>
        <c:crossAx val="55564362"/>
        <c:crosses val="autoZero"/>
        <c:auto val="1"/>
        <c:lblAlgn val="ctr"/>
        <c:lblOffset val="100"/>
        <c:noMultiLvlLbl val="0"/>
      </c:catAx>
      <c:valAx>
        <c:axId val="55564362"/>
        <c:scaling>
          <c:orientation val="minMax"/>
        </c:scaling>
        <c:delete val="0"/>
        <c:axPos val="l"/>
        <c:majorGridlines>
          <c:spPr>
            <a:ln w="0">
              <a:solidFill>
                <a:srgbClr val="b3b3b3"/>
              </a:solidFill>
            </a:ln>
          </c:spPr>
        </c:majorGridlines>
        <c:numFmt formatCode="General" sourceLinked="1"/>
        <c:majorTickMark val="out"/>
        <c:minorTickMark val="none"/>
        <c:tickLblPos val="nextTo"/>
        <c:spPr>
          <a:ln w="0">
            <a:solidFill>
              <a:srgbClr val="b3b3b3"/>
            </a:solidFill>
          </a:ln>
        </c:spPr>
        <c:txPr>
          <a:bodyPr/>
          <a:lstStyle/>
          <a:p>
            <a:pPr>
              <a:defRPr b="0" sz="1000" spc="-1" strike="noStrike">
                <a:latin typeface="Arial"/>
              </a:defRPr>
            </a:pPr>
          </a:p>
        </c:txPr>
        <c:crossAx val="34532452"/>
        <c:crosses val="autoZero"/>
        <c:crossBetween val="midCat"/>
      </c:valAx>
      <c:spPr>
        <a:noFill/>
        <a:ln w="0">
          <a:solidFill>
            <a:srgbClr val="b3b3b3"/>
          </a:solidFill>
        </a:ln>
      </c:spPr>
    </c:plotArea>
    <c:legend>
      <c:legendPos val="r"/>
      <c:overlay val="0"/>
      <c:spPr>
        <a:noFill/>
        <a:ln w="0">
          <a:noFill/>
        </a:ln>
      </c:spPr>
      <c:txPr>
        <a:bodyPr/>
        <a:lstStyle/>
        <a:p>
          <a:pPr>
            <a:defRPr b="0" sz="1000" spc="-1" strike="noStrike">
              <a:latin typeface="Arial"/>
            </a:defRPr>
          </a:pPr>
        </a:p>
      </c:txPr>
    </c:legend>
    <c:plotVisOnly val="1"/>
    <c:dispBlanksAs val="gap"/>
  </c:chart>
  <c:spPr>
    <a:noFill/>
    <a:ln w="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autoTitleDeleted val="1"/>
    <c:view3D>
      <c:rotX val="11"/>
      <c:rotY val="25"/>
      <c:rAngAx val="1"/>
      <c:perspective val="40"/>
    </c:view3D>
    <c:floor>
      <c:spPr>
        <a:solidFill>
          <a:srgbClr val="cccccc"/>
        </a:solidFill>
        <a:ln w="0">
          <a:noFill/>
        </a:ln>
      </c:spPr>
    </c:floor>
    <c:sideWall>
      <c:spPr>
        <a:noFill/>
        <a:ln w="0">
          <a:solidFill>
            <a:srgbClr val="b3b3b3"/>
          </a:solidFill>
        </a:ln>
      </c:spPr>
    </c:sideWall>
    <c:backWall>
      <c:spPr>
        <a:noFill/>
        <a:ln w="0">
          <a:solidFill>
            <a:srgbClr val="b3b3b3"/>
          </a:solidFill>
        </a:ln>
      </c:spPr>
    </c:backWall>
    <c:plotArea>
      <c:line3DChart>
        <c:grouping val="standard"/>
        <c:varyColors val="0"/>
        <c:ser>
          <c:idx val="0"/>
          <c:order val="0"/>
          <c:tx>
            <c:strRef>
              <c:f>label 0</c:f>
              <c:strCache>
                <c:ptCount val="1"/>
                <c:pt idx="0">
                  <c:v>NODE A</c:v>
                </c:pt>
              </c:strCache>
            </c:strRef>
          </c:tx>
          <c:spPr>
            <a:solidFill>
              <a:srgbClr val="004586"/>
            </a:solidFill>
            <a:ln w="0">
              <a:noFill/>
            </a:ln>
          </c:spPr>
          <c:marker>
            <c:symbol val="none"/>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strCache>
            </c:strRef>
          </c:cat>
          <c:val>
            <c:numRef>
              <c:f>0</c:f>
              <c:numCache>
                <c:formatCode>General</c:formatCode>
                <c:ptCount val="35"/>
                <c:pt idx="0">
                  <c:v>0.375</c:v>
                </c:pt>
                <c:pt idx="1">
                  <c:v>0.375</c:v>
                </c:pt>
                <c:pt idx="2">
                  <c:v>0.46875</c:v>
                </c:pt>
                <c:pt idx="3">
                  <c:v>0.484375</c:v>
                </c:pt>
                <c:pt idx="4">
                  <c:v>0.5234375</c:v>
                </c:pt>
                <c:pt idx="5">
                  <c:v>0.53515625</c:v>
                </c:pt>
                <c:pt idx="6">
                  <c:v>0.5527344</c:v>
                </c:pt>
                <c:pt idx="7">
                  <c:v>0.5595703</c:v>
                </c:pt>
                <c:pt idx="8">
                  <c:v>0.5678711</c:v>
                </c:pt>
                <c:pt idx="9">
                  <c:v>0.5715332</c:v>
                </c:pt>
                <c:pt idx="10">
                  <c:v>0.5755615</c:v>
                </c:pt>
                <c:pt idx="11">
                  <c:v>0.5774536</c:v>
                </c:pt>
                <c:pt idx="12">
                  <c:v>0.57943726</c:v>
                </c:pt>
                <c:pt idx="13">
                  <c:v>0.58039856</c:v>
                </c:pt>
                <c:pt idx="14">
                  <c:v>0.58138275</c:v>
                </c:pt>
                <c:pt idx="15">
                  <c:v>0.5818672</c:v>
                </c:pt>
                <c:pt idx="16">
                  <c:v>0.5823574</c:v>
                </c:pt>
                <c:pt idx="17">
                  <c:v>0.5826006</c:v>
                </c:pt>
                <c:pt idx="18">
                  <c:v>0.5828452</c:v>
                </c:pt>
                <c:pt idx="19">
                  <c:v>0.58296704</c:v>
                </c:pt>
                <c:pt idx="20">
                  <c:v>0.58308923</c:v>
                </c:pt>
                <c:pt idx="21">
                  <c:v>0.5831502</c:v>
                </c:pt>
                <c:pt idx="22">
                  <c:v>0.5832113</c:v>
                </c:pt>
                <c:pt idx="23">
                  <c:v>0.58324176</c:v>
                </c:pt>
                <c:pt idx="24">
                  <c:v>0.58327234</c:v>
                </c:pt>
                <c:pt idx="25">
                  <c:v>0.5832876</c:v>
                </c:pt>
                <c:pt idx="26">
                  <c:v>0.58330286</c:v>
                </c:pt>
                <c:pt idx="27">
                  <c:v>0.5833105</c:v>
                </c:pt>
                <c:pt idx="28">
                  <c:v>0.5833181</c:v>
                </c:pt>
                <c:pt idx="29">
                  <c:v>0.5833219</c:v>
                </c:pt>
                <c:pt idx="30">
                  <c:v>0.58332574</c:v>
                </c:pt>
                <c:pt idx="31">
                  <c:v>0.58332765</c:v>
                </c:pt>
                <c:pt idx="32">
                  <c:v>0.58332956</c:v>
                </c:pt>
                <c:pt idx="33">
                  <c:v>0.5833305</c:v>
                </c:pt>
                <c:pt idx="34">
                  <c:v>0.58333147</c:v>
                </c:pt>
              </c:numCache>
            </c:numRef>
          </c:val>
          <c:smooth val="0"/>
        </c:ser>
        <c:ser>
          <c:idx val="1"/>
          <c:order val="1"/>
          <c:tx>
            <c:strRef>
              <c:f>label 1</c:f>
              <c:strCache>
                <c:ptCount val="1"/>
                <c:pt idx="0">
                  <c:v>NODE B</c:v>
                </c:pt>
              </c:strCache>
            </c:strRef>
          </c:tx>
          <c:spPr>
            <a:solidFill>
              <a:srgbClr val="ff420e"/>
            </a:solidFill>
            <a:ln w="0">
              <a:noFill/>
            </a:ln>
          </c:spPr>
          <c:marker>
            <c:symbol val="none"/>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strCache>
            </c:strRef>
          </c:cat>
          <c:val>
            <c:numRef>
              <c:f>1</c:f>
              <c:numCache>
                <c:formatCode>General</c:formatCode>
                <c:ptCount val="35"/>
                <c:pt idx="0">
                  <c:v>0.375</c:v>
                </c:pt>
                <c:pt idx="1">
                  <c:v>0.5</c:v>
                </c:pt>
                <c:pt idx="2">
                  <c:v>0.5</c:v>
                </c:pt>
                <c:pt idx="3">
                  <c:v>0.578125</c:v>
                </c:pt>
                <c:pt idx="4">
                  <c:v>0.59375</c:v>
                </c:pt>
                <c:pt idx="5">
                  <c:v>0.6171875</c:v>
                </c:pt>
                <c:pt idx="6">
                  <c:v>0.6308594</c:v>
                </c:pt>
                <c:pt idx="7">
                  <c:v>0.6425781</c:v>
                </c:pt>
                <c:pt idx="8">
                  <c:v>0.6484375</c:v>
                </c:pt>
                <c:pt idx="9">
                  <c:v>0.654541</c:v>
                </c:pt>
                <c:pt idx="10">
                  <c:v>0.65771484</c:v>
                </c:pt>
                <c:pt idx="11">
                  <c:v>0.66052246</c:v>
                </c:pt>
                <c:pt idx="12">
                  <c:v>0.6622009</c:v>
                </c:pt>
                <c:pt idx="13">
                  <c:v>0.66360474</c:v>
                </c:pt>
                <c:pt idx="14">
                  <c:v>0.6644287</c:v>
                </c:pt>
                <c:pt idx="15">
                  <c:v>0.66513443</c:v>
                </c:pt>
                <c:pt idx="16">
                  <c:v>0.66555023</c:v>
                </c:pt>
                <c:pt idx="17">
                  <c:v>0.6658993</c:v>
                </c:pt>
                <c:pt idx="18">
                  <c:v>0.6661086</c:v>
                </c:pt>
                <c:pt idx="19">
                  <c:v>0.66628313</c:v>
                </c:pt>
                <c:pt idx="20">
                  <c:v>0.66638756</c:v>
                </c:pt>
                <c:pt idx="21">
                  <c:v>0.6664749</c:v>
                </c:pt>
                <c:pt idx="22">
                  <c:v>0.66652715</c:v>
                </c:pt>
                <c:pt idx="23">
                  <c:v>0.6665708</c:v>
                </c:pt>
                <c:pt idx="24">
                  <c:v>0.6665969</c:v>
                </c:pt>
                <c:pt idx="25">
                  <c:v>0.66661876</c:v>
                </c:pt>
                <c:pt idx="26">
                  <c:v>0.6666318</c:v>
                </c:pt>
                <c:pt idx="27">
                  <c:v>0.6666427</c:v>
                </c:pt>
                <c:pt idx="28">
                  <c:v>0.6666493</c:v>
                </c:pt>
                <c:pt idx="29">
                  <c:v>0.6666547</c:v>
                </c:pt>
                <c:pt idx="30">
                  <c:v>0.666658</c:v>
                </c:pt>
                <c:pt idx="31">
                  <c:v>0.6666607</c:v>
                </c:pt>
                <c:pt idx="32">
                  <c:v>0.66666234</c:v>
                </c:pt>
                <c:pt idx="33">
                  <c:v>0.6666637</c:v>
                </c:pt>
                <c:pt idx="34">
                  <c:v>0.66666454</c:v>
                </c:pt>
              </c:numCache>
            </c:numRef>
          </c:val>
          <c:smooth val="0"/>
        </c:ser>
        <c:ser>
          <c:idx val="2"/>
          <c:order val="2"/>
          <c:tx>
            <c:strRef>
              <c:f>label 2</c:f>
              <c:strCache>
                <c:ptCount val="1"/>
                <c:pt idx="0">
                  <c:v>NODE C</c:v>
                </c:pt>
              </c:strCache>
            </c:strRef>
          </c:tx>
          <c:spPr>
            <a:solidFill>
              <a:srgbClr val="ffd320"/>
            </a:solidFill>
            <a:ln w="0">
              <a:noFill/>
            </a:ln>
          </c:spPr>
          <c:marker>
            <c:symbol val="none"/>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strCache>
            </c:strRef>
          </c:cat>
          <c:val>
            <c:numRef>
              <c:f>2</c:f>
              <c:numCache>
                <c:formatCode>General</c:formatCode>
                <c:ptCount val="35"/>
                <c:pt idx="0">
                  <c:v>0.25</c:v>
                </c:pt>
                <c:pt idx="1">
                  <c:v>0.25</c:v>
                </c:pt>
                <c:pt idx="2">
                  <c:v>0.21875</c:v>
                </c:pt>
                <c:pt idx="3">
                  <c:v>0.21875</c:v>
                </c:pt>
                <c:pt idx="4">
                  <c:v>0.1875</c:v>
                </c:pt>
                <c:pt idx="5">
                  <c:v>0.19140625</c:v>
                </c:pt>
                <c:pt idx="6">
                  <c:v>0.1796875</c:v>
                </c:pt>
                <c:pt idx="7">
                  <c:v>0.17773438</c:v>
                </c:pt>
                <c:pt idx="8">
                  <c:v>0.17333984</c:v>
                </c:pt>
                <c:pt idx="9">
                  <c:v>0.17236328</c:v>
                </c:pt>
                <c:pt idx="10">
                  <c:v>0.16992188</c:v>
                </c:pt>
                <c:pt idx="11">
                  <c:v>0.16949463</c:v>
                </c:pt>
                <c:pt idx="12">
                  <c:v>0.16833496</c:v>
                </c:pt>
                <c:pt idx="13">
                  <c:v>0.1680603</c:v>
                </c:pt>
                <c:pt idx="14">
                  <c:v>0.16750336</c:v>
                </c:pt>
                <c:pt idx="15">
                  <c:v>0.16736603</c:v>
                </c:pt>
                <c:pt idx="16">
                  <c:v>0.16708374</c:v>
                </c:pt>
                <c:pt idx="17">
                  <c:v>0.16701603</c:v>
                </c:pt>
                <c:pt idx="18">
                  <c:v>0.16687584</c:v>
                </c:pt>
                <c:pt idx="19">
                  <c:v>0.16684103</c:v>
                </c:pt>
                <c:pt idx="20">
                  <c:v>0.1667713</c:v>
                </c:pt>
                <c:pt idx="21">
                  <c:v>0.16675389</c:v>
                </c:pt>
                <c:pt idx="22">
                  <c:v>0.16671896</c:v>
                </c:pt>
                <c:pt idx="23">
                  <c:v>0.16671027</c:v>
                </c:pt>
                <c:pt idx="24">
                  <c:v>0.16669282</c:v>
                </c:pt>
                <c:pt idx="25">
                  <c:v>0.16668847</c:v>
                </c:pt>
                <c:pt idx="26">
                  <c:v>0.16667974</c:v>
                </c:pt>
                <c:pt idx="27">
                  <c:v>0.16667758</c:v>
                </c:pt>
                <c:pt idx="28">
                  <c:v>0.16667321</c:v>
                </c:pt>
                <c:pt idx="29">
                  <c:v>0.16667213</c:v>
                </c:pt>
                <c:pt idx="30">
                  <c:v>0.16666995</c:v>
                </c:pt>
                <c:pt idx="31">
                  <c:v>0.1666694</c:v>
                </c:pt>
                <c:pt idx="32">
                  <c:v>0.16666831</c:v>
                </c:pt>
                <c:pt idx="33">
                  <c:v>0.16666804</c:v>
                </c:pt>
                <c:pt idx="34">
                  <c:v>0.16666749</c:v>
                </c:pt>
              </c:numCache>
            </c:numRef>
          </c:val>
          <c:smooth val="0"/>
        </c:ser>
        <c:ser>
          <c:idx val="3"/>
          <c:order val="3"/>
          <c:tx>
            <c:strRef>
              <c:f>label 3</c:f>
              <c:strCache>
                <c:ptCount val="1"/>
                <c:pt idx="0">
                  <c:v>NODE D</c:v>
                </c:pt>
              </c:strCache>
            </c:strRef>
          </c:tx>
          <c:spPr>
            <a:solidFill>
              <a:srgbClr val="579d1c"/>
            </a:solidFill>
            <a:ln w="0">
              <a:noFill/>
            </a:ln>
          </c:spPr>
          <c:marker>
            <c:symbol val="none"/>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strCache>
            </c:strRef>
          </c:cat>
          <c:val>
            <c:numRef>
              <c:f>3</c:f>
              <c:numCache>
                <c:formatCode>General</c:formatCode>
                <c:ptCount val="35"/>
                <c:pt idx="0">
                  <c:v>0.125</c:v>
                </c:pt>
                <c:pt idx="1">
                  <c:v>0.1875</c:v>
                </c:pt>
                <c:pt idx="2">
                  <c:v>0.25</c:v>
                </c:pt>
                <c:pt idx="3">
                  <c:v>0.25</c:v>
                </c:pt>
                <c:pt idx="4">
                  <c:v>0.2890625</c:v>
                </c:pt>
                <c:pt idx="5">
                  <c:v>0.296875</c:v>
                </c:pt>
                <c:pt idx="6">
                  <c:v>0.30859375</c:v>
                </c:pt>
                <c:pt idx="7">
                  <c:v>0.3154297</c:v>
                </c:pt>
                <c:pt idx="8">
                  <c:v>0.32128906</c:v>
                </c:pt>
                <c:pt idx="9">
                  <c:v>0.32421875</c:v>
                </c:pt>
                <c:pt idx="10">
                  <c:v>0.3272705</c:v>
                </c:pt>
                <c:pt idx="11">
                  <c:v>0.32885742</c:v>
                </c:pt>
                <c:pt idx="12">
                  <c:v>0.33026123</c:v>
                </c:pt>
                <c:pt idx="13">
                  <c:v>0.33110046</c:v>
                </c:pt>
                <c:pt idx="14">
                  <c:v>0.33180237</c:v>
                </c:pt>
                <c:pt idx="15">
                  <c:v>0.33221436</c:v>
                </c:pt>
                <c:pt idx="16">
                  <c:v>0.33256721</c:v>
                </c:pt>
                <c:pt idx="17">
                  <c:v>0.33277512</c:v>
                </c:pt>
                <c:pt idx="18">
                  <c:v>0.33294964</c:v>
                </c:pt>
                <c:pt idx="19">
                  <c:v>0.3330543</c:v>
                </c:pt>
                <c:pt idx="20">
                  <c:v>0.33314157</c:v>
                </c:pt>
                <c:pt idx="21">
                  <c:v>0.33319378</c:v>
                </c:pt>
                <c:pt idx="22">
                  <c:v>0.33323744</c:v>
                </c:pt>
                <c:pt idx="23">
                  <c:v>0.33326358</c:v>
                </c:pt>
                <c:pt idx="24">
                  <c:v>0.3332854</c:v>
                </c:pt>
                <c:pt idx="25">
                  <c:v>0.33329844</c:v>
                </c:pt>
                <c:pt idx="26">
                  <c:v>0.33330938</c:v>
                </c:pt>
                <c:pt idx="27">
                  <c:v>0.3333159</c:v>
                </c:pt>
                <c:pt idx="28">
                  <c:v>0.33332136</c:v>
                </c:pt>
                <c:pt idx="29">
                  <c:v>0.33332464</c:v>
                </c:pt>
                <c:pt idx="30">
                  <c:v>0.33332735</c:v>
                </c:pt>
                <c:pt idx="31">
                  <c:v>0.333329</c:v>
                </c:pt>
                <c:pt idx="32">
                  <c:v>0.33333036</c:v>
                </c:pt>
                <c:pt idx="33">
                  <c:v>0.33333117</c:v>
                </c:pt>
                <c:pt idx="34">
                  <c:v>0.33333185</c:v>
                </c:pt>
              </c:numCache>
            </c:numRef>
          </c:val>
          <c:smooth val="0"/>
        </c:ser>
        <c:ser>
          <c:idx val="4"/>
          <c:order val="4"/>
          <c:tx>
            <c:strRef>
              <c:f>label 4</c:f>
              <c:strCache>
                <c:ptCount val="1"/>
                <c:pt idx="0">
                  <c:v>NODE E</c:v>
                </c:pt>
              </c:strCache>
            </c:strRef>
          </c:tx>
          <c:spPr>
            <a:solidFill>
              <a:srgbClr val="7e0021"/>
            </a:solidFill>
            <a:ln w="0">
              <a:noFill/>
            </a:ln>
          </c:spPr>
          <c:marker>
            <c:symbol val="none"/>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strCache>
            </c:strRef>
          </c:cat>
          <c:val>
            <c:numRef>
              <c:f>4</c:f>
              <c:numCache>
                <c:formatCode>General</c:formatCode>
                <c:ptCount val="35"/>
                <c:pt idx="0">
                  <c:v>0.375</c:v>
                </c:pt>
                <c:pt idx="1">
                  <c:v>0.25</c:v>
                </c:pt>
                <c:pt idx="2">
                  <c:v>0.1875</c:v>
                </c:pt>
                <c:pt idx="3">
                  <c:v>0.125</c:v>
                </c:pt>
                <c:pt idx="4">
                  <c:v>0.09375</c:v>
                </c:pt>
                <c:pt idx="5">
                  <c:v>0.0625</c:v>
                </c:pt>
                <c:pt idx="6">
                  <c:v>0.046875</c:v>
                </c:pt>
                <c:pt idx="7">
                  <c:v>0.03125</c:v>
                </c:pt>
                <c:pt idx="8">
                  <c:v>0.0234375</c:v>
                </c:pt>
                <c:pt idx="9">
                  <c:v>0.015625</c:v>
                </c:pt>
                <c:pt idx="10">
                  <c:v>0.01171875</c:v>
                </c:pt>
                <c:pt idx="11">
                  <c:v>0.0078125</c:v>
                </c:pt>
                <c:pt idx="12">
                  <c:v>0.005859375</c:v>
                </c:pt>
                <c:pt idx="13">
                  <c:v>0.00390625</c:v>
                </c:pt>
                <c:pt idx="14">
                  <c:v>0.0029296875</c:v>
                </c:pt>
                <c:pt idx="15">
                  <c:v>0.001953125</c:v>
                </c:pt>
                <c:pt idx="16">
                  <c:v>0.0014648438</c:v>
                </c:pt>
                <c:pt idx="17">
                  <c:v>0.0009765625</c:v>
                </c:pt>
                <c:pt idx="18">
                  <c:v>0.0007324219</c:v>
                </c:pt>
                <c:pt idx="19">
                  <c:v>0.00048828125</c:v>
                </c:pt>
                <c:pt idx="20">
                  <c:v>0.00036621094</c:v>
                </c:pt>
                <c:pt idx="21">
                  <c:v>0.00024414063</c:v>
                </c:pt>
                <c:pt idx="22">
                  <c:v>0.00018310547</c:v>
                </c:pt>
                <c:pt idx="23">
                  <c:v>0.00012207031</c:v>
                </c:pt>
                <c:pt idx="24">
                  <c:v>9.1552734E-005</c:v>
                </c:pt>
                <c:pt idx="25">
                  <c:v>6.1035156E-005</c:v>
                </c:pt>
                <c:pt idx="26">
                  <c:v>4.5776367E-005</c:v>
                </c:pt>
                <c:pt idx="27">
                  <c:v>3.0517578E-005</c:v>
                </c:pt>
                <c:pt idx="28">
                  <c:v>2.2888184E-005</c:v>
                </c:pt>
                <c:pt idx="29">
                  <c:v>1.5258789E-005</c:v>
                </c:pt>
                <c:pt idx="30">
                  <c:v>1.1444092E-005</c:v>
                </c:pt>
                <c:pt idx="31">
                  <c:v>7.6293945E-006</c:v>
                </c:pt>
                <c:pt idx="32">
                  <c:v>5.722046E-006</c:v>
                </c:pt>
                <c:pt idx="33">
                  <c:v>3.8146973E-006</c:v>
                </c:pt>
                <c:pt idx="34">
                  <c:v>2.861023E-006</c:v>
                </c:pt>
              </c:numCache>
            </c:numRef>
          </c:val>
          <c:smooth val="0"/>
        </c:ser>
        <c:ser>
          <c:idx val="5"/>
          <c:order val="5"/>
          <c:tx>
            <c:strRef>
              <c:f>label 5</c:f>
              <c:strCache>
                <c:ptCount val="1"/>
                <c:pt idx="0">
                  <c:v>NODE F</c:v>
                </c:pt>
              </c:strCache>
            </c:strRef>
          </c:tx>
          <c:spPr>
            <a:solidFill>
              <a:srgbClr val="83caff"/>
            </a:solidFill>
            <a:ln w="0">
              <a:noFill/>
            </a:ln>
          </c:spPr>
          <c:marker>
            <c:symbol val="none"/>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strCache>
            </c:strRef>
          </c:cat>
          <c:val>
            <c:numRef>
              <c:f>5</c:f>
              <c:numCache>
                <c:formatCode>General</c:formatCode>
                <c:ptCount val="35"/>
                <c:pt idx="0">
                  <c:v>0.25</c:v>
                </c:pt>
                <c:pt idx="1">
                  <c:v>0.1875</c:v>
                </c:pt>
                <c:pt idx="2">
                  <c:v>0.125</c:v>
                </c:pt>
                <c:pt idx="3">
                  <c:v>0.09375</c:v>
                </c:pt>
                <c:pt idx="4">
                  <c:v>0.0625</c:v>
                </c:pt>
                <c:pt idx="5">
                  <c:v>0.046875</c:v>
                </c:pt>
                <c:pt idx="6">
                  <c:v>0.03125</c:v>
                </c:pt>
                <c:pt idx="7">
                  <c:v>0.0234375</c:v>
                </c:pt>
                <c:pt idx="8">
                  <c:v>0.015625</c:v>
                </c:pt>
                <c:pt idx="9">
                  <c:v>0.01171875</c:v>
                </c:pt>
                <c:pt idx="10">
                  <c:v>0.0078125</c:v>
                </c:pt>
                <c:pt idx="11">
                  <c:v>0.005859375</c:v>
                </c:pt>
                <c:pt idx="12">
                  <c:v>0.00390625</c:v>
                </c:pt>
                <c:pt idx="13">
                  <c:v>0.0029296875</c:v>
                </c:pt>
                <c:pt idx="14">
                  <c:v>0.001953125</c:v>
                </c:pt>
                <c:pt idx="15">
                  <c:v>0.0014648438</c:v>
                </c:pt>
                <c:pt idx="16">
                  <c:v>0.0009765625</c:v>
                </c:pt>
                <c:pt idx="17">
                  <c:v>0.0007324219</c:v>
                </c:pt>
                <c:pt idx="18">
                  <c:v>0.00048828125</c:v>
                </c:pt>
                <c:pt idx="19">
                  <c:v>0.00036621094</c:v>
                </c:pt>
                <c:pt idx="20">
                  <c:v>0.00024414063</c:v>
                </c:pt>
                <c:pt idx="21">
                  <c:v>0.00018310547</c:v>
                </c:pt>
                <c:pt idx="22">
                  <c:v>0.00012207031</c:v>
                </c:pt>
                <c:pt idx="23">
                  <c:v>9.1552734E-005</c:v>
                </c:pt>
                <c:pt idx="24">
                  <c:v>6.1035156E-005</c:v>
                </c:pt>
                <c:pt idx="25">
                  <c:v>4.5776367E-005</c:v>
                </c:pt>
                <c:pt idx="26">
                  <c:v>3.0517578E-005</c:v>
                </c:pt>
                <c:pt idx="27">
                  <c:v>2.2888184E-005</c:v>
                </c:pt>
                <c:pt idx="28">
                  <c:v>1.5258789E-005</c:v>
                </c:pt>
                <c:pt idx="29">
                  <c:v>1.1444092E-005</c:v>
                </c:pt>
                <c:pt idx="30">
                  <c:v>7.6293945E-006</c:v>
                </c:pt>
                <c:pt idx="31">
                  <c:v>5.722046E-006</c:v>
                </c:pt>
                <c:pt idx="32">
                  <c:v>3.8146973E-006</c:v>
                </c:pt>
                <c:pt idx="33">
                  <c:v>2.861023E-006</c:v>
                </c:pt>
                <c:pt idx="34">
                  <c:v>1.9073486E-006</c:v>
                </c:pt>
              </c:numCache>
            </c:numRef>
          </c:val>
          <c:smooth val="0"/>
        </c:ser>
        <c:ser>
          <c:idx val="6"/>
          <c:order val="6"/>
          <c:tx>
            <c:strRef>
              <c:f>label 6</c:f>
              <c:strCache>
                <c:ptCount val="1"/>
                <c:pt idx="0">
                  <c:v>NODE G</c:v>
                </c:pt>
              </c:strCache>
            </c:strRef>
          </c:tx>
          <c:spPr>
            <a:solidFill>
              <a:srgbClr val="314004"/>
            </a:solidFill>
            <a:ln w="0">
              <a:noFill/>
            </a:ln>
          </c:spPr>
          <c:marker>
            <c:symbol val="none"/>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strCache>
            </c:strRef>
          </c:cat>
          <c:val>
            <c:numRef>
              <c:f>6</c:f>
              <c:numCache>
                <c:formatCode>General</c:formatCode>
                <c:ptCount val="3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numCache>
            </c:numRef>
          </c:val>
          <c:smooth val="0"/>
        </c:ser>
        <c:axId val="85518846"/>
        <c:axId val="52397784"/>
      </c:line3DChart>
      <c:catAx>
        <c:axId val="85518846"/>
        <c:scaling>
          <c:orientation val="minMax"/>
        </c:scaling>
        <c:delete val="0"/>
        <c:axPos val="b"/>
        <c:numFmt formatCode="General" sourceLinked="0"/>
        <c:majorTickMark val="out"/>
        <c:minorTickMark val="none"/>
        <c:tickLblPos val="nextTo"/>
        <c:spPr>
          <a:ln w="0">
            <a:solidFill>
              <a:srgbClr val="b3b3b3"/>
            </a:solidFill>
          </a:ln>
        </c:spPr>
        <c:txPr>
          <a:bodyPr/>
          <a:lstStyle/>
          <a:p>
            <a:pPr>
              <a:defRPr b="0" sz="1000" spc="-1" strike="noStrike">
                <a:latin typeface="Arial"/>
              </a:defRPr>
            </a:pPr>
          </a:p>
        </c:txPr>
        <c:crossAx val="52397784"/>
        <c:crosses val="autoZero"/>
        <c:auto val="1"/>
        <c:lblAlgn val="ctr"/>
        <c:lblOffset val="100"/>
        <c:noMultiLvlLbl val="0"/>
      </c:catAx>
      <c:valAx>
        <c:axId val="52397784"/>
        <c:scaling>
          <c:orientation val="minMax"/>
        </c:scaling>
        <c:delete val="0"/>
        <c:axPos val="l"/>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pc="-1" strike="noStrike">
                <a:latin typeface="Arial"/>
              </a:defRPr>
            </a:pPr>
          </a:p>
        </c:txPr>
        <c:crossAx val="85518846"/>
        <c:crosses val="autoZero"/>
        <c:crossBetween val="midCat"/>
      </c:valAx>
    </c:plotArea>
    <c:legend>
      <c:legendPos val="r"/>
      <c:overlay val="0"/>
      <c:spPr>
        <a:noFill/>
        <a:ln w="0">
          <a:noFill/>
        </a:ln>
      </c:spPr>
      <c:txPr>
        <a:bodyPr/>
        <a:lstStyle/>
        <a:p>
          <a:pPr>
            <a:defRPr b="0" sz="1000" spc="-1" strike="noStrike">
              <a:latin typeface="Arial"/>
            </a:defRPr>
          </a:pPr>
        </a:p>
      </c:txPr>
    </c:legend>
    <c:plotVisOnly val="1"/>
    <c:dispBlanksAs val="gap"/>
  </c:chart>
  <c:spPr>
    <a:solidFill>
      <a:srgbClr val="ffffff"/>
    </a:solidFill>
    <a:ln w="0">
      <a:solidFill>
        <a:srgbClr val="000000"/>
      </a:solidFill>
    </a:ln>
  </c:spPr>
</c:chartSpace>
</file>

<file path=docProps/app.xml><?xml version="1.0" encoding="utf-8"?>
<Properties xmlns="http://schemas.openxmlformats.org/officeDocument/2006/extended-properties" xmlns:vt="http://schemas.openxmlformats.org/officeDocument/2006/docPropsVTypes">
  <Template/>
  <TotalTime>10</TotalTime>
  <Application>LibreOffice/7.3.4.2$Linux_X86_64 LibreOffice_project/728fec16bd5f605073805c3c9e7c4212a0120dc5</Application>
  <AppVersion>15.0000</AppVersion>
  <Pages>5</Pages>
  <Words>1201</Words>
  <Characters>5773</Characters>
  <CharactersWithSpaces>6847</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2022-07-22T18:36:07Z</dcterms:created>
  <dc:creator/>
  <dc:description/>
  <dc:language>en-US</dc:language>
  <cp:lastModifiedBy/>
  <dcterms:modified xsi:type="dcterms:W3CDTF">2022-07-22T22:00:56Z</dcterms:modified>
  <cp:revision>1</cp:revision>
  <dc:subject/>
  <dc:title/>
</cp:coreProperties>
</file>