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2" w:lineRule="auto"/>
      </w:pPr>
      <w:r>
        <w:rPr>
          <w:b/>
        </w:rPr>
        <w:t xml:space="preserve">1. Question: </w:t>
      </w:r>
      <w:r>
        <w:t>Honeywell's first-quarter orders rose 7% and backlog approached $38 billion, but reported EPS fell 35% and sales missed expectations.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2. Question: </w:t>
      </w:r>
      <w:r>
        <w:t>Progressive's first-quarter net income increased 10% to about $2.8 billion as net premiums earned grew 8% from the prior year.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3. Question: </w:t>
      </w:r>
      <w:r>
        <w:t>American Airlines reported record first-quarter revenue of $13.9 billion, but still posted a GAAP net loss and faced a sharply higher fuel bill.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4. Question: </w:t>
      </w:r>
      <w:r>
        <w:t>Mercedes-Benz first-quarter operating profit fell 17% as China competition, tariff pressure, and higher input costs weighed on results.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5. Question: </w:t>
      </w:r>
      <w:r>
        <w:t>Porsche's first-quarter operating profit dropped 22% as U.S. tariffs, weaker China demand, and Middle East uncertainty pressured margins.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6. Question: </w:t>
      </w:r>
      <w:r>
        <w:t>AbbVie topped quarterly revenue and earnings expectations as Skyrizi and Rinvoq growth helped offset the continued Humira decline.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7. Question: </w:t>
      </w:r>
      <w:r>
        <w:t>Biogen beat first-quarter profit expectations on strong Leqembi and rare-disease drug demand, but lowered its annual profit forecast because of acquisition-related costs.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8. Question: </w:t>
      </w:r>
      <w:r>
        <w:t>Humana beat first-quarter profit estimates, but its unchanged annual forecast disappointed investors concerned about Medicare Advantage cost pressure.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9. Question: </w:t>
      </w:r>
      <w:r>
        <w:t>Centene raised its 2026 profit forecast after better medical-cost control and stronger-than-expected quarterly results.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10. Question: </w:t>
      </w:r>
      <w:r>
        <w:t>London Stock Exchange Group lifted its 2026 revenue outlook after first-quarter income grew 9.8% on stronger trading activity.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20" w:line="252" w:lineRule="auto"/>
      </w:pPr>
      <w:r>
        <w:rPr>
          <w:b/>
        </w:rPr>
        <w:t xml:space="preserve">11. Question: </w:t>
      </w:r>
      <w:r>
        <w:t>$HON has strong orders and a huge backlog, but the sales miss and lower reported EPS make the quarter feel mixed.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12. Question: </w:t>
      </w:r>
      <w:r>
        <w:t>$PGR net income and premiums both rising says the insurer is still executing well.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13. Question: </w:t>
      </w:r>
      <w:r>
        <w:t>$AAL record revenue does not matter much if fuel costs are exploding and the company is still losing money.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14. Question: </w:t>
      </w:r>
      <w:r>
        <w:t>Mercedes profit falling again while China sales stay weak makes the luxury-auto story look rough.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15. Question: </w:t>
      </w:r>
      <w:r>
        <w:t>Porsche's margin getting squeezed by tariffs and weaker demand is not the premium-auto setup investors wanted.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16. Question: </w:t>
      </w:r>
      <w:r>
        <w:t>$ABBV getting strong Skyrizi and Rinvoq growth while raising guidance makes the Humira cliff look more manageable.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17. Question: </w:t>
      </w:r>
      <w:r>
        <w:t>$BIIB beat the quarter, but cutting the full-year profit guide keeps the story from being fully clean.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18. Question: </w:t>
      </w:r>
      <w:r>
        <w:t>$HUM beat Q1, but leaving guidance unchanged with medical-cost pressure still around is not exactly exciting.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19. Question: </w:t>
      </w:r>
      <w:r>
        <w:t>$CNC raising its profit forecast after better cost control is the kind of health-insurer update investors want.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20. Question: </w:t>
      </w:r>
      <w:r>
        <w:t>$LSEG getting a trading boost and guiding to the high end of revenue growth makes the market-data story look better.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 w:line="252" w:lineRule="auto"/>
      </w:pPr>
      <w:r>
        <w:rPr>
          <w:b/>
        </w:rPr>
        <w:t xml:space="preserve">21. Question: </w:t>
      </w:r>
      <w:r>
        <w:t>Orders increased 7% and backlog remained strong, although reported earnings declined because of restructuring and impairment charges.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22. Question: </w:t>
      </w:r>
      <w:r>
        <w:t>Net premiums earned increased 8%, and first-quarter net income rose 10% compared with the prior year.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23. Question: </w:t>
      </w:r>
      <w:r>
        <w:t>Record first-quarter revenue was offset by a GAAP net loss and significantly higher jet-fuel costs.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24. Question: </w:t>
      </w:r>
      <w:r>
        <w:t>Operating profit declined as tariff pressure, weaker China demand, and higher input costs weighed on profitability.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25. Question: </w:t>
      </w:r>
      <w:r>
        <w:t>Operating margin narrowed during the quarter as lower deliveries, tariffs, and regional demand uncertainty pressured earnings.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26. Question: </w:t>
      </w:r>
      <w:r>
        <w:t>Newer immunology medicines continued to grow strongly, helping offset the decline in Humira revenue.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27. Question: </w:t>
      </w:r>
      <w:r>
        <w:t>Growth products performed above expectations, but acquisition-related research and development charges reduced our full-year profit outlook.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28. Question: </w:t>
      </w:r>
      <w:r>
        <w:t>Medical-cost trends improved in the quarter, but we are maintaining our annual earnings outlook because second-half uncertainty remains elevated.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29. Question: </w:t>
      </w:r>
      <w:r>
        <w:t>Improved medical-cost control supported stronger quarterly results and allowed us to raise the full-year adjusted profit outlook.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30. Question: </w:t>
      </w:r>
      <w:r>
        <w:t>First-quarter income grew 9.8%, and we now expect annual revenue growth near the upper end of our guidance range.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 w:line="252" w:lineRule="auto"/>
      </w:pPr>
      <w:r>
        <w:rPr>
          <w:b/>
        </w:rPr>
        <w:t xml:space="preserve">31. Question: </w:t>
      </w:r>
      <w:r>
        <w:t>BTG Pactual Timberland Investment Group raised $1.24 billion for a Latin America reforestation strategy focused on restoring degraded land.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32. Question: </w:t>
      </w:r>
      <w:r>
        <w:t>Corporate climate-accounting groups considered diverging Scope 2 emissions rules, creating uncertainty for companies' sustainability reporting.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33. Question: </w:t>
      </w:r>
      <w:r>
        <w:t>Global fossil-fuel carbon dioxide emissions were projected to reach a record 38.1 billion metric tons in 2025 despite renewable growth.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34. Question: </w:t>
      </w:r>
      <w:r>
        <w:t>New food-sector climate reporting rules raised the standard for regenerative-agriculture claims and land-use emissions disclosures.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35. Question: </w:t>
      </w:r>
      <w:r>
        <w:t>World Bank climate-finance targets came under pressure after the U.S. pushed the lender to drop its 45% climate-lending goal.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36. Question: </w:t>
      </w:r>
      <w:r>
        <w:t>Rising physical climate risks contributed to higher insurance premiums and cancellations in vulnerable housing markets.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37. Question: </w:t>
      </w:r>
      <w:r>
        <w:t>PJM Interconnection reopened processing for new power-plant applications, including battery storage, solar, wind, nuclear, and hydropower projects.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38. Question: </w:t>
      </w:r>
      <w:r>
        <w:t>The European Union prepared guidance to reduce dependence on Middle Eastern jet fuel by encouraging sustainable aviation fuel and synthetic fuel options.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39. Question: </w:t>
      </w:r>
      <w:r>
        <w:t>European Union countries agreed to keep pushing for a global price on shipping carbon emissions in U.N. talks.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40. Question: </w:t>
      </w:r>
      <w:r>
        <w:t>Energy-security concerns after the Iran war increased global interest in solar power and other renewable energy alternatives.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20" w:line="252" w:lineRule="auto"/>
      </w:pPr>
      <w:r>
        <w:rPr>
          <w:b/>
        </w:rPr>
        <w:t xml:space="preserve">41. Question: </w:t>
      </w:r>
      <w:r>
        <w:t>Romania's minority government faced a no-confidence vote that risked policy gridlock and access to more than 10 billion euros in EU recovery funds.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42. Question: </w:t>
      </w:r>
      <w:r>
        <w:t>Argentina credit stress deepened as inflation and higher utility costs continued to strain household finances.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43. Question: </w:t>
      </w:r>
      <w:r>
        <w:t>Nigeria capped jet-fuel prices after a sharp fuel-cost surge threatened airline schedules and pushed carriers toward higher fares.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44. Question: </w:t>
      </w:r>
      <w:r>
        <w:t>Morocco's annual inflation rose to 0.9% in March from negative territory, signaling a mild return of price pressure.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45. Question: </w:t>
      </w:r>
      <w:r>
        <w:t>Euro zone business activity unexpectedly contracted in April as surging input costs pulled the composite PMI below 50.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46. Question: </w:t>
      </w:r>
      <w:r>
        <w:t>Indonesia was expected to keep interest rates at 4.75% through 2026 as the Iran war increased inflation risks.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47. Question: </w:t>
      </w:r>
      <w:r>
        <w:t>Ghana's consumer inflation slowed for a fifteenth straight month in March, moving closer to the central bank's target range.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Positive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48. Question: </w:t>
      </w:r>
      <w:r>
        <w:t>The Bank of Japan signaled a likely June rate hike as energy shocks pushed its inflation forecasts above target.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49. Question: </w:t>
      </w:r>
      <w:r>
        <w:t>The Bank of England was expected to hold rates steady as the Iran war clouded the outlook for inflation and growth.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Neutral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 w:line="252" w:lineRule="auto"/>
      </w:pPr>
      <w:r>
        <w:rPr>
          <w:b/>
        </w:rPr>
        <w:t xml:space="preserve">50. Question: </w:t>
      </w:r>
      <w:r>
        <w:t>A global Reuters poll raised 2026 inflation forecasts for 44 of the top 50 economies after the energy-price shock.</w:t>
      </w:r>
    </w:p>
    <w:p>
      <w:pPr>
        <w:spacing w:after="20" w:line="252" w:lineRule="auto"/>
      </w:pPr>
      <w:r>
        <w:rPr>
          <w:b/>
        </w:rPr>
        <w:t xml:space="preserve">Answer: </w:t>
      </w:r>
      <w:r>
        <w:t>Negative</w:t>
      </w:r>
    </w:p>
    <w:p>
      <w:pPr>
        <w:spacing w:after="140" w:line="252" w:lineRule="auto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