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</w:rPr>
        <w:t xml:space="preserve">1. Question: </w:t>
      </w:r>
      <w:r>
        <w:t>IBM reported first-quarter 2026 revenue of $15.9 billion and adjusted earnings above expectations, but investors reacted cautiously after the company kept its full-year outlook unchanged.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spacing w:after="20"/>
      </w:pPr>
      <w:r>
        <w:rPr>
          <w:b/>
        </w:rPr>
        <w:t xml:space="preserve">2. Question: </w:t>
      </w:r>
      <w:r>
        <w:t>AT&amp;T reported strong first-quarter 2026 results as Advanced Connectivity revenue grew 4.7% and wireless service revenue increased 3.6% year over year.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spacing w:after="20"/>
      </w:pPr>
      <w:r>
        <w:rPr>
          <w:b/>
        </w:rPr>
        <w:t xml:space="preserve">3. Question: </w:t>
      </w:r>
      <w:r>
        <w:t>T-Mobile's first-quarter 2026 revenue beat expectations and the company raised its postpaid account guidance, although net income declined because of merger-related costs.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spacing w:after="20"/>
      </w:pPr>
      <w:r>
        <w:rPr>
          <w:b/>
        </w:rPr>
        <w:t xml:space="preserve">4. Question: </w:t>
      </w:r>
      <w:r>
        <w:t>General Motors reported first-quarter 2026 revenue of $43.6 billion, net income of $2.6 billion, and raised full-year adjusted EBIT guidance by $500 million.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spacing w:after="20"/>
      </w:pPr>
      <w:r>
        <w:rPr>
          <w:b/>
        </w:rPr>
        <w:t xml:space="preserve">5. Question: </w:t>
      </w:r>
      <w:r>
        <w:t>Cognizant forecast second-quarter revenue below analyst estimates as clients remained cautious on discretionary IT spending.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spacing w:after="20"/>
      </w:pPr>
      <w:r>
        <w:rPr>
          <w:b/>
        </w:rPr>
        <w:t xml:space="preserve">6. Question: </w:t>
      </w:r>
      <w:r>
        <w:t>Deere raised its fiscal 2026 net income outlook to $4.5 billion to $5.0 billion, but management still described the equipment market as near the bottom of a weak cycle.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spacing w:after="20"/>
      </w:pPr>
      <w:r>
        <w:rPr>
          <w:b/>
        </w:rPr>
        <w:t xml:space="preserve">7. Question: </w:t>
      </w:r>
      <w:r>
        <w:t>PepsiCo's first-quarter 2026 net revenue increased 8.5%, organic revenue grew 2.6%, and core EPS increased as the company reaffirmed its annual guidance.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spacing w:after="20"/>
      </w:pPr>
      <w:r>
        <w:rPr>
          <w:b/>
        </w:rPr>
        <w:t xml:space="preserve">8. Question: </w:t>
      </w:r>
      <w:r>
        <w:t>Chipotle reported first-quarter 2026 revenue growth and a surprise comparable-sales increase, but operating margin and adjusted EPS declined from the prior year.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spacing w:after="20"/>
      </w:pPr>
      <w:r>
        <w:rPr>
          <w:b/>
        </w:rPr>
        <w:t xml:space="preserve">9. Question: </w:t>
      </w:r>
      <w:r>
        <w:t>eBay reported first-quarter 2026 revenue of $3.09 billion and gross merchandise volume of $22.2 billion, both ahead of expectations.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spacing w:after="20"/>
      </w:pPr>
      <w:r>
        <w:rPr>
          <w:b/>
        </w:rPr>
        <w:t xml:space="preserve">10. Question: </w:t>
      </w:r>
      <w:r>
        <w:t>Spotify's shares fell after the company projected second-quarter operating income below expectations because of higher AI and marketing spending.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spacing w:after="20"/>
      </w:pPr>
      <w:r>
        <w:rPr>
          <w:b/>
        </w:rPr>
        <w:t xml:space="preserve">11. Question: </w:t>
      </w:r>
      <w:r>
        <w:t>$IBM beat Q1 revenue and EPS, but keeping the 2026 outlook unchanged makes the stock reaction feel understandable.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20"/>
      </w:pPr>
      <w:r>
        <w:rPr>
          <w:b/>
        </w:rPr>
        <w:t xml:space="preserve">12. Question: </w:t>
      </w:r>
      <w:r>
        <w:t>$T wireless and fiber growth still look solid after another quarter of stronger service revenue.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20"/>
      </w:pPr>
      <w:r>
        <w:rPr>
          <w:b/>
        </w:rPr>
        <w:t xml:space="preserve">13. Question: </w:t>
      </w:r>
      <w:r>
        <w:t>$TMUS revenue beat and guidance moved higher, but merger costs hitting net income keep the quarter from looking totally clean.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20"/>
      </w:pPr>
      <w:r>
        <w:rPr>
          <w:b/>
        </w:rPr>
        <w:t xml:space="preserve">14. Question: </w:t>
      </w:r>
      <w:r>
        <w:t>$GM raising adjusted EBIT guidance after a stronger-than-expected Q1 makes the auto story look better than feared.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20"/>
      </w:pPr>
      <w:r>
        <w:rPr>
          <w:b/>
        </w:rPr>
        <w:t xml:space="preserve">15. Question: </w:t>
      </w:r>
      <w:r>
        <w:t>$CTSH guiding Q2 revenue below the Street because clients are still cautious is not a great sign for IT services demand.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20"/>
      </w:pPr>
      <w:r>
        <w:rPr>
          <w:b/>
        </w:rPr>
        <w:t xml:space="preserve">16. Question: </w:t>
      </w:r>
      <w:r>
        <w:t>$DE raising the full-year profit outlook is nice, but calling 2026 the bottom of the cycle keeps me cautious.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20"/>
      </w:pPr>
      <w:r>
        <w:rPr>
          <w:b/>
        </w:rPr>
        <w:t xml:space="preserve">17. Question: </w:t>
      </w:r>
      <w:r>
        <w:t>$PEP showing faster revenue growth and reaffirming guidance makes the consumer-staples setup look stable.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20"/>
      </w:pPr>
      <w:r>
        <w:rPr>
          <w:b/>
        </w:rPr>
        <w:t xml:space="preserve">18. Question: </w:t>
      </w:r>
      <w:r>
        <w:t>$CMG finally beat the comp-sales fear, but lower margins and EPS mean the turnaround is still not perfect.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20"/>
      </w:pPr>
      <w:r>
        <w:rPr>
          <w:b/>
        </w:rPr>
        <w:t xml:space="preserve">19. Question: </w:t>
      </w:r>
      <w:r>
        <w:t>$EBAY revenue and GMV both beat expectations, so the marketplace comeback looks stronger than people expected.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20"/>
      </w:pPr>
      <w:r>
        <w:rPr>
          <w:b/>
        </w:rPr>
        <w:t xml:space="preserve">20. Question: </w:t>
      </w:r>
      <w:r>
        <w:t>$SPOT hitting record operating income is cool, but the next-quarter profit guide missing expectations kills the vibe.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20"/>
      </w:pPr>
      <w:r>
        <w:rPr>
          <w:b/>
        </w:rPr>
        <w:t xml:space="preserve">21. Question: </w:t>
      </w:r>
      <w:r>
        <w:t>Revenue and adjusted earnings exceeded expectations in the quarter, although our full-year outlook remains unchanged.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20"/>
      </w:pPr>
      <w:r>
        <w:rPr>
          <w:b/>
        </w:rPr>
        <w:t xml:space="preserve">22. Question: </w:t>
      </w:r>
      <w:r>
        <w:t>Advanced Connectivity revenue increased 4.7% year over year, supported by growth in wireless service revenue and fiber-related demand.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20"/>
      </w:pPr>
      <w:r>
        <w:rPr>
          <w:b/>
        </w:rPr>
        <w:t xml:space="preserve">23. Question: </w:t>
      </w:r>
      <w:r>
        <w:t>Service revenue increased double digits and account-growth guidance improved, while merger-related expenses reduced reported net income.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20"/>
      </w:pPr>
      <w:r>
        <w:rPr>
          <w:b/>
        </w:rPr>
        <w:t xml:space="preserve">24. Question: </w:t>
      </w:r>
      <w:r>
        <w:t>First-quarter EBIT-adjusted surpassed expectations, and we are raising our full-year adjusted EBIT guidance by $500 million.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20"/>
      </w:pPr>
      <w:r>
        <w:rPr>
          <w:b/>
        </w:rPr>
        <w:t xml:space="preserve">25. Question: </w:t>
      </w:r>
      <w:r>
        <w:t>We expect second-quarter revenue to come in below market expectations as clients remain cautious with discretionary technology spending.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20"/>
      </w:pPr>
      <w:r>
        <w:rPr>
          <w:b/>
        </w:rPr>
        <w:t xml:space="preserve">26. Question: </w:t>
      </w:r>
      <w:r>
        <w:t>We raised our fiscal 2026 net income forecast, while continuing to manage through weak conditions in the large agriculture cycle.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20"/>
      </w:pPr>
      <w:r>
        <w:rPr>
          <w:b/>
        </w:rPr>
        <w:t xml:space="preserve">27. Question: </w:t>
      </w:r>
      <w:r>
        <w:t>Net revenue and organic revenue accelerated in the quarter, with every business segment delivering organic growth.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20"/>
      </w:pPr>
      <w:r>
        <w:rPr>
          <w:b/>
        </w:rPr>
        <w:t xml:space="preserve">28. Question: </w:t>
      </w:r>
      <w:r>
        <w:t>Comparable restaurant sales improved modestly, but higher input and labor costs reduced operating margin and adjusted earnings per share.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20"/>
      </w:pPr>
      <w:r>
        <w:rPr>
          <w:b/>
        </w:rPr>
        <w:t xml:space="preserve">29. Question: </w:t>
      </w:r>
      <w:r>
        <w:t>Marketplace revenue and gross merchandise volume both exceeded expectations, reflecting stronger engagement across focus categories.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20"/>
      </w:pPr>
      <w:r>
        <w:rPr>
          <w:b/>
        </w:rPr>
        <w:t xml:space="preserve">30. Question: </w:t>
      </w:r>
      <w:r>
        <w:t>Operating income reached a record level in the first quarter, but planned AI and marketing investments are expected to pressure next-quarter profit.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20"/>
      </w:pPr>
      <w:r>
        <w:rPr>
          <w:b/>
        </w:rPr>
        <w:t xml:space="preserve">31. Question: </w:t>
      </w:r>
      <w:r>
        <w:t>RELEX reported using 100% renewable electricity in its offices and co-location data centers while expanding supplier ESG assessments.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spacing w:after="20"/>
      </w:pPr>
      <w:r>
        <w:rPr>
          <w:b/>
        </w:rPr>
        <w:t xml:space="preserve">32. Question: </w:t>
      </w:r>
      <w:r>
        <w:t>Schneider Electric surpassed its 2025 sustainability target by helping customers save and avoid 862 million tons of carbon dioxide emissions.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spacing w:after="20"/>
      </w:pPr>
      <w:r>
        <w:rPr>
          <w:b/>
        </w:rPr>
        <w:t xml:space="preserve">33. Question: </w:t>
      </w:r>
      <w:r>
        <w:t>Siemens again received a CDP Climate A List rating in 2025, signaling strong corporate climate disclosure and environmental performance.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spacing w:after="20"/>
      </w:pPr>
      <w:r>
        <w:rPr>
          <w:b/>
        </w:rPr>
        <w:t xml:space="preserve">34. Question: </w:t>
      </w:r>
      <w:r>
        <w:t>Siemens Healthineers reported a 49% reduction in Scope 1 and 2 emissions from its 2019 baseline.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spacing w:after="20"/>
      </w:pPr>
      <w:r>
        <w:rPr>
          <w:b/>
        </w:rPr>
        <w:t xml:space="preserve">35. Question: </w:t>
      </w:r>
      <w:r>
        <w:t>HP reported that product-use emissions were 46% lower than 2019 levels, reflecting progress on product energy efficiency.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spacing w:after="20"/>
      </w:pPr>
      <w:r>
        <w:rPr>
          <w:b/>
        </w:rPr>
        <w:t xml:space="preserve">36. Question: </w:t>
      </w:r>
      <w:r>
        <w:t>DHL Group reduced logistics-related greenhouse gas emissions by 4.3% in 2025 while increasing investment in sustainable fuels and technologies.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spacing w:after="20"/>
      </w:pPr>
      <w:r>
        <w:rPr>
          <w:b/>
        </w:rPr>
        <w:t xml:space="preserve">37. Question: </w:t>
      </w:r>
      <w:r>
        <w:t>UPS powered 27.4% of its global facilities with renewable electricity in 2025 and surpassed its renewable-energy target.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spacing w:after="20"/>
      </w:pPr>
      <w:r>
        <w:rPr>
          <w:b/>
        </w:rPr>
        <w:t xml:space="preserve">38. Question: </w:t>
      </w:r>
      <w:r>
        <w:t>Maersk said its total emissions increased by 2% in 2025 despite continued work on its energy transition.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spacing w:after="20"/>
      </w:pPr>
      <w:r>
        <w:rPr>
          <w:b/>
        </w:rPr>
        <w:t xml:space="preserve">39. Question: </w:t>
      </w:r>
      <w:r>
        <w:t>Global corporate clean-power purchase volumes fell 10% in 2025, ending an eight-year streak of annual growth.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spacing w:after="20"/>
      </w:pPr>
      <w:r>
        <w:rPr>
          <w:b/>
        </w:rPr>
        <w:t xml:space="preserve">40. Question: </w:t>
      </w:r>
      <w:r>
        <w:t>FedEx reported a 58% reduction in Scope 1 and 2 emissions intensity from its FY09 baseline, reflecting progress on logistics decarbonization.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spacing w:after="20"/>
      </w:pPr>
      <w:r>
        <w:rPr>
          <w:b/>
        </w:rPr>
        <w:t xml:space="preserve">41. Question: </w:t>
      </w:r>
      <w:r>
        <w:t>Sberbank cut Russia's 2026 GDP growth forecast to 0.5% to 1.0% after a weak first quarter.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Country News Sentiment (CNS)</w:t>
      </w:r>
    </w:p>
    <w:p>
      <w:pPr>
        <w:spacing w:after="20"/>
      </w:pPr>
      <w:r>
        <w:rPr>
          <w:b/>
        </w:rPr>
        <w:t xml:space="preserve">42. Question: </w:t>
      </w:r>
      <w:r>
        <w:t>A U.K. economic institute lowered its 2026 growth forecast to 0.9% and warned that inflation could rise to 4.1% by early 2027.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Country News Sentiment (CNS)</w:t>
      </w:r>
    </w:p>
    <w:p>
      <w:pPr>
        <w:spacing w:after="20"/>
      </w:pPr>
      <w:r>
        <w:rPr>
          <w:b/>
        </w:rPr>
        <w:t xml:space="preserve">43. Question: </w:t>
      </w:r>
      <w:r>
        <w:t>Australia's annual CPI inflation rose to 4.1% in the first quarter of 2026, keeping pressure on the central bank to raise rates.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Country News Sentiment (CNS)</w:t>
      </w:r>
    </w:p>
    <w:p>
      <w:pPr>
        <w:spacing w:after="20"/>
      </w:pPr>
      <w:r>
        <w:rPr>
          <w:b/>
        </w:rPr>
        <w:t xml:space="preserve">44. Question: </w:t>
      </w:r>
      <w:r>
        <w:t>New Zealand's central bank said first-quarter core inflation remained stable within its 1% to 3% target band.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Country News Sentiment (CNS)</w:t>
      </w:r>
    </w:p>
    <w:p>
      <w:pPr>
        <w:spacing w:after="20"/>
      </w:pPr>
      <w:r>
        <w:rPr>
          <w:b/>
        </w:rPr>
        <w:t xml:space="preserve">45. Question: </w:t>
      </w:r>
      <w:r>
        <w:t>The Swiss National Bank warned that the Middle East conflict could slow growth and raise inflation in Switzerland.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Country News Sentiment (CNS)</w:t>
      </w:r>
    </w:p>
    <w:p>
      <w:pPr>
        <w:spacing w:after="20"/>
      </w:pPr>
      <w:r>
        <w:rPr>
          <w:b/>
        </w:rPr>
        <w:t xml:space="preserve">46. Question: </w:t>
      </w:r>
      <w:r>
        <w:t>Morocco's economic growth was projected to slow to 4.0% in 2026 from 4.4% expected in 2025 as foreign demand weakened.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Country News Sentiment (CNS)</w:t>
      </w:r>
    </w:p>
    <w:p>
      <w:pPr>
        <w:spacing w:after="20"/>
      </w:pPr>
      <w:r>
        <w:rPr>
          <w:b/>
        </w:rPr>
        <w:t xml:space="preserve">47. Question: </w:t>
      </w:r>
      <w:r>
        <w:t>The IMF lowered its 2026 growth forecast for emerging market and developing economies to 3.9% as higher energy and food costs darkened the outlook.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Country News Sentiment (CNS)</w:t>
      </w:r>
    </w:p>
    <w:p>
      <w:pPr>
        <w:spacing w:after="20"/>
      </w:pPr>
      <w:r>
        <w:rPr>
          <w:b/>
        </w:rPr>
        <w:t xml:space="preserve">48. Question: </w:t>
      </w:r>
      <w:r>
        <w:t>Irish consumer sentiment fell to its lowest level since late 2022 as households grew more cautious about inflation and economic prospects.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Country News Sentiment (CNS)</w:t>
      </w:r>
    </w:p>
    <w:p>
      <w:pPr>
        <w:spacing w:after="20"/>
      </w:pPr>
      <w:r>
        <w:rPr>
          <w:b/>
        </w:rPr>
        <w:t xml:space="preserve">49. Question: </w:t>
      </w:r>
      <w:r>
        <w:t>Colombia was expected to raise interest rates again as inflation stayed well above the central bank's 3% target.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Country News Sentiment (CNS)</w:t>
      </w:r>
    </w:p>
    <w:p>
      <w:pPr>
        <w:spacing w:after="20"/>
      </w:pPr>
      <w:r>
        <w:rPr>
          <w:b/>
        </w:rPr>
        <w:t xml:space="preserve">50. Question: </w:t>
      </w:r>
      <w:r>
        <w:t>South Africa's rand fell more than 1% as investors reacted to global rate uncertainty and prolonged geopolitical risk.</w:t>
      </w:r>
    </w:p>
    <w:p>
      <w:pPr>
        <w:spacing w:after="2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40"/>
        <w:ind w:left="259"/>
      </w:pPr>
      <w:r>
        <w:rPr>
          <w:b/>
        </w:rPr>
        <w:t xml:space="preserve">Type: </w:t>
      </w:r>
      <w:r>
        <w:t>Country News Sentiment (CNS)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