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RTK-GNSS 기반 저비용 자율주행 플랫폼의 실시간 측위 시스템 구현</w:t>
      </w:r>
    </w:p>
    <w:p>
      <w:pPr>
        <w:spacing w:before="240"/>
        <w:jc w:val="center"/>
      </w:pPr>
      <w:r>
        <w:rPr>
          <w:b/>
          <w:sz w:val="24"/>
        </w:rPr>
        <w:t>A Real-Time Localization System for a Low-Cost Autonomous Driving Platform Based on RTK-GNSS</w:t>
      </w:r>
    </w:p>
    <w:p>
      <w:pPr>
        <w:ind w:firstLine="227"/>
      </w:pPr>
      <w:r>
        <w:t>홍 길 동\*ㆍ한국교통대학교 ○○공학과 학부생</w:t>
      </w:r>
    </w:p>
    <w:p>
      <w:pPr>
        <w:ind w:firstLine="227"/>
      </w:pPr>
      <w:r>
        <w:t>\* 교신저자 : 성명, 소속, 직위 / E-mail</w:t>
      </w:r>
    </w:p>
    <w:p>
      <w:pPr>
        <w:spacing w:before="240"/>
      </w:pPr>
      <w:r>
        <w:rPr>
          <w:b/>
          <w:sz w:val="24"/>
        </w:rPr>
        <w:t>요 약</w:t>
      </w:r>
    </w:p>
    <w:p>
      <w:pPr>
        <w:ind w:firstLine="227"/>
      </w:pPr>
      <w:r>
        <w:t>자율주행 차량의 경로 추종 성능은 측위 정확도에 직접 의존한다. 본 연구는 소형 전동 차량을 개조한 저비용 자율주행 플랫폼에 RTK-GNSS(Real-Time Kinematic GNSS) 기반 실시간 측위 시스템을 구현하고 실차 주행으로 검증하였다. 국토지리정보원 VRS(Virtual Reference Station) 보정을 NTRIP으로 수신해 cm급 측위를 확보하였으며, 이 과정에서 기존 ROS 2 패키지가 지원하지 않는 GGA 상향 전송 기능을 갖춘 전용 클라이언트를 구현하였다. 또한 자력계 오차로 지도 좌표계에 정렬되지 않는 IMU 방위각 문제를 해결하기 위해, 직진 구간의 GNSS 이동방향을 참값으로 삼아 방위각 오프셋을 추정하고 방위각 변화량 기반 폐루프 제어로 직진성을 확보하는 초기화 기법을 적용하였다. 센서 두절 시에는 마지막 위치를 유지하지 않고 측위 발행을 중단해 하위 제어기가 안전 정지하도록 설계하였다. 실차 시험에서 RTK Fixed 유지율 94.8%, 수평정확도 평균 1.4cm, 방위각 오차 1.02°를 얻었으며, 경로 추종 횡방향 오차는 직선 구간에서 평균 3~14cm였다.</w:t>
      </w:r>
    </w:p>
    <w:p>
      <w:pPr>
        <w:ind w:firstLine="227"/>
      </w:pPr>
      <w:r>
        <w:rPr>
          <w:b/>
        </w:rPr>
        <w:t>핵심어 :</w:t>
      </w:r>
      <w:r>
        <w:t xml:space="preserve"> RTK-GNSS, NTRIP, 자율주행, 측위, 방위각 초기화</w:t>
      </w:r>
    </w:p>
    <w:p>
      <w:pPr>
        <w:spacing w:before="240"/>
      </w:pPr>
      <w:r>
        <w:rPr>
          <w:b/>
          <w:sz w:val="24"/>
        </w:rPr>
        <w:t>ABSTRACT</w:t>
      </w:r>
    </w:p>
    <w:p>
      <w:pPr>
        <w:ind w:firstLine="227"/>
      </w:pPr>
      <w:r>
        <w:t>The path-tracking performance of an autonomous vehicle depends directly on its localization accuracy. This study implements and field-validates a real-time localization system based on RTK-GNSS for a low-cost autonomous driving platform converted from a small electric vehicle. Centimeter-level positioning was obtained by receiving Virtual Reference Station corrections from the National Geographic Information Institute over NTRIP; because the NTRIP client bundled with the existing ROS 2 package does not transmit the NMEA GGA sentences that the VRS service requires to generate corrections for the rover location, a dedicated client providing this capability was implemented so that the receiver converges to an RTK Fixed solution. To resolve the misalignment between the map frame and the yaw angle of a low-cost IMU affected by magnetometer error, an initialization method was applied that estimates the yaw offset by treating the GNSS course over a straight segment as the true heading; although the absolute heading is unknown at initialization, the change in heading is measured accurately by the IMU, so a closed-loop controller maintaining the initial yaw keeps the vehicle straight without knowing the absolute heading. For safety, the system stops publishing localization output when sensor data is interrupted rather than holding the last known pose, so that downstream modules detect the condition by timeout and stop the vehicle safely. Field tests achieved an RTK Fixed rate of 94.8%, a mean horizontal accuracy of 1.4 cm, and a heading error of 1.02 degrees, with a lateral tracking error of 3 to 14 cm on straight sections.</w:t>
      </w:r>
    </w:p>
    <w:p>
      <w:pPr>
        <w:ind w:firstLine="227"/>
      </w:pPr>
      <w:r>
        <w:rPr>
          <w:b/>
        </w:rPr>
        <w:t>Keywords :</w:t>
      </w:r>
      <w:r>
        <w:t xml:space="preserve"> RTK-GNSS, NTRIP, autonomous driving, localization, heading initialization</w:t>
      </w:r>
    </w:p>
    <w:p>
      <w:pPr>
        <w:spacing w:before="240"/>
      </w:pPr>
      <w:r>
        <w:rPr>
          <w:b/>
          <w:sz w:val="24"/>
        </w:rPr>
        <w:t>Ⅰ. 서 론</w:t>
      </w:r>
    </w:p>
    <w:p>
      <w:pPr>
        <w:spacing w:before="160"/>
      </w:pPr>
      <w:r>
        <w:rPr>
          <w:b/>
          <w:sz w:val="21"/>
        </w:rPr>
        <w:t>1. 연구 배경 및 목적</w:t>
      </w:r>
    </w:p>
    <w:p>
      <w:pPr>
        <w:ind w:firstLine="227"/>
      </w:pPr>
      <w:r>
        <w:t>자율주행 시스템은 인지(perception), 측위(localization), 판단·제어(planning and control)로 구성되며, 측위 오차는 그대로 경로 추종 오차로 전이된다. 차선 폭이 좁은 주행 환경에서는 수십 cm의 오차도 차선 이탈로 이어진다.</w:t>
      </w:r>
    </w:p>
    <w:p>
      <w:pPr>
        <w:ind w:firstLine="227"/>
      </w:pPr>
      <w:r>
        <w:t>측위 방식은 GNSS 기반, LiDAR·카메라 기반 SLAM, 그리고 이들의 융합으로 구분된다. SLAM 기반 방식은 GNSS 음영에서도 동작하나 사전 지도 구축과 연산 자원을 요구한다(Kim et al., 2019). 반면 개활지에서는 RTK-GNSS만으로 cm급 정확도를 얻을 수 있어 저비용 플랫폼에 적합하다.</w:t>
      </w:r>
    </w:p>
    <w:p>
      <w:pPr>
        <w:ind w:firstLine="227"/>
      </w:pPr>
      <w:r>
        <w:t>RTK는 반송파 위상 관측치의 미지정수를 해결해 cm급 정확도를 달성하며, 미지정수가 정수로 확정된 RTK Fixed와 실수로 남은 RTK Float의 정확도 차이는 수 cm 대 수십 cm로 크다. 보정 신호 전달에는 NTRIP(Networked Transport of RTCM via Internet Protocol)이 표준으로 쓰이며(RTCM, 2011), 다수 상시관측소 관측치로 이동체 근처에 가상 기준국을 만드는 VRS 방식이 기선 길이 문제를 완화한다.</w:t>
      </w:r>
    </w:p>
    <w:p>
      <w:pPr>
        <w:ind w:firstLine="227"/>
      </w:pPr>
      <w:r>
        <w:t>한편 단일 안테나 GNSS는 위치는 제공하나 방위각을 직접 제공하지 않는다. 이중 안테나 방식은 정확하나 추가 수신기가 필요하고, 자력계는 모터가 근접한 소형 플랫폼에서 오차가 크다.</w:t>
      </w:r>
    </w:p>
    <w:p>
      <w:pPr>
        <w:ind w:firstLine="227"/>
      </w:pPr>
      <w:r>
        <w:t>본 연구는 유아용 전동 차량을 개조한 저비용 플랫폼을 대상으로, VRS 기반 RTK 측위와 GNSS 이동방향 기반 방위각 초기화를 구현하고 실차 주행으로 검증한 사례를 보고한다.</w:t>
      </w:r>
    </w:p>
    <w:p>
      <w:pPr>
        <w:spacing w:before="160"/>
      </w:pPr>
      <w:r>
        <w:rPr>
          <w:b/>
          <w:sz w:val="21"/>
        </w:rPr>
        <w:t>2. 연구의 기여</w:t>
      </w:r>
    </w:p>
    <w:p>
      <w:pPr>
        <w:ind w:firstLine="227"/>
      </w:pPr>
      <w:r>
        <w:t>본 연구의 기여는 다음과 같다.</w:t>
      </w:r>
    </w:p>
    <w:p>
      <w:pPr>
        <w:ind w:firstLine="227"/>
      </w:pPr>
      <w:r>
        <w:t>1) VRS 보정 수신에 필요한 GGA 상향 전송을 포함한 NTRIP 클라이언트를 구현하여 기존 ROS 2 패키지의 제약을 해소하였다.</w:t>
      </w:r>
    </w:p>
    <w:p>
      <w:pPr>
        <w:ind w:firstLine="227"/>
      </w:pPr>
      <w:r>
        <w:t xml:space="preserve">2) GNSS 이동방향 기반 방위각 초기화에 </w:t>
      </w:r>
      <w:r>
        <w:rPr>
          <w:b/>
        </w:rPr>
        <w:t>방위각 변화량 기반 폐루프 직진 제어</w:t>
      </w:r>
      <w:r>
        <w:t>를 결합하여 초기화 신뢰성을 확보하였다.</w:t>
      </w:r>
    </w:p>
    <w:p>
      <w:pPr>
        <w:ind w:firstLine="227"/>
      </w:pPr>
      <w:r>
        <w:t>3) 센서 두절 시 측위 발행을 중단하는 안전 지향 설계를 적용하고 실주행에서 그 동작을 확인하였다.</w:t>
      </w:r>
    </w:p>
    <w:p>
      <w:pPr>
        <w:spacing w:before="240"/>
      </w:pPr>
      <w:r>
        <w:rPr>
          <w:b/>
          <w:sz w:val="24"/>
        </w:rPr>
        <w:t>Ⅱ. 시스템 구성</w:t>
      </w:r>
    </w:p>
    <w:p>
      <w:pPr>
        <w:spacing w:before="160"/>
      </w:pPr>
      <w:r>
        <w:rPr>
          <w:b/>
          <w:sz w:val="21"/>
        </w:rPr>
        <w:t>1. 하드웨어</w:t>
      </w:r>
    </w:p>
    <w:p>
      <w:pPr>
        <w:jc w:val="center"/>
      </w:pPr>
      <w:r>
        <w:rPr>
          <w:b/>
          <w:sz w:val="18"/>
        </w:rPr>
        <w:t>&lt;Table 1&gt; Hardware configuration</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line="240" w:lineRule="auto" w:after="0"/>
            </w:pPr>
            <w:r>
              <w:rPr>
                <w:b/>
                <w:sz w:val="17"/>
              </w:rPr>
              <w:t>Component</w:t>
            </w:r>
          </w:p>
        </w:tc>
        <w:tc>
          <w:tcPr>
            <w:tcW w:type="dxa" w:w="3249"/>
          </w:tcPr>
          <w:p>
            <w:pPr>
              <w:spacing w:line="240" w:lineRule="auto" w:after="0"/>
            </w:pPr>
            <w:r>
              <w:rPr>
                <w:b/>
                <w:sz w:val="17"/>
              </w:rPr>
              <w:t>Specification</w:t>
            </w:r>
          </w:p>
        </w:tc>
        <w:tc>
          <w:tcPr>
            <w:tcW w:type="dxa" w:w="3249"/>
          </w:tcPr>
          <w:p>
            <w:pPr>
              <w:spacing w:line="240" w:lineRule="auto" w:after="0"/>
            </w:pPr>
            <w:r>
              <w:rPr>
                <w:b/>
                <w:sz w:val="17"/>
              </w:rPr>
              <w:t>Note</w:t>
            </w:r>
          </w:p>
        </w:tc>
      </w:tr>
      <w:tr>
        <w:tc>
          <w:tcPr>
            <w:tcW w:type="dxa" w:w="3249"/>
          </w:tcPr>
          <w:p>
            <w:pPr>
              <w:spacing w:line="240" w:lineRule="auto" w:after="0"/>
            </w:pPr>
            <w:r>
              <w:rPr>
                <w:sz w:val="17"/>
              </w:rPr>
              <w:t>Vehicle platform</w:t>
            </w:r>
          </w:p>
        </w:tc>
        <w:tc>
          <w:tcPr>
            <w:tcW w:type="dxa" w:w="3249"/>
          </w:tcPr>
          <w:p>
            <w:pPr>
              <w:spacing w:line="240" w:lineRule="auto" w:after="0"/>
            </w:pPr>
            <w:r>
              <w:rPr>
                <w:sz w:val="17"/>
              </w:rPr>
              <w:t>HENES T870, wheelbase 0.785 m</w:t>
            </w:r>
          </w:p>
        </w:tc>
        <w:tc>
          <w:tcPr>
            <w:tcW w:type="dxa" w:w="3249"/>
          </w:tcPr>
          <w:p>
            <w:pPr>
              <w:spacing w:line="240" w:lineRule="auto" w:after="0"/>
            </w:pPr>
            <w:r>
              <w:rPr>
                <w:sz w:val="17"/>
              </w:rPr>
              <w:t>Modified electric ride-on car</w:t>
            </w:r>
          </w:p>
        </w:tc>
      </w:tr>
      <w:tr>
        <w:tc>
          <w:tcPr>
            <w:tcW w:type="dxa" w:w="3249"/>
          </w:tcPr>
          <w:p>
            <w:pPr>
              <w:spacing w:line="240" w:lineRule="auto" w:after="0"/>
            </w:pPr>
            <w:r>
              <w:rPr>
                <w:sz w:val="17"/>
              </w:rPr>
              <w:t>GNSS receiver</w:t>
            </w:r>
          </w:p>
        </w:tc>
        <w:tc>
          <w:tcPr>
            <w:tcW w:type="dxa" w:w="3249"/>
          </w:tcPr>
          <w:p>
            <w:pPr>
              <w:spacing w:line="240" w:lineRule="auto" w:after="0"/>
            </w:pPr>
            <w:r>
              <w:rPr>
                <w:sz w:val="17"/>
              </w:rPr>
              <w:t>u-blox ZED-F9P</w:t>
            </w:r>
          </w:p>
        </w:tc>
        <w:tc>
          <w:tcPr>
            <w:tcW w:type="dxa" w:w="3249"/>
          </w:tcPr>
          <w:p>
            <w:pPr>
              <w:spacing w:line="240" w:lineRule="auto" w:after="0"/>
            </w:pPr>
            <w:r>
              <w:rPr>
                <w:sz w:val="17"/>
              </w:rPr>
              <w:t>Multi-band, RTK capable</w:t>
            </w:r>
          </w:p>
        </w:tc>
      </w:tr>
      <w:tr>
        <w:tc>
          <w:tcPr>
            <w:tcW w:type="dxa" w:w="3249"/>
          </w:tcPr>
          <w:p>
            <w:pPr>
              <w:spacing w:line="240" w:lineRule="auto" w:after="0"/>
            </w:pPr>
            <w:r>
              <w:rPr>
                <w:sz w:val="17"/>
              </w:rPr>
              <w:t>IMU</w:t>
            </w:r>
          </w:p>
        </w:tc>
        <w:tc>
          <w:tcPr>
            <w:tcW w:type="dxa" w:w="3249"/>
          </w:tcPr>
          <w:p>
            <w:pPr>
              <w:spacing w:line="240" w:lineRule="auto" w:after="0"/>
            </w:pPr>
            <w:r>
              <w:rPr>
                <w:sz w:val="17"/>
              </w:rPr>
              <w:t>HandsFree A9</w:t>
            </w:r>
          </w:p>
        </w:tc>
        <w:tc>
          <w:tcPr>
            <w:tcW w:type="dxa" w:w="3249"/>
          </w:tcPr>
          <w:p>
            <w:pPr>
              <w:spacing w:line="240" w:lineRule="auto" w:after="0"/>
            </w:pPr>
            <w:r>
              <w:rPr>
                <w:sz w:val="17"/>
              </w:rPr>
              <w:t>300 Hz</w:t>
            </w:r>
          </w:p>
        </w:tc>
      </w:tr>
      <w:tr>
        <w:tc>
          <w:tcPr>
            <w:tcW w:type="dxa" w:w="3249"/>
          </w:tcPr>
          <w:p>
            <w:pPr>
              <w:spacing w:line="240" w:lineRule="auto" w:after="0"/>
            </w:pPr>
            <w:r>
              <w:rPr>
                <w:sz w:val="17"/>
              </w:rPr>
              <w:t>MCU</w:t>
            </w:r>
          </w:p>
        </w:tc>
        <w:tc>
          <w:tcPr>
            <w:tcW w:type="dxa" w:w="3249"/>
          </w:tcPr>
          <w:p>
            <w:pPr>
              <w:spacing w:line="240" w:lineRule="auto" w:after="0"/>
            </w:pPr>
            <w:r>
              <w:rPr>
                <w:sz w:val="17"/>
              </w:rPr>
              <w:t>Arduino Mega 2560</w:t>
            </w:r>
          </w:p>
        </w:tc>
        <w:tc>
          <w:tcPr>
            <w:tcW w:type="dxa" w:w="3249"/>
          </w:tcPr>
          <w:p>
            <w:pPr>
              <w:spacing w:line="240" w:lineRule="auto" w:after="0"/>
            </w:pPr>
            <w:r>
              <w:rPr>
                <w:sz w:val="17"/>
              </w:rPr>
              <w:t>Low-level drive/steering control</w:t>
            </w:r>
          </w:p>
        </w:tc>
      </w:tr>
      <w:tr>
        <w:tc>
          <w:tcPr>
            <w:tcW w:type="dxa" w:w="3249"/>
          </w:tcPr>
          <w:p>
            <w:pPr>
              <w:spacing w:line="240" w:lineRule="auto" w:after="0"/>
            </w:pPr>
            <w:r>
              <w:rPr>
                <w:sz w:val="17"/>
              </w:rPr>
              <w:t>Onboard computer</w:t>
            </w:r>
          </w:p>
        </w:tc>
        <w:tc>
          <w:tcPr>
            <w:tcW w:type="dxa" w:w="3249"/>
          </w:tcPr>
          <w:p>
            <w:pPr>
              <w:spacing w:line="240" w:lineRule="auto" w:after="0"/>
            </w:pPr>
            <w:r>
              <w:rPr>
                <w:sz w:val="17"/>
              </w:rPr>
              <w:t>Laptop PC</w:t>
            </w:r>
          </w:p>
        </w:tc>
        <w:tc>
          <w:tcPr>
            <w:tcW w:type="dxa" w:w="3249"/>
          </w:tcPr>
          <w:p>
            <w:pPr>
              <w:spacing w:line="240" w:lineRule="auto" w:after="0"/>
            </w:pPr>
            <w:r>
              <w:rPr>
                <w:sz w:val="17"/>
              </w:rPr>
              <w:t>ROS 2 Humble</w:t>
            </w:r>
          </w:p>
        </w:tc>
      </w:tr>
    </w:tbl>
    <w:p/>
    <w:p>
      <w:pPr>
        <w:ind w:firstLine="227"/>
      </w:pPr>
      <w:r>
        <w:t>축거는 자전거 모델 기반 조향각 산출에 직접 사용되므로 실측하였다(0.785m).</w:t>
      </w:r>
    </w:p>
    <w:p>
      <w:pPr>
        <w:spacing w:before="160"/>
      </w:pPr>
      <w:r>
        <w:rPr>
          <w:b/>
          <w:sz w:val="21"/>
        </w:rPr>
        <w:t>2. 소프트웨어 구성</w:t>
      </w:r>
    </w:p>
    <w:p>
      <w:pPr>
        <w:ind w:firstLine="227"/>
      </w:pPr>
      <w:r>
        <w:t>시스템은 ROS 2 Humble 기반이며 측위 데이터 흐름은 &lt;Fig. 1&gt;과 같다. NTRIP 클라이언트가 캐스터에 GGA를 상향 전송하고 RTCM 보정을 수신해 수신기에 주입하며, 측위 노드가 위치와 방위각을 결합해 주행 좌표계 상태를 발행한다.</w:t>
      </w:r>
    </w:p>
    <w:p>
      <w:pPr>
        <w:jc w:val="center"/>
      </w:pPr>
      <w:r>
        <w:drawing>
          <wp:inline xmlns:a="http://schemas.openxmlformats.org/drawingml/2006/main" xmlns:pic="http://schemas.openxmlformats.org/drawingml/2006/picture">
            <wp:extent cx="4140000" cy="4950760"/>
            <wp:docPr id="1" name="Picture 1"/>
            <wp:cNvGraphicFramePr>
              <a:graphicFrameLocks noChangeAspect="1"/>
            </wp:cNvGraphicFramePr>
            <a:graphic>
              <a:graphicData uri="http://schemas.openxmlformats.org/drawingml/2006/picture">
                <pic:pic>
                  <pic:nvPicPr>
                    <pic:cNvPr id="0" name="Fig1_system_graph.png"/>
                    <pic:cNvPicPr/>
                  </pic:nvPicPr>
                  <pic:blipFill>
                    <a:blip r:embed="rId9"/>
                    <a:stretch>
                      <a:fillRect/>
                    </a:stretch>
                  </pic:blipFill>
                  <pic:spPr>
                    <a:xfrm>
                      <a:off x="0" y="0"/>
                      <a:ext cx="4140000" cy="4950760"/>
                    </a:xfrm>
                    <a:prstGeom prst="rect"/>
                  </pic:spPr>
                </pic:pic>
              </a:graphicData>
            </a:graphic>
          </wp:inline>
        </w:drawing>
      </w:r>
    </w:p>
    <w:p>
      <w:pPr>
        <w:jc w:val="center"/>
      </w:pPr>
      <w:r>
        <w:rPr>
          <w:b/>
          <w:sz w:val="18"/>
        </w:rPr>
        <w:t>&lt;Fig. 1&gt; Node and topic graph of the localization system</w:t>
      </w:r>
    </w:p>
    <w:p>
      <w:pPr>
        <w:spacing w:before="240"/>
      </w:pPr>
      <w:r>
        <w:rPr>
          <w:b/>
          <w:sz w:val="24"/>
        </w:rPr>
        <w:t>Ⅲ. RTK 측위 구현</w:t>
      </w:r>
    </w:p>
    <w:p>
      <w:pPr>
        <w:spacing w:before="160"/>
      </w:pPr>
      <w:r>
        <w:rPr>
          <w:b/>
          <w:sz w:val="21"/>
        </w:rPr>
        <w:t>1. GGA 상향 전송</w:t>
      </w:r>
    </w:p>
    <w:p>
      <w:pPr>
        <w:ind w:firstLine="227"/>
      </w:pPr>
      <w:r>
        <w:t>VRS 서비스는 이동체 위치 기준으로 가상 기준국을 생성하므로 이동체가 개략 위치를 캐스터에 알려야 한다. 그러나 `ublox_dgnss` 패키지의 기본 NTRIP 클라이언트는 RTCM 하향 수신만 지원하고 GGA 상향 전송 기능이 없다.</w:t>
      </w:r>
    </w:p>
    <w:p>
      <w:pPr>
        <w:ind w:firstLine="227"/>
      </w:pPr>
      <w:r>
        <w:t>이에 GGA 전송을 포함한 클라이언트를 구현하였다. 동작은 (1) 캐스터에 HTTP Basic 인증으로 접속, (2) 이동체 위치를 NMEA GGA로 구성해 1초 주기로 전송, (3) 수신 RTCM3를 프레임 단위로 분리해 발행, (4) 수신기에 주입하여 RTK Fixed로 수렴하는 순서다.</w:t>
      </w:r>
    </w:p>
    <w:p>
      <w:pPr>
        <w:ind w:firstLine="227"/>
      </w:pPr>
      <w:r>
        <w:t>초기에는 `/fix`가 있어야 GGA를 보낼 수 있고 GGA를 보내야 정밀한 `/fix`를 얻는 순환 의존이 존재하였다. 시험장 근방 고정 좌표를 파라미터로 두어 초기 GGA를 생성함으로써 이를 해소하였다. VRS는 수 km 범위에서 유효하므로 개략 좌표로 충분하다.</w:t>
      </w:r>
    </w:p>
    <w:p>
      <w:pPr>
        <w:spacing w:before="160"/>
      </w:pPr>
      <w:r>
        <w:rPr>
          <w:b/>
          <w:sz w:val="21"/>
        </w:rPr>
        <w:t>2. 좌표 변환</w:t>
      </w:r>
    </w:p>
    <w:p>
      <w:pPr>
        <w:ind w:firstLine="227"/>
      </w:pPr>
      <w:r>
        <w:t>위경도(WGS84)를 UTM Zone 52N으로 투영하고 사전 정의한 원점을 감산해 지역 좌표를 구성한다.</w:t>
      </w:r>
    </w:p>
    <w:p>
      <w:pPr>
        <w:jc w:val="center"/>
      </w:pPr>
      <w:r>
        <w:rPr>
          <w:i/>
          <w:sz w:val="21"/>
        </w:rPr>
        <w:t>(x, y) = \mathcal{T}_{UTM52N}(\lambda, \phi) - (x_0, y_0)</w:t>
      </w:r>
    </w:p>
    <w:p>
      <w:pPr>
        <w:ind w:firstLine="227"/>
      </w:pPr>
      <w:r>
        <w:t>지역 원점은 경로 기록 노드와 측위 노드가 완전히 동일한 값을 사용해야 한다. 두 값이 다르면 전역 경로 전체가 평행이동한다. 본 연구 초기에는 이 값이 다섯 곳에 개별 정의되어 있었고, 시험 장소 변경 시 일부만 갱신되어 지역 좌표가 약 150km 어긋나는 오류가 발생하였다. 이후 단일 설정 파일로 통합하여 재발을 방지하였다.</w:t>
      </w:r>
    </w:p>
    <w:p>
      <w:pPr>
        <w:spacing w:before="240"/>
      </w:pPr>
      <w:r>
        <w:rPr>
          <w:b/>
          <w:sz w:val="24"/>
        </w:rPr>
        <w:t>Ⅳ. 방위각 초기화</w:t>
      </w:r>
    </w:p>
    <w:p>
      <w:pPr>
        <w:spacing w:before="160"/>
      </w:pPr>
      <w:r>
        <w:rPr>
          <w:b/>
          <w:sz w:val="21"/>
        </w:rPr>
        <w:t>1. GNSS 이동방향 기반 오프셋 추정</w:t>
      </w:r>
    </w:p>
    <w:p>
      <w:pPr>
        <w:ind w:firstLine="227"/>
      </w:pPr>
      <w:r>
        <w:t>차량이 직진할 때 GNSS 위치 변화 방향은 실제 방위각과 일치한다. 이를 이용해 오프셋을 산출한다.</w:t>
      </w:r>
    </w:p>
    <w:p>
      <w:pPr>
        <w:jc w:val="center"/>
      </w:pPr>
      <w:r>
        <w:rPr>
          <w:i/>
          <w:sz w:val="21"/>
        </w:rPr>
        <w:t>course = atan2(\Delta n, \Delta e)</w:t>
      </w:r>
    </w:p>
    <w:p>
      <w:pPr>
        <w:jc w:val="center"/>
      </w:pPr>
      <w:r>
        <w:rPr>
          <w:i/>
          <w:sz w:val="21"/>
        </w:rPr>
        <w:t>\psi_{offset} = normalize(course - \psi_{IMU})</w:t>
      </w:r>
    </w:p>
    <w:p>
      <w:pPr>
        <w:ind w:firstLine="227"/>
      </w:pPr>
      <w:r>
        <w:t>여기서 $\Delta e, \Delta n$은 시작점 대비 동·북 방향 변위이다. 산출된 오프셋은 래치 토픽으로 발행되어 초기화 노드 종료 후에도 측위 노드가 참조한다. 초기화 거리는 10m로 설정하였다. 거리가 짧으면 GNSS 잡음 대비 변위 비율이 작아 추정 오차가 커진다.</w:t>
      </w:r>
    </w:p>
    <w:p>
      <w:pPr>
        <w:spacing w:before="160"/>
      </w:pPr>
      <w:r>
        <w:rPr>
          <w:b/>
          <w:sz w:val="21"/>
        </w:rPr>
        <w:t>2. 폐루프 직진 제어</w:t>
      </w:r>
    </w:p>
    <w:p>
      <w:pPr>
        <w:ind w:firstLine="227"/>
      </w:pPr>
      <w:r>
        <w:t>초기화의 전제는 차량이 곧게 주행하는 것이다. 초기 시험에서 사람이 밀거나 원격 조종한 경우 궤적 방향 편차가 43°, 157°로 측정되어 직진성 검증에서 연속 거부되었다.</w:t>
      </w:r>
    </w:p>
    <w:p>
      <w:pPr>
        <w:ind w:firstLine="227"/>
      </w:pPr>
      <w:r>
        <w:t xml:space="preserve">여기서 핵심은 다음과 같다. </w:t>
      </w:r>
      <w:r>
        <w:rPr>
          <w:b/>
        </w:rPr>
        <w:t>방위각의 절대값은 아직 알 수 없으나(그것을 구하는 것이 목적이다) 출발 시점 대비 변화량은 IMU로 정확히 알 수 있다.</w:t>
      </w:r>
      <w:r>
        <w:t xml:space="preserve"> 따라서 출발 시점의 방위각을 유지하는 폐루프 제어는 절대 방위각을 몰라도 성립한다. 조향각 0°를 인가하는 개루프 방식은 조향 중립값이 조금만 어긋나도 궤적이 휘어 검증에 실패하나, 폐루프 방식은 이러한 기구적 편차를 자동 보상한다.</w:t>
      </w:r>
    </w:p>
    <w:p>
      <w:pPr>
        <w:spacing w:before="160"/>
      </w:pPr>
      <w:r>
        <w:rPr>
          <w:b/>
          <w:sz w:val="21"/>
        </w:rPr>
        <w:t>3. 센서 두절에 대한 안전 설계</w:t>
      </w:r>
    </w:p>
    <w:p>
      <w:pPr>
        <w:ind w:firstLine="227"/>
      </w:pPr>
      <w:r>
        <w:t>초기 구현에서는 GNSS가 끊겨도 마지막 위치를 계속 발행하였다. 이 경우 차량은 이동하나 측위 출력은 고정되어 하위 모듈이 이상을 감지하지 못한다. 이를 다음과 같이 변경하였다.</w:t>
      </w:r>
    </w:p>
    <w:p>
      <w:pPr>
        <w:ind w:firstLine="227"/>
      </w:pPr>
      <w:r>
        <w:t>- `/fix`가 설정 시간(1.0초) 이상 수신되지 않으면 측위 발행을 중단한다.</w:t>
      </w:r>
    </w:p>
    <w:p>
      <w:pPr>
        <w:ind w:firstLine="227"/>
      </w:pPr>
      <w:r>
        <w:t>- IMU에도 동일한 감시를 적용한다. 실제로 주행 중 IMU 프로세스는 살아 있으나 데이터 송신이 멈추는 사례가 관측되었다.</w:t>
      </w:r>
    </w:p>
    <w:p>
      <w:pPr>
        <w:ind w:firstLine="227"/>
      </w:pPr>
      <w:r>
        <w:t>- 발행이 중단되면 하위 모듈이 타임아웃으로 안전 정지한다.</w:t>
      </w:r>
    </w:p>
    <w:p>
      <w:pPr>
        <w:spacing w:before="240"/>
      </w:pPr>
      <w:r>
        <w:rPr>
          <w:b/>
          <w:sz w:val="24"/>
        </w:rPr>
        <w:t>Ⅴ. 실험 및 결과</w:t>
      </w:r>
    </w:p>
    <w:p>
      <w:pPr>
        <w:spacing w:before="160"/>
      </w:pPr>
      <w:r>
        <w:rPr>
          <w:b/>
          <w:sz w:val="21"/>
        </w:rPr>
        <w:t>1. 시험 환경</w:t>
      </w:r>
    </w:p>
    <w:p>
      <w:pPr>
        <w:ind w:firstLine="227"/>
      </w:pPr>
      <w:r>
        <w:t>한국교통대학교 충주캠퍼스 구내 총연장 99.6m 순환 경로에서 실차 주행 시험을 수행하였다. 경로는 차량을 수동 주행하며 GNSS 위치를 0.5m 간격으로 기록해 생성하였다. RTK 보정은 NGII VRS를 통해 수신하였다.</w:t>
      </w:r>
    </w:p>
    <w:p>
      <w:pPr>
        <w:spacing w:before="160"/>
      </w:pPr>
      <w:r>
        <w:rPr>
          <w:b/>
          <w:sz w:val="21"/>
        </w:rPr>
        <w:t>2. 측위 정확도</w:t>
      </w:r>
    </w:p>
    <w:p>
      <w:pPr>
        <w:jc w:val="center"/>
      </w:pPr>
      <w:r>
        <w:rPr>
          <w:b/>
          <w:sz w:val="18"/>
        </w:rPr>
        <w:t>&lt;Table 2&gt; Localization performance in field test</w:t>
      </w:r>
    </w:p>
    <w:tbl>
      <w:tblPr>
        <w:tblStyle w:val="TableGrid"/>
        <w:tblW w:type="auto" w:w="0"/>
        <w:tblLook w:firstColumn="1" w:firstRow="1" w:lastColumn="0" w:lastRow="0" w:noHBand="0" w:noVBand="1" w:val="04A0"/>
      </w:tblPr>
      <w:tblGrid>
        <w:gridCol w:w="4873"/>
        <w:gridCol w:w="4873"/>
      </w:tblGrid>
      <w:tr>
        <w:tc>
          <w:tcPr>
            <w:tcW w:type="dxa" w:w="4873"/>
          </w:tcPr>
          <w:p>
            <w:pPr>
              <w:spacing w:line="240" w:lineRule="auto" w:after="0"/>
            </w:pPr>
            <w:r>
              <w:rPr>
                <w:b/>
                <w:sz w:val="17"/>
              </w:rPr>
              <w:t>Metric</w:t>
            </w:r>
          </w:p>
        </w:tc>
        <w:tc>
          <w:tcPr>
            <w:tcW w:type="dxa" w:w="4873"/>
          </w:tcPr>
          <w:p>
            <w:pPr>
              <w:spacing w:line="240" w:lineRule="auto" w:after="0"/>
            </w:pPr>
            <w:r>
              <w:rPr>
                <w:b/>
                <w:sz w:val="17"/>
              </w:rPr>
              <w:t>Result</w:t>
            </w:r>
          </w:p>
        </w:tc>
      </w:tr>
      <w:tr>
        <w:tc>
          <w:tcPr>
            <w:tcW w:type="dxa" w:w="4873"/>
          </w:tcPr>
          <w:p>
            <w:pPr>
              <w:spacing w:line="240" w:lineRule="auto" w:after="0"/>
            </w:pPr>
            <w:r>
              <w:rPr>
                <w:sz w:val="17"/>
              </w:rPr>
              <w:t>RTK Fixed rate</w:t>
            </w:r>
          </w:p>
        </w:tc>
        <w:tc>
          <w:tcPr>
            <w:tcW w:type="dxa" w:w="4873"/>
          </w:tcPr>
          <w:p>
            <w:pPr>
              <w:spacing w:line="240" w:lineRule="auto" w:after="0"/>
            </w:pPr>
            <w:r>
              <w:rPr>
                <w:sz w:val="17"/>
              </w:rPr>
              <w:t>94.8%</w:t>
            </w:r>
          </w:p>
        </w:tc>
      </w:tr>
      <w:tr>
        <w:tc>
          <w:tcPr>
            <w:tcW w:type="dxa" w:w="4873"/>
          </w:tcPr>
          <w:p>
            <w:pPr>
              <w:spacing w:line="240" w:lineRule="auto" w:after="0"/>
            </w:pPr>
            <w:r>
              <w:rPr>
                <w:sz w:val="17"/>
              </w:rPr>
              <w:t>Horizontal accuracy in Fixed (mean)</w:t>
            </w:r>
          </w:p>
        </w:tc>
        <w:tc>
          <w:tcPr>
            <w:tcW w:type="dxa" w:w="4873"/>
          </w:tcPr>
          <w:p>
            <w:pPr>
              <w:spacing w:line="240" w:lineRule="auto" w:after="0"/>
            </w:pPr>
            <w:r>
              <w:rPr>
                <w:sz w:val="17"/>
              </w:rPr>
              <w:t>0.014 m</w:t>
            </w:r>
          </w:p>
        </w:tc>
      </w:tr>
      <w:tr>
        <w:tc>
          <w:tcPr>
            <w:tcW w:type="dxa" w:w="4873"/>
          </w:tcPr>
          <w:p>
            <w:pPr>
              <w:spacing w:line="240" w:lineRule="auto" w:after="0"/>
            </w:pPr>
            <w:r>
              <w:rPr>
                <w:sz w:val="17"/>
              </w:rPr>
              <w:t>Horizontal accuracy in Float (mean)</w:t>
            </w:r>
          </w:p>
        </w:tc>
        <w:tc>
          <w:tcPr>
            <w:tcW w:type="dxa" w:w="4873"/>
          </w:tcPr>
          <w:p>
            <w:pPr>
              <w:spacing w:line="240" w:lineRule="auto" w:after="0"/>
            </w:pPr>
            <w:r>
              <w:rPr>
                <w:sz w:val="17"/>
              </w:rPr>
              <w:t>0.281 m</w:t>
            </w:r>
          </w:p>
        </w:tc>
      </w:tr>
      <w:tr>
        <w:tc>
          <w:tcPr>
            <w:tcW w:type="dxa" w:w="4873"/>
          </w:tcPr>
          <w:p>
            <w:pPr>
              <w:spacing w:line="240" w:lineRule="auto" w:after="0"/>
            </w:pPr>
            <w:r>
              <w:rPr>
                <w:sz w:val="17"/>
              </w:rPr>
              <w:t>Heading error after initialization (median)</w:t>
            </w:r>
          </w:p>
        </w:tc>
        <w:tc>
          <w:tcPr>
            <w:tcW w:type="dxa" w:w="4873"/>
          </w:tcPr>
          <w:p>
            <w:pPr>
              <w:spacing w:line="240" w:lineRule="auto" w:after="0"/>
            </w:pPr>
            <w:r>
              <w:rPr>
                <w:sz w:val="17"/>
              </w:rPr>
              <w:t>1.02°</w:t>
            </w:r>
          </w:p>
        </w:tc>
      </w:tr>
      <w:tr>
        <w:tc>
          <w:tcPr>
            <w:tcW w:type="dxa" w:w="4873"/>
          </w:tcPr>
          <w:p>
            <w:pPr>
              <w:spacing w:line="240" w:lineRule="auto" w:after="0"/>
            </w:pPr>
            <w:r>
              <w:rPr>
                <w:sz w:val="17"/>
              </w:rPr>
              <w:t>Heading error before initialization (median)</w:t>
            </w:r>
          </w:p>
        </w:tc>
        <w:tc>
          <w:tcPr>
            <w:tcW w:type="dxa" w:w="4873"/>
          </w:tcPr>
          <w:p>
            <w:pPr>
              <w:spacing w:line="240" w:lineRule="auto" w:after="0"/>
            </w:pPr>
            <w:r>
              <w:rPr>
                <w:sz w:val="17"/>
              </w:rPr>
              <w:t>118.35°</w:t>
            </w:r>
          </w:p>
        </w:tc>
      </w:tr>
    </w:tbl>
    <w:p/>
    <w:p>
      <w:pPr>
        <w:ind w:firstLine="227"/>
      </w:pPr>
      <w:r>
        <w:t>RTK Fixed 상태가 전체 주행의 94.8%를 차지하였고 이 구간의 수평정확도는 평균 1.4cm였다. 반면 RTK Float 구간(4.3%)에서는 수평정확도가 28.1cm로 20배 저하되었고 경로 추종 횡방향 오차도 0.31m에서 0.98m로 3배 증가하였다(&lt;Fig. 2&gt;). 이는 Fixed 유지 여부가 측위뿐 아니라 추종 성능까지 좌우함을 보여준다.</w:t>
      </w:r>
    </w:p>
    <w:p>
      <w:pPr>
        <w:jc w:val="center"/>
      </w:pPr>
      <w:r>
        <w:drawing>
          <wp:inline xmlns:a="http://schemas.openxmlformats.org/drawingml/2006/main" xmlns:pic="http://schemas.openxmlformats.org/drawingml/2006/picture">
            <wp:extent cx="3600000" cy="2435294"/>
            <wp:docPr id="2" name="Picture 2"/>
            <wp:cNvGraphicFramePr>
              <a:graphicFrameLocks noChangeAspect="1"/>
            </wp:cNvGraphicFramePr>
            <a:graphic>
              <a:graphicData uri="http://schemas.openxmlformats.org/drawingml/2006/picture">
                <pic:pic>
                  <pic:nvPicPr>
                    <pic:cNvPr id="0" name="Fig2_rtk_quality.png"/>
                    <pic:cNvPicPr/>
                  </pic:nvPicPr>
                  <pic:blipFill>
                    <a:blip r:embed="rId10"/>
                    <a:stretch>
                      <a:fillRect/>
                    </a:stretch>
                  </pic:blipFill>
                  <pic:spPr>
                    <a:xfrm>
                      <a:off x="0" y="0"/>
                      <a:ext cx="3600000" cy="2435294"/>
                    </a:xfrm>
                    <a:prstGeom prst="rect"/>
                  </pic:spPr>
                </pic:pic>
              </a:graphicData>
            </a:graphic>
          </wp:inline>
        </w:drawing>
      </w:r>
    </w:p>
    <w:p>
      <w:pPr>
        <w:jc w:val="center"/>
      </w:pPr>
      <w:r>
        <w:rPr>
          <w:b/>
          <w:sz w:val="18"/>
        </w:rPr>
        <w:t>&lt;Fig. 2&gt; Localization and tracking error by RTK solution status</w:t>
      </w:r>
    </w:p>
    <w:p>
      <w:pPr>
        <w:ind w:firstLine="227"/>
      </w:pPr>
      <w:r>
        <w:t>방위각 초기화 이후 구간에서 보고 방위각과 GNSS 이동방향의 차이는 중앙값 1.02°였다. 반면 초기화 완료 이전 구간에서는 118.35°의 차이가 나타나, 오프셋 적용 여부가 방위각 정확도를 결정함을 확인하였다.</w:t>
      </w:r>
    </w:p>
    <w:p>
      <w:pPr>
        <w:spacing w:before="160"/>
      </w:pPr>
      <w:r>
        <w:rPr>
          <w:b/>
          <w:sz w:val="21"/>
        </w:rPr>
        <w:t>3. 경로 추종 성능</w:t>
      </w:r>
    </w:p>
    <w:p>
      <w:pPr>
        <w:ind w:firstLine="227"/>
      </w:pPr>
      <w:r>
        <w:t>주행 궤적과 기준 경로의 비교는 &lt;Fig. 3&gt;과 같다. 궤적 색상은 각 지점의 횡방향 오차를 나타낸다.</w:t>
      </w:r>
    </w:p>
    <w:p>
      <w:pPr>
        <w:jc w:val="center"/>
      </w:pPr>
      <w:r>
        <w:drawing>
          <wp:inline xmlns:a="http://schemas.openxmlformats.org/drawingml/2006/main" xmlns:pic="http://schemas.openxmlformats.org/drawingml/2006/picture">
            <wp:extent cx="3600000" cy="3388235"/>
            <wp:docPr id="3" name="Picture 3"/>
            <wp:cNvGraphicFramePr>
              <a:graphicFrameLocks noChangeAspect="1"/>
            </wp:cNvGraphicFramePr>
            <a:graphic>
              <a:graphicData uri="http://schemas.openxmlformats.org/drawingml/2006/picture">
                <pic:pic>
                  <pic:nvPicPr>
                    <pic:cNvPr id="0" name="Fig3_trajectory.png"/>
                    <pic:cNvPicPr/>
                  </pic:nvPicPr>
                  <pic:blipFill>
                    <a:blip r:embed="rId11"/>
                    <a:stretch>
                      <a:fillRect/>
                    </a:stretch>
                  </pic:blipFill>
                  <pic:spPr>
                    <a:xfrm>
                      <a:off x="0" y="0"/>
                      <a:ext cx="3600000" cy="3388235"/>
                    </a:xfrm>
                    <a:prstGeom prst="rect"/>
                  </pic:spPr>
                </pic:pic>
              </a:graphicData>
            </a:graphic>
          </wp:inline>
        </w:drawing>
      </w:r>
    </w:p>
    <w:p>
      <w:pPr>
        <w:jc w:val="center"/>
      </w:pPr>
      <w:r>
        <w:rPr>
          <w:b/>
          <w:sz w:val="18"/>
        </w:rPr>
        <w:t>&lt;Fig. 3&gt; Vehicle trajectory colored by lateral tracking error</w:t>
      </w:r>
    </w:p>
    <w:p>
      <w:pPr>
        <w:ind w:firstLine="227"/>
      </w:pPr>
      <w:r>
        <w:t>경로 구간별 평균 횡방향 오차와 해당 구간의 최소 곡률반경을 함께 보면 &lt;Fig. 4&gt;와 같다. 직선 구간(곡률반경 100m 이상)에서 횡방향 오차는 평균 3~14cm였으나, 곡률반경 3.03m의 급커브 구간에서는 87cm까지 증가하였다.</w:t>
      </w:r>
    </w:p>
    <w:p>
      <w:pPr>
        <w:jc w:val="center"/>
      </w:pPr>
      <w:r>
        <w:drawing>
          <wp:inline xmlns:a="http://schemas.openxmlformats.org/drawingml/2006/main" xmlns:pic="http://schemas.openxmlformats.org/drawingml/2006/picture">
            <wp:extent cx="3600000" cy="2541176"/>
            <wp:docPr id="4" name="Picture 4"/>
            <wp:cNvGraphicFramePr>
              <a:graphicFrameLocks noChangeAspect="1"/>
            </wp:cNvGraphicFramePr>
            <a:graphic>
              <a:graphicData uri="http://schemas.openxmlformats.org/drawingml/2006/picture">
                <pic:pic>
                  <pic:nvPicPr>
                    <pic:cNvPr id="0" name="Fig4_section_error.png"/>
                    <pic:cNvPicPr/>
                  </pic:nvPicPr>
                  <pic:blipFill>
                    <a:blip r:embed="rId12"/>
                    <a:stretch>
                      <a:fillRect/>
                    </a:stretch>
                  </pic:blipFill>
                  <pic:spPr>
                    <a:xfrm>
                      <a:off x="0" y="0"/>
                      <a:ext cx="3600000" cy="2541176"/>
                    </a:xfrm>
                    <a:prstGeom prst="rect"/>
                  </pic:spPr>
                </pic:pic>
              </a:graphicData>
            </a:graphic>
          </wp:inline>
        </w:drawing>
      </w:r>
    </w:p>
    <w:p>
      <w:pPr>
        <w:jc w:val="center"/>
      </w:pPr>
      <w:r>
        <w:rPr>
          <w:b/>
          <w:sz w:val="18"/>
        </w:rPr>
        <w:t>&lt;Fig. 4&gt; Lateral error and minimum curve radius by path segment</w:t>
      </w:r>
    </w:p>
    <w:p>
      <w:pPr>
        <w:ind w:firstLine="227"/>
      </w:pPr>
      <w:r>
        <w:t>급커브에서의 오차 증가는 해당 구간의 lookahead 거리(2.3m)가 곡률반경(3.03m)에 육박하여 코너 인식이 지연된 것으로 판단된다. 이는 측위 정확도가 아니라 추종 제어 파라미터의 문제이며, 측위 출력이 정확하더라도 제어 파라미터가 경로 기하와 맞지 않으면 추종 오차가 발생함을 보여준다.</w:t>
      </w:r>
    </w:p>
    <w:p>
      <w:pPr>
        <w:spacing w:before="160"/>
      </w:pPr>
      <w:r>
        <w:rPr>
          <w:b/>
          <w:sz w:val="21"/>
        </w:rPr>
        <w:t>4. 안전 설계 동작 확인</w:t>
      </w:r>
    </w:p>
    <w:p>
      <w:pPr>
        <w:ind w:firstLine="227"/>
      </w:pPr>
      <w:r>
        <w:t>주행 중 IMU 데이터 두절이 발생하였고, 설계대로 측위 발행이 중단되어 차량이 정지하였다. 두절 원인은 USB 허브 다단 연결로 확인되었으며, 커널 로그에서 통신 오류가 반복 기록되었다. 마지막 위치를 유지하는 방식이었다면 차량이 잘못된 방향으로 주행을 계속했을 것이므로, 데이터 부재를 명시적으로 전파하는 설계가 유효함을 확인하였다.</w:t>
      </w:r>
    </w:p>
    <w:p>
      <w:pPr>
        <w:spacing w:before="240"/>
      </w:pPr>
      <w:r>
        <w:rPr>
          <w:b/>
          <w:sz w:val="24"/>
        </w:rPr>
        <w:t>Ⅵ. 결론</w:t>
      </w:r>
    </w:p>
    <w:p>
      <w:pPr>
        <w:ind w:firstLine="227"/>
      </w:pPr>
      <w:r>
        <w:t>본 연구는 저비용 자율주행 플랫폼에 RTK-GNSS 기반 실시간 측위 시스템을 구현하고 실차 주행으로 검증하였다. 주요 결과는 다음과 같다.</w:t>
      </w:r>
    </w:p>
    <w:p>
      <w:pPr>
        <w:ind w:firstLine="227"/>
      </w:pPr>
      <w:r>
        <w:t>1) VRS 보정 수신을 위해 GGA 상향 전송을 포함한 NTRIP 클라이언트를 구현하여 RTK Fixed 유지율 94.8%, Fixed 구간 수평정확도 1.4cm를 달성하였다.</w:t>
      </w:r>
    </w:p>
    <w:p>
      <w:pPr>
        <w:ind w:firstLine="227"/>
      </w:pPr>
      <w:r>
        <w:t>2) GNSS 이동방향 기반 방위각 초기화에 방위각 변화량 기반 폐루프 직진 제어를 결합하여, 초기화 후 방위각 오차 1.02°를 얻었다.</w:t>
      </w:r>
    </w:p>
    <w:p>
      <w:pPr>
        <w:ind w:firstLine="227"/>
      </w:pPr>
      <w:r>
        <w:t>3) 센서 두절 시 측위 발행을 중단하는 설계가 실주행에서 의도대로 동작하여 안전 정지를 유도함을 확인하였다.</w:t>
      </w:r>
    </w:p>
    <w:p>
      <w:pPr>
        <w:ind w:firstLine="227"/>
      </w:pPr>
      <w:r>
        <w:t>향후 과제로는 (1) 기준점 측량 성과를 이용한 절대 정확도 평가, (2) RTK Fixed/Float 전환이 추종 오차에 미치는 영향의 정량 분석, (3) 급커브 구간의 lookahead 적응 기법 적용, (4) GNSS 음영 구간 대응을 위한 추측항법 결합이 있다.</w:t>
      </w:r>
    </w:p>
    <w:p>
      <w:pPr>
        <w:spacing w:before="240"/>
      </w:pPr>
      <w:r>
        <w:rPr>
          <w:b/>
          <w:sz w:val="24"/>
        </w:rPr>
        <w:t>참고문헌</w:t>
      </w:r>
    </w:p>
    <w:p>
      <w:pPr>
        <w:ind w:firstLine="227"/>
      </w:pPr>
      <w:r>
        <w:t>1. Kim, D. G., Park, J. H. and Lee, C. W.(2019), "A study on localization for autonomous driving using LiDAR-based SLAM", *Journal of Korean Society of Intelligent Transport Systems*, vol. 18, no. 4, pp.1-12.</w:t>
      </w:r>
    </w:p>
    <w:p>
      <w:pPr>
        <w:ind w:firstLine="227"/>
      </w:pPr>
      <w:r>
        <w:t>2. Korea Expressway Corporation, http://www.ex.co.kr, 2026.08.23.</w:t>
      </w:r>
    </w:p>
    <w:p>
      <w:pPr>
        <w:ind w:firstLine="227"/>
      </w:pPr>
      <w:r>
        <w:t>3. National Geographic Information Institute(2024), *Guide to Real-Time GNSS Data Service* (위성기준점 실시간 데이터 서비스 이용 안내).</w:t>
      </w:r>
    </w:p>
    <w:p>
      <w:pPr>
        <w:ind w:firstLine="227"/>
      </w:pPr>
      <w:r>
        <w:t>4. RTCM Special Committee No. 104(2011), *Networked Transport of RTCM via Internet Protocol (Ntrip) Version 2.0*, RTCM.</w:t>
      </w:r>
    </w:p>
    <w:p>
      <w:pPr>
        <w:ind w:firstLine="227"/>
      </w:pPr>
      <w:r>
        <w:t>5. RTCM Special Committee No. 104(2016), *RTCM Standard 10403.3 for Differential GNSS Services*, RTCM.</w:t>
      </w:r>
    </w:p>
    <w:p>
      <w:pPr>
        <w:ind w:firstLine="227"/>
      </w:pPr>
      <w:r>
        <w:t>6. u-blox AG(2022), *ZED-F9P Integration Manual*, u-blox.</w:t>
      </w:r>
    </w:p>
    <w:p>
      <w:r>
        <w:br w:type="page"/>
      </w:r>
    </w:p>
    <w:p>
      <w:r>
        <w:rPr>
          <w:b/>
          <w:sz w:val="28"/>
        </w:rPr>
        <w:t>부록 A. 실험 결과 상세 자료</w:t>
      </w:r>
    </w:p>
    <w:p>
      <w:pPr>
        <w:ind w:firstLine="227"/>
      </w:pPr>
      <w:r>
        <w:t>본 부록은 본문 Ⅴ장 실험 결과의 근거가 된 주행 로그를 상세 분석한 것이다. 분석 대상은 한국교통대학교 충주캠퍼스 순환 경로(총연장 99.6m)에서 수행한 자율주행 로그이며, 전체 10308행 중 주행 상태(속도 0.4m/s 이상) 4960샘플을 대상으로 하였다.</w:t>
      </w:r>
    </w:p>
    <w:p>
      <w:pPr>
        <w:spacing w:before="240"/>
      </w:pPr>
      <w:r>
        <w:rPr>
          <w:b/>
          <w:sz w:val="24"/>
        </w:rPr>
        <w:t>A.1 횡방향 오차 분포</w:t>
      </w:r>
    </w:p>
    <w:p>
      <w:pPr>
        <w:jc w:val="center"/>
      </w:pPr>
      <w:r>
        <w:rPr>
          <w:b/>
          <w:sz w:val="18"/>
        </w:rPr>
        <w:t>&lt;Table A1&gt; Distribution of lateral tracking error</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spacing w:line="240" w:lineRule="auto" w:after="0"/>
            </w:pPr>
            <w:r>
              <w:rPr>
                <w:b/>
                <w:sz w:val="17"/>
              </w:rPr>
              <w:t>Group</w:t>
            </w:r>
          </w:p>
        </w:tc>
        <w:tc>
          <w:tcPr>
            <w:tcW w:type="dxa" w:w="1392"/>
          </w:tcPr>
          <w:p>
            <w:pPr>
              <w:spacing w:line="240" w:lineRule="auto" w:after="0"/>
            </w:pPr>
            <w:r>
              <w:rPr>
                <w:b/>
                <w:sz w:val="17"/>
              </w:rPr>
              <w:t>n</w:t>
            </w:r>
          </w:p>
        </w:tc>
        <w:tc>
          <w:tcPr>
            <w:tcW w:type="dxa" w:w="1392"/>
          </w:tcPr>
          <w:p>
            <w:pPr>
              <w:spacing w:line="240" w:lineRule="auto" w:after="0"/>
            </w:pPr>
            <w:r>
              <w:rPr>
                <w:b/>
                <w:sz w:val="17"/>
              </w:rPr>
              <w:t>Mean</w:t>
            </w:r>
          </w:p>
        </w:tc>
        <w:tc>
          <w:tcPr>
            <w:tcW w:type="dxa" w:w="1392"/>
          </w:tcPr>
          <w:p>
            <w:pPr>
              <w:spacing w:line="240" w:lineRule="auto" w:after="0"/>
            </w:pPr>
            <w:r>
              <w:rPr>
                <w:b/>
                <w:sz w:val="17"/>
              </w:rPr>
              <w:t>Median</w:t>
            </w:r>
          </w:p>
        </w:tc>
        <w:tc>
          <w:tcPr>
            <w:tcW w:type="dxa" w:w="1392"/>
          </w:tcPr>
          <w:p>
            <w:pPr>
              <w:spacing w:line="240" w:lineRule="auto" w:after="0"/>
            </w:pPr>
            <w:r>
              <w:rPr>
                <w:b/>
                <w:sz w:val="17"/>
              </w:rPr>
              <w:t>90th</w:t>
            </w:r>
          </w:p>
        </w:tc>
        <w:tc>
          <w:tcPr>
            <w:tcW w:type="dxa" w:w="1392"/>
          </w:tcPr>
          <w:p>
            <w:pPr>
              <w:spacing w:line="240" w:lineRule="auto" w:after="0"/>
            </w:pPr>
            <w:r>
              <w:rPr>
                <w:b/>
                <w:sz w:val="17"/>
              </w:rPr>
              <w:t>95th</w:t>
            </w:r>
          </w:p>
        </w:tc>
        <w:tc>
          <w:tcPr>
            <w:tcW w:type="dxa" w:w="1392"/>
          </w:tcPr>
          <w:p>
            <w:pPr>
              <w:spacing w:line="240" w:lineRule="auto" w:after="0"/>
            </w:pPr>
            <w:r>
              <w:rPr>
                <w:b/>
                <w:sz w:val="17"/>
              </w:rPr>
              <w:t>Max</w:t>
            </w:r>
          </w:p>
        </w:tc>
      </w:tr>
      <w:tr>
        <w:tc>
          <w:tcPr>
            <w:tcW w:type="dxa" w:w="1392"/>
          </w:tcPr>
          <w:p>
            <w:pPr>
              <w:spacing w:line="240" w:lineRule="auto" w:after="0"/>
            </w:pPr>
            <w:r>
              <w:rPr>
                <w:sz w:val="17"/>
              </w:rPr>
              <w:t>All (moving)</w:t>
            </w:r>
          </w:p>
        </w:tc>
        <w:tc>
          <w:tcPr>
            <w:tcW w:type="dxa" w:w="1392"/>
          </w:tcPr>
          <w:p>
            <w:pPr>
              <w:spacing w:line="240" w:lineRule="auto" w:after="0"/>
            </w:pPr>
            <w:r>
              <w:rPr>
                <w:sz w:val="17"/>
              </w:rPr>
              <w:t>4960</w:t>
            </w:r>
          </w:p>
        </w:tc>
        <w:tc>
          <w:tcPr>
            <w:tcW w:type="dxa" w:w="1392"/>
          </w:tcPr>
          <w:p>
            <w:pPr>
              <w:spacing w:line="240" w:lineRule="auto" w:after="0"/>
            </w:pPr>
            <w:r>
              <w:rPr>
                <w:sz w:val="17"/>
              </w:rPr>
              <w:t>0.336</w:t>
            </w:r>
          </w:p>
        </w:tc>
        <w:tc>
          <w:tcPr>
            <w:tcW w:type="dxa" w:w="1392"/>
          </w:tcPr>
          <w:p>
            <w:pPr>
              <w:spacing w:line="240" w:lineRule="auto" w:after="0"/>
            </w:pPr>
            <w:r>
              <w:rPr>
                <w:sz w:val="17"/>
              </w:rPr>
              <w:t>0.182</w:t>
            </w:r>
          </w:p>
        </w:tc>
        <w:tc>
          <w:tcPr>
            <w:tcW w:type="dxa" w:w="1392"/>
          </w:tcPr>
          <w:p>
            <w:pPr>
              <w:spacing w:line="240" w:lineRule="auto" w:after="0"/>
            </w:pPr>
            <w:r>
              <w:rPr>
                <w:sz w:val="17"/>
              </w:rPr>
              <w:t>1.064</w:t>
            </w:r>
          </w:p>
        </w:tc>
        <w:tc>
          <w:tcPr>
            <w:tcW w:type="dxa" w:w="1392"/>
          </w:tcPr>
          <w:p>
            <w:pPr>
              <w:spacing w:line="240" w:lineRule="auto" w:after="0"/>
            </w:pPr>
            <w:r>
              <w:rPr>
                <w:sz w:val="17"/>
              </w:rPr>
              <w:t>1.107</w:t>
            </w:r>
          </w:p>
        </w:tc>
        <w:tc>
          <w:tcPr>
            <w:tcW w:type="dxa" w:w="1392"/>
          </w:tcPr>
          <w:p>
            <w:pPr>
              <w:spacing w:line="240" w:lineRule="auto" w:after="0"/>
            </w:pPr>
            <w:r>
              <w:rPr>
                <w:sz w:val="17"/>
              </w:rPr>
              <w:t>1.336</w:t>
            </w:r>
          </w:p>
        </w:tc>
      </w:tr>
      <w:tr>
        <w:tc>
          <w:tcPr>
            <w:tcW w:type="dxa" w:w="1392"/>
          </w:tcPr>
          <w:p>
            <w:pPr>
              <w:spacing w:line="240" w:lineRule="auto" w:after="0"/>
            </w:pPr>
            <w:r>
              <w:rPr>
                <w:sz w:val="17"/>
              </w:rPr>
              <w:t>RTK Fixed</w:t>
            </w:r>
          </w:p>
        </w:tc>
        <w:tc>
          <w:tcPr>
            <w:tcW w:type="dxa" w:w="1392"/>
          </w:tcPr>
          <w:p>
            <w:pPr>
              <w:spacing w:line="240" w:lineRule="auto" w:after="0"/>
            </w:pPr>
            <w:r>
              <w:rPr>
                <w:sz w:val="17"/>
              </w:rPr>
              <w:t>4704</w:t>
            </w:r>
          </w:p>
        </w:tc>
        <w:tc>
          <w:tcPr>
            <w:tcW w:type="dxa" w:w="1392"/>
          </w:tcPr>
          <w:p>
            <w:pPr>
              <w:spacing w:line="240" w:lineRule="auto" w:after="0"/>
            </w:pPr>
            <w:r>
              <w:rPr>
                <w:sz w:val="17"/>
              </w:rPr>
              <w:t>0.309</w:t>
            </w:r>
          </w:p>
        </w:tc>
        <w:tc>
          <w:tcPr>
            <w:tcW w:type="dxa" w:w="1392"/>
          </w:tcPr>
          <w:p>
            <w:pPr>
              <w:spacing w:line="240" w:lineRule="auto" w:after="0"/>
            </w:pPr>
            <w:r>
              <w:rPr>
                <w:sz w:val="17"/>
              </w:rPr>
              <w:t>0.175</w:t>
            </w:r>
          </w:p>
        </w:tc>
        <w:tc>
          <w:tcPr>
            <w:tcW w:type="dxa" w:w="1392"/>
          </w:tcPr>
          <w:p>
            <w:pPr>
              <w:spacing w:line="240" w:lineRule="auto" w:after="0"/>
            </w:pPr>
            <w:r>
              <w:rPr>
                <w:sz w:val="17"/>
              </w:rPr>
              <w:t>0.999</w:t>
            </w:r>
          </w:p>
        </w:tc>
        <w:tc>
          <w:tcPr>
            <w:tcW w:type="dxa" w:w="1392"/>
          </w:tcPr>
          <w:p>
            <w:pPr>
              <w:spacing w:line="240" w:lineRule="auto" w:after="0"/>
            </w:pPr>
            <w:r>
              <w:rPr>
                <w:sz w:val="17"/>
              </w:rPr>
              <w:t>1.103</w:t>
            </w:r>
          </w:p>
        </w:tc>
        <w:tc>
          <w:tcPr>
            <w:tcW w:type="dxa" w:w="1392"/>
          </w:tcPr>
          <w:p>
            <w:pPr>
              <w:spacing w:line="240" w:lineRule="auto" w:after="0"/>
            </w:pPr>
            <w:r>
              <w:rPr>
                <w:sz w:val="17"/>
              </w:rPr>
              <w:t>1.157</w:t>
            </w:r>
          </w:p>
        </w:tc>
      </w:tr>
      <w:tr>
        <w:tc>
          <w:tcPr>
            <w:tcW w:type="dxa" w:w="1392"/>
          </w:tcPr>
          <w:p>
            <w:pPr>
              <w:spacing w:line="240" w:lineRule="auto" w:after="0"/>
            </w:pPr>
            <w:r>
              <w:rPr>
                <w:sz w:val="17"/>
              </w:rPr>
              <w:t>RTK Float</w:t>
            </w:r>
          </w:p>
        </w:tc>
        <w:tc>
          <w:tcPr>
            <w:tcW w:type="dxa" w:w="1392"/>
          </w:tcPr>
          <w:p>
            <w:pPr>
              <w:spacing w:line="240" w:lineRule="auto" w:after="0"/>
            </w:pPr>
            <w:r>
              <w:rPr>
                <w:sz w:val="17"/>
              </w:rPr>
              <w:t>211</w:t>
            </w:r>
          </w:p>
        </w:tc>
        <w:tc>
          <w:tcPr>
            <w:tcW w:type="dxa" w:w="1392"/>
          </w:tcPr>
          <w:p>
            <w:pPr>
              <w:spacing w:line="240" w:lineRule="auto" w:after="0"/>
            </w:pPr>
            <w:r>
              <w:rPr>
                <w:sz w:val="17"/>
              </w:rPr>
              <w:t>0.977</w:t>
            </w:r>
          </w:p>
        </w:tc>
        <w:tc>
          <w:tcPr>
            <w:tcW w:type="dxa" w:w="1392"/>
          </w:tcPr>
          <w:p>
            <w:pPr>
              <w:spacing w:line="240" w:lineRule="auto" w:after="0"/>
            </w:pPr>
            <w:r>
              <w:rPr>
                <w:sz w:val="17"/>
              </w:rPr>
              <w:t>1.073</w:t>
            </w:r>
          </w:p>
        </w:tc>
        <w:tc>
          <w:tcPr>
            <w:tcW w:type="dxa" w:w="1392"/>
          </w:tcPr>
          <w:p>
            <w:pPr>
              <w:spacing w:line="240" w:lineRule="auto" w:after="0"/>
            </w:pPr>
            <w:r>
              <w:rPr>
                <w:sz w:val="17"/>
              </w:rPr>
              <w:t>1.084</w:t>
            </w:r>
          </w:p>
        </w:tc>
        <w:tc>
          <w:tcPr>
            <w:tcW w:type="dxa" w:w="1392"/>
          </w:tcPr>
          <w:p>
            <w:pPr>
              <w:spacing w:line="240" w:lineRule="auto" w:after="0"/>
            </w:pPr>
            <w:r>
              <w:rPr>
                <w:sz w:val="17"/>
              </w:rPr>
              <w:t>1.333</w:t>
            </w:r>
          </w:p>
        </w:tc>
        <w:tc>
          <w:tcPr>
            <w:tcW w:type="dxa" w:w="1392"/>
          </w:tcPr>
          <w:p>
            <w:pPr>
              <w:spacing w:line="240" w:lineRule="auto" w:after="0"/>
            </w:pPr>
            <w:r>
              <w:rPr>
                <w:sz w:val="17"/>
              </w:rPr>
              <w:t>1.336</w:t>
            </w:r>
          </w:p>
        </w:tc>
      </w:tr>
      <w:tr>
        <w:tc>
          <w:tcPr>
            <w:tcW w:type="dxa" w:w="1392"/>
          </w:tcPr>
          <w:p>
            <w:pPr>
              <w:spacing w:line="240" w:lineRule="auto" w:after="0"/>
            </w:pPr>
            <w:r>
              <w:rPr>
                <w:sz w:val="17"/>
              </w:rPr>
              <w:t>RTK Single</w:t>
            </w:r>
          </w:p>
        </w:tc>
        <w:tc>
          <w:tcPr>
            <w:tcW w:type="dxa" w:w="1392"/>
          </w:tcPr>
          <w:p>
            <w:pPr>
              <w:spacing w:line="240" w:lineRule="auto" w:after="0"/>
            </w:pPr>
            <w:r>
              <w:rPr>
                <w:sz w:val="17"/>
              </w:rPr>
              <w:t>45</w:t>
            </w:r>
          </w:p>
        </w:tc>
        <w:tc>
          <w:tcPr>
            <w:tcW w:type="dxa" w:w="1392"/>
          </w:tcPr>
          <w:p>
            <w:pPr>
              <w:spacing w:line="240" w:lineRule="auto" w:after="0"/>
            </w:pPr>
            <w:r>
              <w:rPr>
                <w:sz w:val="17"/>
              </w:rPr>
              <w:t>0.235</w:t>
            </w:r>
          </w:p>
        </w:tc>
        <w:tc>
          <w:tcPr>
            <w:tcW w:type="dxa" w:w="1392"/>
          </w:tcPr>
          <w:p>
            <w:pPr>
              <w:spacing w:line="240" w:lineRule="auto" w:after="0"/>
            </w:pPr>
            <w:r>
              <w:rPr>
                <w:sz w:val="17"/>
              </w:rPr>
              <w:t>0.169</w:t>
            </w:r>
          </w:p>
        </w:tc>
        <w:tc>
          <w:tcPr>
            <w:tcW w:type="dxa" w:w="1392"/>
          </w:tcPr>
          <w:p>
            <w:pPr>
              <w:spacing w:line="240" w:lineRule="auto" w:after="0"/>
            </w:pPr>
            <w:r>
              <w:rPr>
                <w:sz w:val="17"/>
              </w:rPr>
              <w:t>0.548</w:t>
            </w:r>
          </w:p>
        </w:tc>
        <w:tc>
          <w:tcPr>
            <w:tcW w:type="dxa" w:w="1392"/>
          </w:tcPr>
          <w:p>
            <w:pPr>
              <w:spacing w:line="240" w:lineRule="auto" w:after="0"/>
            </w:pPr>
            <w:r>
              <w:rPr>
                <w:sz w:val="17"/>
              </w:rPr>
              <w:t>0.684</w:t>
            </w:r>
          </w:p>
        </w:tc>
        <w:tc>
          <w:tcPr>
            <w:tcW w:type="dxa" w:w="1392"/>
          </w:tcPr>
          <w:p>
            <w:pPr>
              <w:spacing w:line="240" w:lineRule="auto" w:after="0"/>
            </w:pPr>
            <w:r>
              <w:rPr>
                <w:sz w:val="17"/>
              </w:rPr>
              <w:t>0.718</w:t>
            </w:r>
          </w:p>
        </w:tc>
      </w:tr>
    </w:tbl>
    <w:p/>
    <w:p>
      <w:pPr>
        <w:ind w:firstLine="227"/>
      </w:pPr>
      <w:r>
        <w:t>(단위: m)</w:t>
      </w:r>
    </w:p>
    <w:p>
      <w:pPr>
        <w:ind w:firstLine="227"/>
      </w:pPr>
      <w:r>
        <w:t>오차 분포를 누적분포함수로 나타내면 &lt;Fig. A1&gt;과 같다. RTK Fixed 구간은 중앙값 0.175m, 95백분위 1.103m인 반면, RTK Float 구간은 중앙값이 1.073m로 대부분의 샘플이 1m 이상의 오차를 보였다. 이는 Float 구간에서 오차가 산발적으로 발생한 것이 아니라 해당 구간 전체에 걸쳐 지속적으로 벗어났음을 의미한다.</w:t>
      </w:r>
    </w:p>
    <w:p>
      <w:pPr>
        <w:jc w:val="center"/>
      </w:pPr>
      <w:r>
        <w:drawing>
          <wp:inline xmlns:a="http://schemas.openxmlformats.org/drawingml/2006/main" xmlns:pic="http://schemas.openxmlformats.org/drawingml/2006/picture">
            <wp:extent cx="3600000" cy="2752941"/>
            <wp:docPr id="5" name="Picture 5"/>
            <wp:cNvGraphicFramePr>
              <a:graphicFrameLocks noChangeAspect="1"/>
            </wp:cNvGraphicFramePr>
            <a:graphic>
              <a:graphicData uri="http://schemas.openxmlformats.org/drawingml/2006/picture">
                <pic:pic>
                  <pic:nvPicPr>
                    <pic:cNvPr id="0" name="FigA2_cdf.png"/>
                    <pic:cNvPicPr/>
                  </pic:nvPicPr>
                  <pic:blipFill>
                    <a:blip r:embed="rId13"/>
                    <a:stretch>
                      <a:fillRect/>
                    </a:stretch>
                  </pic:blipFill>
                  <pic:spPr>
                    <a:xfrm>
                      <a:off x="0" y="0"/>
                      <a:ext cx="3600000" cy="2752941"/>
                    </a:xfrm>
                    <a:prstGeom prst="rect"/>
                  </pic:spPr>
                </pic:pic>
              </a:graphicData>
            </a:graphic>
          </wp:inline>
        </w:drawing>
      </w:r>
    </w:p>
    <w:p>
      <w:pPr>
        <w:jc w:val="center"/>
      </w:pPr>
      <w:r>
        <w:rPr>
          <w:b/>
          <w:sz w:val="18"/>
        </w:rPr>
        <w:t>&lt;Fig. A1&gt; Cumulative distribution of lateral error by RTK status</w:t>
      </w:r>
    </w:p>
    <w:p>
      <w:pPr>
        <w:spacing w:before="240"/>
      </w:pPr>
      <w:r>
        <w:rPr>
          <w:b/>
          <w:sz w:val="24"/>
        </w:rPr>
        <w:t>A.2 시간에 따른 오차와 RTK 상태</w:t>
      </w:r>
    </w:p>
    <w:p>
      <w:pPr>
        <w:ind w:firstLine="227"/>
      </w:pPr>
      <w:r>
        <w:t>주행 전 구간의 횡방향 오차 추이와 RTK 해 상태를 같은 시간축에 나타내면 &lt;Fig. A2&gt;와 같다. RTK 해가 Float으로 저하되는 구간과 횡방향 오차가 증가하는 구간이 시간적으로 일치한다.</w:t>
      </w:r>
    </w:p>
    <w:p>
      <w:pPr>
        <w:jc w:val="center"/>
      </w:pPr>
      <w:r>
        <w:drawing>
          <wp:inline xmlns:a="http://schemas.openxmlformats.org/drawingml/2006/main" xmlns:pic="http://schemas.openxmlformats.org/drawingml/2006/picture">
            <wp:extent cx="5040000" cy="2880000"/>
            <wp:docPr id="6" name="Picture 6"/>
            <wp:cNvGraphicFramePr>
              <a:graphicFrameLocks noChangeAspect="1"/>
            </wp:cNvGraphicFramePr>
            <a:graphic>
              <a:graphicData uri="http://schemas.openxmlformats.org/drawingml/2006/picture">
                <pic:pic>
                  <pic:nvPicPr>
                    <pic:cNvPr id="0" name="FigA1_timeseries.png"/>
                    <pic:cNvPicPr/>
                  </pic:nvPicPr>
                  <pic:blipFill>
                    <a:blip r:embed="rId14"/>
                    <a:stretch>
                      <a:fillRect/>
                    </a:stretch>
                  </pic:blipFill>
                  <pic:spPr>
                    <a:xfrm>
                      <a:off x="0" y="0"/>
                      <a:ext cx="5040000" cy="2880000"/>
                    </a:xfrm>
                    <a:prstGeom prst="rect"/>
                  </pic:spPr>
                </pic:pic>
              </a:graphicData>
            </a:graphic>
          </wp:inline>
        </w:drawing>
      </w:r>
    </w:p>
    <w:p>
      <w:pPr>
        <w:jc w:val="center"/>
      </w:pPr>
      <w:r>
        <w:rPr>
          <w:b/>
          <w:sz w:val="18"/>
        </w:rPr>
        <w:t>&lt;Fig. A2&gt; Time series of lateral error with RTK solution status</w:t>
      </w:r>
    </w:p>
    <w:p>
      <w:pPr>
        <w:spacing w:before="240"/>
      </w:pPr>
      <w:r>
        <w:rPr>
          <w:b/>
          <w:sz w:val="24"/>
        </w:rPr>
        <w:t>A.3 경로 곡률과 추종 오차의 관계</w:t>
      </w:r>
    </w:p>
    <w:p>
      <w:pPr>
        <w:jc w:val="center"/>
      </w:pPr>
      <w:r>
        <w:rPr>
          <w:b/>
          <w:sz w:val="18"/>
        </w:rPr>
        <w:t>&lt;Table A2&gt; Tracking error by path curvature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after="0"/>
            </w:pPr>
            <w:r>
              <w:rPr>
                <w:b/>
                <w:sz w:val="17"/>
              </w:rPr>
              <w:t>Curve radius</w:t>
            </w:r>
          </w:p>
        </w:tc>
        <w:tc>
          <w:tcPr>
            <w:tcW w:type="dxa" w:w="1949"/>
          </w:tcPr>
          <w:p>
            <w:pPr>
              <w:spacing w:line="240" w:lineRule="auto" w:after="0"/>
            </w:pPr>
            <w:r>
              <w:rPr>
                <w:b/>
                <w:sz w:val="17"/>
              </w:rPr>
              <w:t>n</w:t>
            </w:r>
          </w:p>
        </w:tc>
        <w:tc>
          <w:tcPr>
            <w:tcW w:type="dxa" w:w="1949"/>
          </w:tcPr>
          <w:p>
            <w:pPr>
              <w:spacing w:line="240" w:lineRule="auto" w:after="0"/>
            </w:pPr>
            <w:r>
              <w:rPr>
                <w:b/>
                <w:sz w:val="17"/>
              </w:rPr>
              <w:t>Mean error</w:t>
            </w:r>
          </w:p>
        </w:tc>
        <w:tc>
          <w:tcPr>
            <w:tcW w:type="dxa" w:w="1949"/>
          </w:tcPr>
          <w:p>
            <w:pPr>
              <w:spacing w:line="240" w:lineRule="auto" w:after="0"/>
            </w:pPr>
            <w:r>
              <w:rPr>
                <w:b/>
                <w:sz w:val="17"/>
              </w:rPr>
              <w:t>95th</w:t>
            </w:r>
          </w:p>
        </w:tc>
        <w:tc>
          <w:tcPr>
            <w:tcW w:type="dxa" w:w="1949"/>
          </w:tcPr>
          <w:p>
            <w:pPr>
              <w:spacing w:line="240" w:lineRule="auto" w:after="0"/>
            </w:pPr>
            <w:r>
              <w:rPr>
                <w:b/>
                <w:sz w:val="17"/>
              </w:rPr>
              <w:t>Max</w:t>
            </w:r>
          </w:p>
        </w:tc>
      </w:tr>
      <w:tr>
        <w:tc>
          <w:tcPr>
            <w:tcW w:type="dxa" w:w="1949"/>
          </w:tcPr>
          <w:p>
            <w:pPr>
              <w:spacing w:line="240" w:lineRule="auto" w:after="0"/>
            </w:pPr>
            <w:r>
              <w:rPr>
                <w:sz w:val="17"/>
              </w:rPr>
              <w:t>&lt; 3.5 m (sharp)</w:t>
            </w:r>
          </w:p>
        </w:tc>
        <w:tc>
          <w:tcPr>
            <w:tcW w:type="dxa" w:w="1949"/>
          </w:tcPr>
          <w:p>
            <w:pPr>
              <w:spacing w:line="240" w:lineRule="auto" w:after="0"/>
            </w:pPr>
            <w:r>
              <w:rPr>
                <w:sz w:val="17"/>
              </w:rPr>
              <w:t>64</w:t>
            </w:r>
          </w:p>
        </w:tc>
        <w:tc>
          <w:tcPr>
            <w:tcW w:type="dxa" w:w="1949"/>
          </w:tcPr>
          <w:p>
            <w:pPr>
              <w:spacing w:line="240" w:lineRule="auto" w:after="0"/>
            </w:pPr>
            <w:r>
              <w:rPr>
                <w:sz w:val="17"/>
              </w:rPr>
              <w:t>0.983</w:t>
            </w:r>
          </w:p>
        </w:tc>
        <w:tc>
          <w:tcPr>
            <w:tcW w:type="dxa" w:w="1949"/>
          </w:tcPr>
          <w:p>
            <w:pPr>
              <w:spacing w:line="240" w:lineRule="auto" w:after="0"/>
            </w:pPr>
            <w:r>
              <w:rPr>
                <w:sz w:val="17"/>
              </w:rPr>
              <w:t>0.993</w:t>
            </w:r>
          </w:p>
        </w:tc>
        <w:tc>
          <w:tcPr>
            <w:tcW w:type="dxa" w:w="1949"/>
          </w:tcPr>
          <w:p>
            <w:pPr>
              <w:spacing w:line="240" w:lineRule="auto" w:after="0"/>
            </w:pPr>
            <w:r>
              <w:rPr>
                <w:sz w:val="17"/>
              </w:rPr>
              <w:t>0.994</w:t>
            </w:r>
          </w:p>
        </w:tc>
      </w:tr>
      <w:tr>
        <w:tc>
          <w:tcPr>
            <w:tcW w:type="dxa" w:w="1949"/>
          </w:tcPr>
          <w:p>
            <w:pPr>
              <w:spacing w:line="240" w:lineRule="auto" w:after="0"/>
            </w:pPr>
            <w:r>
              <w:rPr>
                <w:sz w:val="17"/>
              </w:rPr>
              <w:t>3.5-10 m</w:t>
            </w:r>
          </w:p>
        </w:tc>
        <w:tc>
          <w:tcPr>
            <w:tcW w:type="dxa" w:w="1949"/>
          </w:tcPr>
          <w:p>
            <w:pPr>
              <w:spacing w:line="240" w:lineRule="auto" w:after="0"/>
            </w:pPr>
            <w:r>
              <w:rPr>
                <w:sz w:val="17"/>
              </w:rPr>
              <w:t>727</w:t>
            </w:r>
          </w:p>
        </w:tc>
        <w:tc>
          <w:tcPr>
            <w:tcW w:type="dxa" w:w="1949"/>
          </w:tcPr>
          <w:p>
            <w:pPr>
              <w:spacing w:line="240" w:lineRule="auto" w:after="0"/>
            </w:pPr>
            <w:r>
              <w:rPr>
                <w:sz w:val="17"/>
              </w:rPr>
              <w:t>0.355</w:t>
            </w:r>
          </w:p>
        </w:tc>
        <w:tc>
          <w:tcPr>
            <w:tcW w:type="dxa" w:w="1949"/>
          </w:tcPr>
          <w:p>
            <w:pPr>
              <w:spacing w:line="240" w:lineRule="auto" w:after="0"/>
            </w:pPr>
            <w:r>
              <w:rPr>
                <w:sz w:val="17"/>
              </w:rPr>
              <w:t>0.990</w:t>
            </w:r>
          </w:p>
        </w:tc>
        <w:tc>
          <w:tcPr>
            <w:tcW w:type="dxa" w:w="1949"/>
          </w:tcPr>
          <w:p>
            <w:pPr>
              <w:spacing w:line="240" w:lineRule="auto" w:after="0"/>
            </w:pPr>
            <w:r>
              <w:rPr>
                <w:sz w:val="17"/>
              </w:rPr>
              <w:t>0.997</w:t>
            </w:r>
          </w:p>
        </w:tc>
      </w:tr>
      <w:tr>
        <w:tc>
          <w:tcPr>
            <w:tcW w:type="dxa" w:w="1949"/>
          </w:tcPr>
          <w:p>
            <w:pPr>
              <w:spacing w:line="240" w:lineRule="auto" w:after="0"/>
            </w:pPr>
            <w:r>
              <w:rPr>
                <w:sz w:val="17"/>
              </w:rPr>
              <w:t>10-30 m</w:t>
            </w:r>
          </w:p>
        </w:tc>
        <w:tc>
          <w:tcPr>
            <w:tcW w:type="dxa" w:w="1949"/>
          </w:tcPr>
          <w:p>
            <w:pPr>
              <w:spacing w:line="240" w:lineRule="auto" w:after="0"/>
            </w:pPr>
            <w:r>
              <w:rPr>
                <w:sz w:val="17"/>
              </w:rPr>
              <w:t>1394</w:t>
            </w:r>
          </w:p>
        </w:tc>
        <w:tc>
          <w:tcPr>
            <w:tcW w:type="dxa" w:w="1949"/>
          </w:tcPr>
          <w:p>
            <w:pPr>
              <w:spacing w:line="240" w:lineRule="auto" w:after="0"/>
            </w:pPr>
            <w:r>
              <w:rPr>
                <w:sz w:val="17"/>
              </w:rPr>
              <w:t>0.132</w:t>
            </w:r>
          </w:p>
        </w:tc>
        <w:tc>
          <w:tcPr>
            <w:tcW w:type="dxa" w:w="1949"/>
          </w:tcPr>
          <w:p>
            <w:pPr>
              <w:spacing w:line="240" w:lineRule="auto" w:after="0"/>
            </w:pPr>
            <w:r>
              <w:rPr>
                <w:sz w:val="17"/>
              </w:rPr>
              <w:t>0.408</w:t>
            </w:r>
          </w:p>
        </w:tc>
        <w:tc>
          <w:tcPr>
            <w:tcW w:type="dxa" w:w="1949"/>
          </w:tcPr>
          <w:p>
            <w:pPr>
              <w:spacing w:line="240" w:lineRule="auto" w:after="0"/>
            </w:pPr>
            <w:r>
              <w:rPr>
                <w:sz w:val="17"/>
              </w:rPr>
              <w:t>0.983</w:t>
            </w:r>
          </w:p>
        </w:tc>
      </w:tr>
      <w:tr>
        <w:tc>
          <w:tcPr>
            <w:tcW w:type="dxa" w:w="1949"/>
          </w:tcPr>
          <w:p>
            <w:pPr>
              <w:spacing w:line="240" w:lineRule="auto" w:after="0"/>
            </w:pPr>
            <w:r>
              <w:rPr>
                <w:sz w:val="17"/>
              </w:rPr>
              <w:t>&gt; 30 m (straight)</w:t>
            </w:r>
          </w:p>
        </w:tc>
        <w:tc>
          <w:tcPr>
            <w:tcW w:type="dxa" w:w="1949"/>
          </w:tcPr>
          <w:p>
            <w:pPr>
              <w:spacing w:line="240" w:lineRule="auto" w:after="0"/>
            </w:pPr>
            <w:r>
              <w:rPr>
                <w:sz w:val="17"/>
              </w:rPr>
              <w:t>2518</w:t>
            </w:r>
          </w:p>
        </w:tc>
        <w:tc>
          <w:tcPr>
            <w:tcW w:type="dxa" w:w="1949"/>
          </w:tcPr>
          <w:p>
            <w:pPr>
              <w:spacing w:line="240" w:lineRule="auto" w:after="0"/>
            </w:pPr>
            <w:r>
              <w:rPr>
                <w:sz w:val="17"/>
              </w:rPr>
              <w:t>0.376</w:t>
            </w:r>
          </w:p>
        </w:tc>
        <w:tc>
          <w:tcPr>
            <w:tcW w:type="dxa" w:w="1949"/>
          </w:tcPr>
          <w:p>
            <w:pPr>
              <w:spacing w:line="240" w:lineRule="auto" w:after="0"/>
            </w:pPr>
            <w:r>
              <w:rPr>
                <w:sz w:val="17"/>
              </w:rPr>
              <w:t>1.138</w:t>
            </w:r>
          </w:p>
        </w:tc>
        <w:tc>
          <w:tcPr>
            <w:tcW w:type="dxa" w:w="1949"/>
          </w:tcPr>
          <w:p>
            <w:pPr>
              <w:spacing w:line="240" w:lineRule="auto" w:after="0"/>
            </w:pPr>
            <w:r>
              <w:rPr>
                <w:sz w:val="17"/>
              </w:rPr>
              <w:t>1.157</w:t>
            </w:r>
          </w:p>
        </w:tc>
      </w:tr>
    </w:tbl>
    <w:p/>
    <w:p>
      <w:pPr>
        <w:ind w:firstLine="227"/>
      </w:pPr>
      <w:r>
        <w:t>(단위: m)</w:t>
      </w:r>
    </w:p>
    <w:p>
      <w:pPr>
        <w:ind w:firstLine="227"/>
      </w:pPr>
      <w:r>
        <w:t>곡률반경 3.5m 미만의 급커브 구간에서 평균 오차가 0.983m로 가장 컸다. 곡률반경 10~30m 구간은 0.132m로 가장 양호하였다. 곡률반경 30m 이상의 직선 구간에서 평균 오차가 0.376m로 나타난 것은, 급커브 직후의 복귀 구간이 곡률 기준으로는 직선으로 분류되기 때문이다. 즉 이 값은 직선 자체의 추종 성능이 아니라 급커브 이탈 이후의 회복 지연을 반영한다.</w:t>
      </w:r>
    </w:p>
    <w:p>
      <w:pPr>
        <w:jc w:val="center"/>
      </w:pPr>
      <w:r>
        <w:drawing>
          <wp:inline xmlns:a="http://schemas.openxmlformats.org/drawingml/2006/main" xmlns:pic="http://schemas.openxmlformats.org/drawingml/2006/picture">
            <wp:extent cx="3600000" cy="2752941"/>
            <wp:docPr id="7" name="Picture 7"/>
            <wp:cNvGraphicFramePr>
              <a:graphicFrameLocks noChangeAspect="1"/>
            </wp:cNvGraphicFramePr>
            <a:graphic>
              <a:graphicData uri="http://schemas.openxmlformats.org/drawingml/2006/picture">
                <pic:pic>
                  <pic:nvPicPr>
                    <pic:cNvPr id="0" name="FigA3_radius_vs_error.png"/>
                    <pic:cNvPicPr/>
                  </pic:nvPicPr>
                  <pic:blipFill>
                    <a:blip r:embed="rId15"/>
                    <a:stretch>
                      <a:fillRect/>
                    </a:stretch>
                  </pic:blipFill>
                  <pic:spPr>
                    <a:xfrm>
                      <a:off x="0" y="0"/>
                      <a:ext cx="3600000" cy="2752941"/>
                    </a:xfrm>
                    <a:prstGeom prst="rect"/>
                  </pic:spPr>
                </pic:pic>
              </a:graphicData>
            </a:graphic>
          </wp:inline>
        </w:drawing>
      </w:r>
    </w:p>
    <w:p>
      <w:pPr>
        <w:jc w:val="center"/>
      </w:pPr>
      <w:r>
        <w:rPr>
          <w:b/>
          <w:sz w:val="18"/>
        </w:rPr>
        <w:t>&lt;Fig. A3&gt; Scatter plot of curve radius versus lateral error</w:t>
      </w:r>
    </w:p>
    <w:p>
      <w:pPr>
        <w:spacing w:before="240"/>
      </w:pPr>
      <w:r>
        <w:rPr>
          <w:b/>
          <w:sz w:val="24"/>
        </w:rPr>
        <w:t>A.4 속도 및 조향 명령 프로파일</w:t>
      </w:r>
    </w:p>
    <w:p>
      <w:pPr>
        <w:ind w:firstLine="227"/>
      </w:pPr>
      <w:r>
        <w:t>주행 중 평균 속도는 0.69m/s(2.5km/h)였으며, 조향 명령의 절대평균은 3.09°, 최대값은 14.74°로 물리 한계인 18°에 도달하지 않았다. 조향 포화는 0회 발생하였다. 이는 Ⅲ장에서 적용한 곡률 제약 경로 평활화가 유효하게 작동하여, 전 구간이 차량의 기구학적 한계 내에서 추종 가능하였음을 의미한다.</w:t>
      </w:r>
    </w:p>
    <w:p>
      <w:pPr>
        <w:jc w:val="center"/>
      </w:pPr>
      <w:r>
        <w:drawing>
          <wp:inline xmlns:a="http://schemas.openxmlformats.org/drawingml/2006/main" xmlns:pic="http://schemas.openxmlformats.org/drawingml/2006/picture">
            <wp:extent cx="5040000" cy="2448000"/>
            <wp:docPr id="8" name="Picture 8"/>
            <wp:cNvGraphicFramePr>
              <a:graphicFrameLocks noChangeAspect="1"/>
            </wp:cNvGraphicFramePr>
            <a:graphic>
              <a:graphicData uri="http://schemas.openxmlformats.org/drawingml/2006/picture">
                <pic:pic>
                  <pic:nvPicPr>
                    <pic:cNvPr id="0" name="FigA4_profile.png"/>
                    <pic:cNvPicPr/>
                  </pic:nvPicPr>
                  <pic:blipFill>
                    <a:blip r:embed="rId16"/>
                    <a:stretch>
                      <a:fillRect/>
                    </a:stretch>
                  </pic:blipFill>
                  <pic:spPr>
                    <a:xfrm>
                      <a:off x="0" y="0"/>
                      <a:ext cx="5040000" cy="2448000"/>
                    </a:xfrm>
                    <a:prstGeom prst="rect"/>
                  </pic:spPr>
                </pic:pic>
              </a:graphicData>
            </a:graphic>
          </wp:inline>
        </w:drawing>
      </w:r>
    </w:p>
    <w:p>
      <w:pPr>
        <w:jc w:val="center"/>
      </w:pPr>
      <w:r>
        <w:rPr>
          <w:b/>
          <w:sz w:val="18"/>
        </w:rPr>
        <w:t>&lt;Fig. A4&gt; Speed and steering command profile during the lap</w:t>
      </w:r>
    </w:p>
    <w:p>
      <w:pPr>
        <w:spacing w:before="240"/>
      </w:pPr>
      <w:r>
        <w:rPr>
          <w:b/>
          <w:sz w:val="24"/>
        </w:rPr>
        <w:t>A.5 방위각 초기화 효과</w:t>
      </w:r>
    </w:p>
    <w:p>
      <w:pPr>
        <w:jc w:val="center"/>
      </w:pPr>
      <w:r>
        <w:rPr>
          <w:b/>
          <w:sz w:val="18"/>
        </w:rPr>
        <w:t>&lt;Table A3&gt; Heading error before and after initialization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pacing w:line="240" w:lineRule="auto" w:after="0"/>
            </w:pPr>
            <w:r>
              <w:rPr>
                <w:b/>
                <w:sz w:val="17"/>
              </w:rPr>
              <w:t>Condition</w:t>
            </w:r>
          </w:p>
        </w:tc>
        <w:tc>
          <w:tcPr>
            <w:tcW w:type="dxa" w:w="2436"/>
          </w:tcPr>
          <w:p>
            <w:pPr>
              <w:spacing w:line="240" w:lineRule="auto" w:after="0"/>
            </w:pPr>
            <w:r>
              <w:rPr>
                <w:b/>
                <w:sz w:val="17"/>
              </w:rPr>
              <w:t>n</w:t>
            </w:r>
          </w:p>
        </w:tc>
        <w:tc>
          <w:tcPr>
            <w:tcW w:type="dxa" w:w="2436"/>
          </w:tcPr>
          <w:p>
            <w:pPr>
              <w:spacing w:line="240" w:lineRule="auto" w:after="0"/>
            </w:pPr>
            <w:r>
              <w:rPr>
                <w:b/>
                <w:sz w:val="17"/>
              </w:rPr>
              <w:t>Median</w:t>
            </w:r>
          </w:p>
        </w:tc>
        <w:tc>
          <w:tcPr>
            <w:tcW w:type="dxa" w:w="2436"/>
          </w:tcPr>
          <w:p>
            <w:pPr>
              <w:spacing w:line="240" w:lineRule="auto" w:after="0"/>
            </w:pPr>
            <w:r>
              <w:rPr>
                <w:b/>
                <w:sz w:val="17"/>
              </w:rPr>
              <w:t>Std. dev.</w:t>
            </w:r>
          </w:p>
        </w:tc>
      </w:tr>
      <w:tr>
        <w:tc>
          <w:tcPr>
            <w:tcW w:type="dxa" w:w="2436"/>
          </w:tcPr>
          <w:p>
            <w:pPr>
              <w:spacing w:line="240" w:lineRule="auto" w:after="0"/>
            </w:pPr>
            <w:r>
              <w:rPr>
                <w:sz w:val="17"/>
              </w:rPr>
              <w:t>Before initialization</w:t>
            </w:r>
          </w:p>
        </w:tc>
        <w:tc>
          <w:tcPr>
            <w:tcW w:type="dxa" w:w="2436"/>
          </w:tcPr>
          <w:p>
            <w:pPr>
              <w:spacing w:line="240" w:lineRule="auto" w:after="0"/>
            </w:pPr>
            <w:r>
              <w:rPr>
                <w:sz w:val="17"/>
              </w:rPr>
              <w:t>225</w:t>
            </w:r>
          </w:p>
        </w:tc>
        <w:tc>
          <w:tcPr>
            <w:tcW w:type="dxa" w:w="2436"/>
          </w:tcPr>
          <w:p>
            <w:pPr>
              <w:spacing w:line="240" w:lineRule="auto" w:after="0"/>
            </w:pPr>
            <w:r>
              <w:rPr>
                <w:sz w:val="17"/>
              </w:rPr>
              <w:t>-134.71°</w:t>
            </w:r>
          </w:p>
        </w:tc>
        <w:tc>
          <w:tcPr>
            <w:tcW w:type="dxa" w:w="2436"/>
          </w:tcPr>
          <w:p>
            <w:pPr>
              <w:spacing w:line="240" w:lineRule="auto" w:after="0"/>
            </w:pPr>
            <w:r>
              <w:rPr>
                <w:sz w:val="17"/>
              </w:rPr>
              <w:t>10.32°</w:t>
            </w:r>
          </w:p>
        </w:tc>
      </w:tr>
      <w:tr>
        <w:tc>
          <w:tcPr>
            <w:tcW w:type="dxa" w:w="2436"/>
          </w:tcPr>
          <w:p>
            <w:pPr>
              <w:spacing w:line="240" w:lineRule="auto" w:after="0"/>
            </w:pPr>
            <w:r>
              <w:rPr>
                <w:sz w:val="17"/>
              </w:rPr>
              <w:t>After initialization</w:t>
            </w:r>
          </w:p>
        </w:tc>
        <w:tc>
          <w:tcPr>
            <w:tcW w:type="dxa" w:w="2436"/>
          </w:tcPr>
          <w:p>
            <w:pPr>
              <w:spacing w:line="240" w:lineRule="auto" w:after="0"/>
            </w:pPr>
            <w:r>
              <w:rPr>
                <w:sz w:val="17"/>
              </w:rPr>
              <w:t>4627</w:t>
            </w:r>
          </w:p>
        </w:tc>
        <w:tc>
          <w:tcPr>
            <w:tcW w:type="dxa" w:w="2436"/>
          </w:tcPr>
          <w:p>
            <w:pPr>
              <w:spacing w:line="240" w:lineRule="auto" w:after="0"/>
            </w:pPr>
            <w:r>
              <w:rPr>
                <w:sz w:val="17"/>
              </w:rPr>
              <w:t>+1.02°</w:t>
            </w:r>
          </w:p>
        </w:tc>
        <w:tc>
          <w:tcPr>
            <w:tcW w:type="dxa" w:w="2436"/>
          </w:tcPr>
          <w:p>
            <w:pPr>
              <w:spacing w:line="240" w:lineRule="auto" w:after="0"/>
            </w:pPr>
            <w:r>
              <w:rPr>
                <w:sz w:val="17"/>
              </w:rPr>
              <w:t>8.86°</w:t>
            </w:r>
          </w:p>
        </w:tc>
      </w:tr>
    </w:tbl>
    <w:p/>
    <w:p>
      <w:pPr>
        <w:ind w:firstLine="227"/>
      </w:pPr>
      <w:r>
        <w:t>방위각 오프셋이 적용되기 전 구간에서는 보고 방위각과 GNSS 이동방향의 차이가 중앙값 -134.71°로 나타났다. 이는 IMU 자력계가 지도 좌표계와 정렬되어 있지 않음을 보여준다. 오프셋 적용 후에는 중앙값 +1.02°로 감소하여, Ⅳ장에서 제안한 초기화 기법이 유효함을 확인하였다.</w:t>
      </w:r>
    </w:p>
    <w:p>
      <w:pPr>
        <w:jc w:val="center"/>
      </w:pPr>
      <w:r>
        <w:drawing>
          <wp:inline xmlns:a="http://schemas.openxmlformats.org/drawingml/2006/main" xmlns:pic="http://schemas.openxmlformats.org/drawingml/2006/picture">
            <wp:extent cx="3600000" cy="2752941"/>
            <wp:docPr id="9" name="Picture 9"/>
            <wp:cNvGraphicFramePr>
              <a:graphicFrameLocks noChangeAspect="1"/>
            </wp:cNvGraphicFramePr>
            <a:graphic>
              <a:graphicData uri="http://schemas.openxmlformats.org/drawingml/2006/picture">
                <pic:pic>
                  <pic:nvPicPr>
                    <pic:cNvPr id="0" name="FigA5_heading_hist.png"/>
                    <pic:cNvPicPr/>
                  </pic:nvPicPr>
                  <pic:blipFill>
                    <a:blip r:embed="rId17"/>
                    <a:stretch>
                      <a:fillRect/>
                    </a:stretch>
                  </pic:blipFill>
                  <pic:spPr>
                    <a:xfrm>
                      <a:off x="0" y="0"/>
                      <a:ext cx="3600000" cy="2752941"/>
                    </a:xfrm>
                    <a:prstGeom prst="rect"/>
                  </pic:spPr>
                </pic:pic>
              </a:graphicData>
            </a:graphic>
          </wp:inline>
        </w:drawing>
      </w:r>
    </w:p>
    <w:p>
      <w:pPr>
        <w:jc w:val="center"/>
      </w:pPr>
      <w:r>
        <w:rPr>
          <w:b/>
          <w:sz w:val="18"/>
        </w:rPr>
        <w:t>&lt;Fig. A5&gt; Histogram of heading error before and after initialization</w:t>
      </w:r>
    </w:p>
    <w:p>
      <w:pPr>
        <w:spacing w:before="240"/>
      </w:pPr>
      <w:r>
        <w:rPr>
          <w:b/>
          <w:sz w:val="24"/>
        </w:rPr>
        <w:t>A.6 주행 요약</w:t>
      </w:r>
    </w:p>
    <w:p>
      <w:pPr>
        <w:jc w:val="center"/>
      </w:pPr>
      <w:r>
        <w:rPr>
          <w:b/>
          <w:sz w:val="18"/>
        </w:rPr>
        <w:t>&lt;Table A4&gt; Summary of the test run</w:t>
      </w:r>
    </w:p>
    <w:tbl>
      <w:tblPr>
        <w:tblStyle w:val="TableGrid"/>
        <w:tblW w:type="auto" w:w="0"/>
        <w:tblLook w:firstColumn="1" w:firstRow="1" w:lastColumn="0" w:lastRow="0" w:noHBand="0" w:noVBand="1" w:val="04A0"/>
      </w:tblPr>
      <w:tblGrid>
        <w:gridCol w:w="4873"/>
        <w:gridCol w:w="4873"/>
      </w:tblGrid>
      <w:tr>
        <w:tc>
          <w:tcPr>
            <w:tcW w:type="dxa" w:w="4873"/>
          </w:tcPr>
          <w:p>
            <w:pPr>
              <w:spacing w:line="240" w:lineRule="auto" w:after="0"/>
            </w:pPr>
            <w:r>
              <w:rPr>
                <w:b/>
                <w:sz w:val="17"/>
              </w:rPr>
              <w:t>Item</w:t>
            </w:r>
          </w:p>
        </w:tc>
        <w:tc>
          <w:tcPr>
            <w:tcW w:type="dxa" w:w="4873"/>
          </w:tcPr>
          <w:p>
            <w:pPr>
              <w:spacing w:line="240" w:lineRule="auto" w:after="0"/>
            </w:pPr>
            <w:r>
              <w:rPr>
                <w:b/>
                <w:sz w:val="17"/>
              </w:rPr>
              <w:t>Value</w:t>
            </w:r>
          </w:p>
        </w:tc>
      </w:tr>
      <w:tr>
        <w:tc>
          <w:tcPr>
            <w:tcW w:type="dxa" w:w="4873"/>
          </w:tcPr>
          <w:p>
            <w:pPr>
              <w:spacing w:line="240" w:lineRule="auto" w:after="0"/>
            </w:pPr>
            <w:r>
              <w:rPr>
                <w:sz w:val="17"/>
              </w:rPr>
              <w:t>Path length</w:t>
            </w:r>
          </w:p>
        </w:tc>
        <w:tc>
          <w:tcPr>
            <w:tcW w:type="dxa" w:w="4873"/>
          </w:tcPr>
          <w:p>
            <w:pPr>
              <w:spacing w:line="240" w:lineRule="auto" w:after="0"/>
            </w:pPr>
            <w:r>
              <w:rPr>
                <w:sz w:val="17"/>
              </w:rPr>
              <w:t>99.6 m (closed loop)</w:t>
            </w:r>
          </w:p>
        </w:tc>
      </w:tr>
      <w:tr>
        <w:tc>
          <w:tcPr>
            <w:tcW w:type="dxa" w:w="4873"/>
          </w:tcPr>
          <w:p>
            <w:pPr>
              <w:spacing w:line="240" w:lineRule="auto" w:after="0"/>
            </w:pPr>
            <w:r>
              <w:rPr>
                <w:sz w:val="17"/>
              </w:rPr>
              <w:t>Driving time</w:t>
            </w:r>
          </w:p>
        </w:tc>
        <w:tc>
          <w:tcPr>
            <w:tcW w:type="dxa" w:w="4873"/>
          </w:tcPr>
          <w:p>
            <w:pPr>
              <w:spacing w:line="240" w:lineRule="auto" w:after="0"/>
            </w:pPr>
            <w:r>
              <w:rPr>
                <w:sz w:val="17"/>
              </w:rPr>
              <w:t>338 s</w:t>
            </w:r>
          </w:p>
        </w:tc>
      </w:tr>
      <w:tr>
        <w:tc>
          <w:tcPr>
            <w:tcW w:type="dxa" w:w="4873"/>
          </w:tcPr>
          <w:p>
            <w:pPr>
              <w:spacing w:line="240" w:lineRule="auto" w:after="0"/>
            </w:pPr>
            <w:r>
              <w:rPr>
                <w:sz w:val="17"/>
              </w:rPr>
              <w:t>Mean speed</w:t>
            </w:r>
          </w:p>
        </w:tc>
        <w:tc>
          <w:tcPr>
            <w:tcW w:type="dxa" w:w="4873"/>
          </w:tcPr>
          <w:p>
            <w:pPr>
              <w:spacing w:line="240" w:lineRule="auto" w:after="0"/>
            </w:pPr>
            <w:r>
              <w:rPr>
                <w:sz w:val="17"/>
              </w:rPr>
              <w:t>0.69 m/s (2.5 km/h)</w:t>
            </w:r>
          </w:p>
        </w:tc>
      </w:tr>
      <w:tr>
        <w:tc>
          <w:tcPr>
            <w:tcW w:type="dxa" w:w="4873"/>
          </w:tcPr>
          <w:p>
            <w:pPr>
              <w:spacing w:line="240" w:lineRule="auto" w:after="0"/>
            </w:pPr>
            <w:r>
              <w:rPr>
                <w:sz w:val="17"/>
              </w:rPr>
              <w:t>Mean steering command</w:t>
            </w:r>
          </w:p>
        </w:tc>
        <w:tc>
          <w:tcPr>
            <w:tcW w:type="dxa" w:w="4873"/>
          </w:tcPr>
          <w:p>
            <w:pPr>
              <w:spacing w:line="240" w:lineRule="auto" w:after="0"/>
            </w:pPr>
            <w:r>
              <w:rPr>
                <w:sz w:val="17"/>
              </w:rPr>
              <w:t>3.09°</w:t>
            </w:r>
          </w:p>
        </w:tc>
      </w:tr>
      <w:tr>
        <w:tc>
          <w:tcPr>
            <w:tcW w:type="dxa" w:w="4873"/>
          </w:tcPr>
          <w:p>
            <w:pPr>
              <w:spacing w:line="240" w:lineRule="auto" w:after="0"/>
            </w:pPr>
            <w:r>
              <w:rPr>
                <w:sz w:val="17"/>
              </w:rPr>
              <w:t>Max steering command</w:t>
            </w:r>
          </w:p>
        </w:tc>
        <w:tc>
          <w:tcPr>
            <w:tcW w:type="dxa" w:w="4873"/>
          </w:tcPr>
          <w:p>
            <w:pPr>
              <w:spacing w:line="240" w:lineRule="auto" w:after="0"/>
            </w:pPr>
            <w:r>
              <w:rPr>
                <w:sz w:val="17"/>
              </w:rPr>
              <w:t>14.74° (limit 18°)</w:t>
            </w:r>
          </w:p>
        </w:tc>
      </w:tr>
      <w:tr>
        <w:tc>
          <w:tcPr>
            <w:tcW w:type="dxa" w:w="4873"/>
          </w:tcPr>
          <w:p>
            <w:pPr>
              <w:spacing w:line="240" w:lineRule="auto" w:after="0"/>
            </w:pPr>
            <w:r>
              <w:rPr>
                <w:sz w:val="17"/>
              </w:rPr>
              <w:t>Steering saturation events</w:t>
            </w:r>
          </w:p>
        </w:tc>
        <w:tc>
          <w:tcPr>
            <w:tcW w:type="dxa" w:w="4873"/>
          </w:tcPr>
          <w:p>
            <w:pPr>
              <w:spacing w:line="240" w:lineRule="auto" w:after="0"/>
            </w:pPr>
            <w:r>
              <w:rPr>
                <w:sz w:val="17"/>
              </w:rPr>
              <w:t>0</w:t>
            </w:r>
          </w:p>
        </w:tc>
      </w:tr>
      <w:tr>
        <w:tc>
          <w:tcPr>
            <w:tcW w:type="dxa" w:w="4873"/>
          </w:tcPr>
          <w:p>
            <w:pPr>
              <w:spacing w:line="240" w:lineRule="auto" w:after="0"/>
            </w:pPr>
            <w:r>
              <w:rPr>
                <w:sz w:val="17"/>
              </w:rPr>
              <w:t>RTK Fixed rate</w:t>
            </w:r>
          </w:p>
        </w:tc>
        <w:tc>
          <w:tcPr>
            <w:tcW w:type="dxa" w:w="4873"/>
          </w:tcPr>
          <w:p>
            <w:pPr>
              <w:spacing w:line="240" w:lineRule="auto" w:after="0"/>
            </w:pPr>
            <w:r>
              <w:rPr>
                <w:sz w:val="17"/>
              </w:rPr>
              <w:t>94.8%</w:t>
            </w:r>
          </w:p>
        </w:tc>
      </w:tr>
      <w:tr>
        <w:tc>
          <w:tcPr>
            <w:tcW w:type="dxa" w:w="4873"/>
          </w:tcPr>
          <w:p>
            <w:pPr>
              <w:spacing w:line="240" w:lineRule="auto" w:after="0"/>
            </w:pPr>
            <w:r>
              <w:rPr>
                <w:sz w:val="17"/>
              </w:rPr>
              <w:t>Mean horizontal accuracy (Fixed)</w:t>
            </w:r>
          </w:p>
        </w:tc>
        <w:tc>
          <w:tcPr>
            <w:tcW w:type="dxa" w:w="4873"/>
          </w:tcPr>
          <w:p>
            <w:pPr>
              <w:spacing w:line="240" w:lineRule="auto" w:after="0"/>
            </w:pPr>
            <w:r>
              <w:rPr>
                <w:sz w:val="17"/>
              </w:rPr>
              <w:t>0.014 m</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