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pPr>
      <w:r>
        <w:rPr>
          <w:rFonts w:ascii="Arial" w:cs="Arial" w:eastAsia="Arial" w:hAnsi="Arial"/>
          <w:b/>
          <w:bCs/>
          <w:color w:val="1F3864"/>
          <w:sz w:val="52"/>
          <w:szCs w:val="52"/>
        </w:rPr>
        <w:t xml:space="preserve">Symbolic Data Analysis</w:t>
      </w:r>
    </w:p>
    <w:p>
      <w:pPr>
        <w:spacing w:before="0" w:after="120"/>
      </w:pPr>
      <w:r>
        <w:rPr>
          <w:rFonts w:ascii="Arial" w:cs="Arial" w:eastAsia="Arial" w:hAnsi="Arial"/>
          <w:b/>
          <w:bCs/>
          <w:color w:val="2E5E9E"/>
          <w:sz w:val="44"/>
          <w:szCs w:val="44"/>
        </w:rPr>
        <w:t xml:space="preserve">Dataset Documentation</w:t>
      </w:r>
    </w:p>
    <w:p>
      <w:pPr>
        <w:pBdr>
          <w:bottom w:val="single" w:color="2E5E9E" w:sz="8" w:space="1"/>
        </w:pBdr>
        <w:spacing w:before="0" w:after="360"/>
      </w:pPr>
      <w:r>
        <w:t xml:space="preserve"/>
      </w:r>
    </w:p>
    <w:p>
      <w:pPr>
        <w:spacing w:before="60" w:after="80"/>
      </w:pPr>
      <w:r>
        <w:rPr>
          <w:rFonts w:ascii="Arial" w:cs="Arial" w:eastAsia="Arial" w:hAnsi="Arial"/>
          <w:sz w:val="22"/>
          <w:szCs w:val="22"/>
        </w:rPr>
        <w:t xml:space="preserve">This document describes two multi-valued symbolic datasets constructed for use in Symbolic Data Analysis (SDA) research, specifically for Symbolic HOMALS and related symbolic clustering methods. Both datasets follow the set-valued symbolic data structure defined by Billard &amp; Diday (2007): each object (row) holds a set of categorical labels simultaneously for one or more variables, rather than a single value.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b/>
                <w:bCs/>
                <w:sz w:val="20"/>
                <w:szCs w:val="20"/>
              </w:rPr>
              <w:t xml:space="preserve">Dataset 1</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Yeast Gene Functional Annotation (Bird-colors style)</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b w:val="false"/>
                <w:bCs w:val="false"/>
                <w:sz w:val="20"/>
                <w:szCs w:val="20"/>
              </w:rPr>
              <w:t xml:space="preserve">Dataset 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Clinical Comorbidity Mapping (MIMIC-III)</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b w:val="false"/>
                <w:bCs w:val="false"/>
                <w:sz w:val="20"/>
                <w:szCs w:val="20"/>
              </w:rPr>
              <w:t xml:space="preserve">Format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Set-valued symbolic data, CSV</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b w:val="false"/>
                <w:bCs w:val="false"/>
                <w:sz w:val="20"/>
                <w:szCs w:val="20"/>
              </w:rPr>
              <w:t xml:space="preserve">SDA type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Multi-valued categorical (symbolic)</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b w:val="false"/>
                <w:bCs w:val="false"/>
                <w:sz w:val="20"/>
                <w:szCs w:val="20"/>
              </w:rPr>
              <w:t xml:space="preserve">Reference style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Billard &amp; Diday (2007) Table 2.5 (Bird colors)</w:t>
            </w:r>
          </w:p>
        </w:tc>
      </w:tr>
    </w:tbl>
    <w:p>
      <w:pPr>
        <w:spacing w:before="0" w:after="120"/>
      </w:pPr>
      <w:r>
        <w:t xml:space="preserve"/>
      </w:r>
    </w:p>
    <w:p>
      <w:pPr>
        <w:pBdr>
          <w:bottom w:val="single" w:color="C0C0C0" w:sz="6" w:space="1"/>
        </w:pBdr>
        <w:spacing w:before="120" w:after="120"/>
      </w:pPr>
      <w:r>
        <w:t xml:space="preserve"/>
      </w:r>
    </w:p>
    <w:p>
      <w:pPr>
        <w:pStyle w:val="Heading1"/>
        <w:spacing w:before="360" w:after="120"/>
      </w:pPr>
      <w:r>
        <w:rPr>
          <w:rFonts w:ascii="Arial" w:cs="Arial" w:eastAsia="Arial" w:hAnsi="Arial"/>
          <w:b/>
          <w:bCs/>
          <w:color w:val="1F3864"/>
          <w:sz w:val="32"/>
          <w:szCs w:val="32"/>
        </w:rPr>
        <w:t xml:space="preserve">Dataset 1: Yeast Gene Functional Annotation</w:t>
      </w:r>
    </w:p>
    <w:p>
      <w:pPr>
        <w:pStyle w:val="Heading2"/>
        <w:spacing w:before="240" w:after="80"/>
      </w:pPr>
      <w:r>
        <w:rPr>
          <w:rFonts w:ascii="Arial" w:cs="Arial" w:eastAsia="Arial" w:hAnsi="Arial"/>
          <w:b/>
          <w:bCs/>
          <w:color w:val="2E5E9E"/>
          <w:sz w:val="26"/>
          <w:szCs w:val="26"/>
        </w:rPr>
        <w:t xml:space="preserve">1.1  Overview and Motivation</w:t>
      </w:r>
    </w:p>
    <w:p>
      <w:pPr>
        <w:spacing w:before="60" w:after="80"/>
      </w:pPr>
      <w:r>
        <w:rPr>
          <w:rFonts w:ascii="Arial" w:cs="Arial" w:eastAsia="Arial" w:hAnsi="Arial"/>
          <w:sz w:val="22"/>
          <w:szCs w:val="22"/>
        </w:rPr>
        <w:t xml:space="preserve">In Gene Ontology (GO), a single gene simultaneously participates in multiple biological processes, performs multiple molecular functions, and resides in multiple cellular locations. This one-to-many relationship between a gene and its functional categories is a canonical example of set-valued data in biology: each gene object is described not by a single label per variable but by a set of labels drawn from a shared, closed vocabulary.</w:t>
      </w:r>
    </w:p>
    <w:p>
      <w:pPr>
        <w:spacing w:before="0" w:after="120"/>
      </w:pPr>
      <w:r>
        <w:t xml:space="preserve"/>
      </w:r>
    </w:p>
    <w:p>
      <w:pPr>
        <w:spacing w:before="60" w:after="80"/>
      </w:pPr>
      <w:r>
        <w:rPr>
          <w:rFonts w:ascii="Arial" w:cs="Arial" w:eastAsia="Arial" w:hAnsi="Arial"/>
          <w:sz w:val="22"/>
          <w:szCs w:val="22"/>
        </w:rPr>
        <w:t xml:space="preserve">This dataset was designed to match the structural properties of the Bird colors dataset (Billard &amp; Diday 2007, Table 2.5), in which 8 bird species are each described by a set of colors drawn from a shared 7-label vocabulary. Here the objects are yeast genes, and the variables are five biologically interpretable dimensions, each with a small shared vocabulary of 5–7 labels.</w:t>
      </w:r>
    </w:p>
    <w:p>
      <w:pPr>
        <w:spacing w:before="0" w:after="120"/>
      </w:pPr>
      <w:r>
        <w:t xml:space="preserve"/>
      </w:r>
    </w:p>
    <w:p>
      <w:pPr>
        <w:pStyle w:val="Heading2"/>
        <w:spacing w:before="240" w:after="80"/>
      </w:pPr>
      <w:r>
        <w:rPr>
          <w:rFonts w:ascii="Arial" w:cs="Arial" w:eastAsia="Arial" w:hAnsi="Arial"/>
          <w:b/>
          <w:bCs/>
          <w:color w:val="2E5E9E"/>
          <w:sz w:val="26"/>
          <w:szCs w:val="26"/>
        </w:rPr>
        <w:t xml:space="preserve">1.2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b/>
                <w:bCs/>
                <w:sz w:val="20"/>
                <w:szCs w:val="20"/>
              </w:rPr>
              <w:t xml:space="preserve">File name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yeast_gene_birdstyle_set_valued.csv</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b w:val="false"/>
                <w:bCs w:val="false"/>
                <w:sz w:val="20"/>
                <w:szCs w:val="20"/>
              </w:rPr>
              <w:t xml:space="preserve">Organism</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Saccharomyces cerevisiae (baker's yeast)</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b w:val="false"/>
                <w:bCs w:val="false"/>
                <w:sz w:val="20"/>
                <w:szCs w:val="20"/>
              </w:rPr>
              <w:t xml:space="preserve">Primary source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Saccharomyces Genome Database (SGD), yeastgenome.org</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b w:val="false"/>
                <w:bCs w:val="false"/>
                <w:sz w:val="20"/>
                <w:szCs w:val="20"/>
              </w:rPr>
              <w:t xml:space="preserve">Data license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CC BY 4.0 — freely usable with attribution</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b w:val="false"/>
                <w:bCs w:val="false"/>
                <w:sz w:val="20"/>
                <w:szCs w:val="20"/>
              </w:rPr>
              <w:t xml:space="preserve">n (objects)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49 yeast genes</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b w:val="false"/>
                <w:bCs w:val="false"/>
                <w:sz w:val="20"/>
                <w:szCs w:val="20"/>
              </w:rPr>
              <w:t xml:space="preserve">p (variables)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set-valued symbolic variables</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b w:val="false"/>
                <w:bCs w:val="false"/>
                <w:sz w:val="20"/>
                <w:szCs w:val="20"/>
              </w:rPr>
              <w:t xml:space="preserve">Variable type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Multi-valued categorical (set-valued)</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b w:val="false"/>
                <w:bCs w:val="false"/>
                <w:sz w:val="20"/>
                <w:szCs w:val="20"/>
              </w:rPr>
              <w:t xml:space="preserve">SDA analogue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Billard &amp; Diday (2007) Bird colors, Table 2.5</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b w:val="false"/>
                <w:bCs w:val="false"/>
                <w:sz w:val="20"/>
                <w:szCs w:val="20"/>
              </w:rPr>
              <w:t xml:space="preserve">Construction date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2025</w:t>
            </w:r>
          </w:p>
        </w:tc>
      </w:tr>
    </w:tbl>
    <w:p>
      <w:pPr>
        <w:spacing w:before="0" w:after="120"/>
      </w:pPr>
      <w:r>
        <w:t xml:space="preserve"/>
      </w:r>
    </w:p>
    <w:p>
      <w:pPr>
        <w:pStyle w:val="Heading2"/>
        <w:spacing w:before="240" w:after="80"/>
      </w:pPr>
      <w:r>
        <w:rPr>
          <w:rFonts w:ascii="Arial" w:cs="Arial" w:eastAsia="Arial" w:hAnsi="Arial"/>
          <w:b/>
          <w:bCs/>
          <w:color w:val="2E5E9E"/>
          <w:sz w:val="26"/>
          <w:szCs w:val="26"/>
        </w:rPr>
        <w:t xml:space="preserve">1.3  Raw Data Source</w:t>
      </w:r>
    </w:p>
    <w:p>
      <w:pPr>
        <w:spacing w:before="60" w:after="80"/>
      </w:pPr>
      <w:r>
        <w:rPr>
          <w:rFonts w:ascii="Arial" w:cs="Arial" w:eastAsia="Arial" w:hAnsi="Arial"/>
          <w:sz w:val="22"/>
          <w:szCs w:val="22"/>
        </w:rPr>
        <w:t xml:space="preserve">The raw data underlying this dataset are the curated GO slim annotations maintained by SGD for all protein-coding genes in S. cerevisiae. SGD curators manually review the primary research literature and assign GO terms to gene products under three aspects: Biological Process (BP), Molecular Function (MF), and Cellular Component (CC). GO slim terms are a reduced, high-level subset of GO designed to bin genes into broad, interpretable categories. All SGD data are released under CC BY 4.0 and are freely downloadable from:</w:t>
      </w:r>
    </w:p>
    <w:p>
      <w:pPr>
        <w:spacing w:before="0" w:after="120"/>
      </w:pPr>
      <w:r>
        <w:t xml:space="preserve"/>
      </w:r>
    </w:p>
    <w:p>
      <w:pPr>
        <w:spacing w:before="40" w:after="40"/>
        <w:ind w:left="720"/>
      </w:pPr>
      <w:r>
        <w:rPr>
          <w:rFonts w:ascii="Courier New" w:cs="Courier New" w:eastAsia="Courier New" w:hAnsi="Courier New"/>
          <w:color w:val="444444"/>
          <w:sz w:val="20"/>
          <w:szCs w:val="20"/>
        </w:rPr>
        <w:t xml:space="preserve">https://downloads.yeastgenome.org/curation/literature/gene_association.sgd.gz</w:t>
      </w:r>
    </w:p>
    <w:p>
      <w:pPr>
        <w:spacing w:before="40" w:after="40"/>
        <w:ind w:left="720"/>
      </w:pPr>
      <w:r>
        <w:rPr>
          <w:rFonts w:ascii="Courier New" w:cs="Courier New" w:eastAsia="Courier New" w:hAnsi="Courier New"/>
          <w:color w:val="444444"/>
          <w:sz w:val="20"/>
          <w:szCs w:val="20"/>
        </w:rPr>
        <w:t xml:space="preserve">https://www.yeastgenome.org/genomesnapshot</w:t>
      </w:r>
    </w:p>
    <w:p>
      <w:pPr>
        <w:spacing w:before="0" w:after="120"/>
      </w:pPr>
      <w:r>
        <w:t xml:space="preserve"/>
      </w:r>
    </w:p>
    <w:p>
      <w:pPr>
        <w:spacing w:before="60" w:after="80"/>
      </w:pPr>
      <w:r>
        <w:rPr>
          <w:rFonts w:ascii="Arial" w:cs="Arial" w:eastAsia="Arial" w:hAnsi="Arial"/>
          <w:sz w:val="22"/>
          <w:szCs w:val="22"/>
        </w:rPr>
        <w:t xml:space="preserve">The 49 genes included here were selected to span the major functional categories of the yeast proteome: cytoskeletal proteins, cell cycle regulators, DNA repair factors, transcription factors, chromatin remodelers, stress response proteins, signal transduction kinases, secretory pathway components, metabolic enzymes, and transporters. All selected genes are well-characterised with extensive literature support in SGD.</w:t>
      </w:r>
    </w:p>
    <w:p>
      <w:pPr>
        <w:spacing w:before="0" w:after="120"/>
      </w:pPr>
      <w:r>
        <w:t xml:space="preserve"/>
      </w:r>
    </w:p>
    <w:p>
      <w:pPr>
        <w:pStyle w:val="Heading2"/>
        <w:spacing w:before="240" w:after="80"/>
      </w:pPr>
      <w:r>
        <w:rPr>
          <w:rFonts w:ascii="Arial" w:cs="Arial" w:eastAsia="Arial" w:hAnsi="Arial"/>
          <w:b/>
          <w:bCs/>
          <w:color w:val="2E5E9E"/>
          <w:sz w:val="26"/>
          <w:szCs w:val="26"/>
        </w:rPr>
        <w:t xml:space="preserve">1.4  Aggregation Procedure</w:t>
      </w:r>
    </w:p>
    <w:p>
      <w:pPr>
        <w:spacing w:before="60" w:after="80"/>
      </w:pPr>
      <w:r>
        <w:rPr>
          <w:rFonts w:ascii="Arial" w:cs="Arial" w:eastAsia="Arial" w:hAnsi="Arial"/>
          <w:sz w:val="22"/>
          <w:szCs w:val="22"/>
        </w:rPr>
        <w:t xml:space="preserve">The raw GO slim data associates each gene with a list of GO slim terms under each of the three GO aspects. To construct a Bird-colors-style symbolic dataset, this long-format annotation list was aggregated into five thematic set-valued variables as follows:</w:t>
      </w:r>
    </w:p>
    <w:p>
      <w:pPr>
        <w:spacing w:before="0" w:after="120"/>
      </w:pPr>
      <w:r>
        <w:t xml:space="preserve"/>
      </w:r>
    </w:p>
    <w:p>
      <w:pPr>
        <w:pStyle w:val="Heading3"/>
        <w:spacing w:before="180" w:after="60"/>
      </w:pPr>
      <w:r>
        <w:rPr>
          <w:rFonts w:ascii="Arial" w:cs="Arial" w:eastAsia="Arial" w:hAnsi="Arial"/>
          <w:b/>
          <w:bCs/>
          <w:color w:val="404040"/>
          <w:sz w:val="24"/>
          <w:szCs w:val="24"/>
        </w:rPr>
        <w:t xml:space="preserve">Step 1 — Define closed vocabularies</w:t>
      </w:r>
    </w:p>
    <w:p>
      <w:pPr>
        <w:spacing w:before="60" w:after="80"/>
      </w:pPr>
      <w:r>
        <w:rPr>
          <w:rFonts w:ascii="Arial" w:cs="Arial" w:eastAsia="Arial" w:hAnsi="Arial"/>
          <w:sz w:val="22"/>
          <w:szCs w:val="22"/>
        </w:rPr>
        <w:t xml:space="preserve">For each of the five symbolic variables, a small closed vocabulary was defined based on the major GO slim categories relevant to that dimension. Vocabulary size was constrained to 5–7 labels so that many genes share the same labels — a structural requirement for symbolic data analysis (analogous to the 7 colors shared across all bird species in the Bird colors dataset).</w:t>
      </w:r>
    </w:p>
    <w:p>
      <w:pPr>
        <w:spacing w:before="0" w:after="120"/>
      </w:pPr>
      <w:r>
        <w:t xml:space="preserve"/>
      </w:r>
    </w:p>
    <w:p>
      <w:pPr>
        <w:pStyle w:val="Heading3"/>
        <w:spacing w:before="180" w:after="60"/>
      </w:pPr>
      <w:r>
        <w:rPr>
          <w:rFonts w:ascii="Arial" w:cs="Arial" w:eastAsia="Arial" w:hAnsi="Arial"/>
          <w:b/>
          <w:bCs/>
          <w:color w:val="404040"/>
          <w:sz w:val="24"/>
          <w:szCs w:val="24"/>
        </w:rPr>
        <w:t xml:space="preserve">Step 2 — Map GO slim terms to variable-specific labels</w:t>
      </w:r>
    </w:p>
    <w:p>
      <w:pPr>
        <w:spacing w:before="60" w:after="80"/>
      </w:pPr>
      <w:r>
        <w:rPr>
          <w:rFonts w:ascii="Arial" w:cs="Arial" w:eastAsia="Arial" w:hAnsi="Arial"/>
          <w:sz w:val="22"/>
          <w:szCs w:val="22"/>
        </w:rPr>
        <w:t xml:space="preserve">GO slim terms were mapped to the five variable-specific vocabularies using the following rules:</w:t>
      </w:r>
    </w:p>
    <w:p>
      <w:pPr>
        <w:spacing w:before="0" w:after="120"/>
      </w:pPr>
      <w:r>
        <w:t xml:space="preserve"/>
      </w:r>
    </w:p>
    <w:p>
      <w:pPr>
        <w:pStyle w:val="ListParagraph"/>
        <w:numPr>
          <w:ilvl w:val="0"/>
          <w:numId w:val="2"/>
        </w:numPr>
        <w:spacing w:before="40" w:after="40"/>
      </w:pPr>
      <w:r>
        <w:rPr>
          <w:rFonts w:ascii="Arial" w:cs="Arial" w:eastAsia="Arial" w:hAnsi="Arial"/>
          <w:b/>
          <w:bCs/>
          <w:sz w:val="22"/>
          <w:szCs w:val="22"/>
        </w:rPr>
        <w:t xml:space="preserve">Y1 (Cellular location): </w:t>
      </w:r>
      <w:r>
        <w:rPr>
          <w:rFonts w:ascii="Arial" w:cs="Arial" w:eastAsia="Arial" w:hAnsi="Arial"/>
          <w:sz w:val="22"/>
          <w:szCs w:val="22"/>
        </w:rPr>
        <w:t xml:space="preserve">mapped from the CC GO slim aspect. GO slim terms such as 'nucleus', 'cytoplasm', 'mitochondrion', 'endoplasmic reticulum', 'plasma membrane', 'vacuole', and 'cell wall' were mapped directly to the seven vocabulary labels. Genes annotated to multiple CC slim terms receive a set of multiple labels.</w:t>
      </w:r>
    </w:p>
    <w:p>
      <w:pPr>
        <w:pStyle w:val="ListParagraph"/>
        <w:numPr>
          <w:ilvl w:val="0"/>
          <w:numId w:val="2"/>
        </w:numPr>
        <w:spacing w:before="40" w:after="40"/>
      </w:pPr>
      <w:r>
        <w:rPr>
          <w:rFonts w:ascii="Arial" w:cs="Arial" w:eastAsia="Arial" w:hAnsi="Arial"/>
          <w:b/>
          <w:bCs/>
          <w:sz w:val="22"/>
          <w:szCs w:val="22"/>
        </w:rPr>
        <w:t xml:space="preserve">Y2 (Growth condition): </w:t>
      </w:r>
      <w:r>
        <w:rPr>
          <w:rFonts w:ascii="Arial" w:cs="Arial" w:eastAsia="Arial" w:hAnsi="Arial"/>
          <w:sz w:val="22"/>
          <w:szCs w:val="22"/>
        </w:rPr>
        <w:t xml:space="preserve">derived from the metabolic context in which a gene is expressed or required. Carbon source requirements (glucose, galactose, glycerol) were inferred from well-established genetic knowledge: galactose-responsive genes (e.g. GAL4, GAL80, RAS2) are documented in the galactose induction literature; glycerol-required genes are those involved in respiration or stress; anaerobic genes are documented fermentation genes (TDH3, PFK1, PMA1). The 'starvation' label was assigned to genes known to be induced or essential under nutrient limitation (GCN4, MET4, ATG1, PHO84, VPS4).</w:t>
      </w:r>
    </w:p>
    <w:p>
      <w:pPr>
        <w:pStyle w:val="ListParagraph"/>
        <w:numPr>
          <w:ilvl w:val="0"/>
          <w:numId w:val="2"/>
        </w:numPr>
        <w:spacing w:before="40" w:after="40"/>
      </w:pPr>
      <w:r>
        <w:rPr>
          <w:rFonts w:ascii="Arial" w:cs="Arial" w:eastAsia="Arial" w:hAnsi="Arial"/>
          <w:b/>
          <w:bCs/>
          <w:sz w:val="22"/>
          <w:szCs w:val="22"/>
        </w:rPr>
        <w:t xml:space="preserve">Y3 (Stress response): </w:t>
      </w:r>
      <w:r>
        <w:rPr>
          <w:rFonts w:ascii="Arial" w:cs="Arial" w:eastAsia="Arial" w:hAnsi="Arial"/>
          <w:sz w:val="22"/>
          <w:szCs w:val="22"/>
        </w:rPr>
        <w:t xml:space="preserve">mapped from the BP GO slim aspect by selecting terms in the stress-response category. GO slim terms 'response to heat', 'response to oxidative stress', 'response to osmotic stress', 'DNA damage response', 'ER unfolded protein response', and 'response to nitrogen starvation' were mapped to the six vocabulary labels. Genes with no annotated stress response receive an empty set (represented as {none} in the CSV).</w:t>
      </w:r>
    </w:p>
    <w:p>
      <w:pPr>
        <w:pStyle w:val="ListParagraph"/>
        <w:numPr>
          <w:ilvl w:val="0"/>
          <w:numId w:val="2"/>
        </w:numPr>
        <w:spacing w:before="40" w:after="40"/>
      </w:pPr>
      <w:r>
        <w:rPr>
          <w:rFonts w:ascii="Arial" w:cs="Arial" w:eastAsia="Arial" w:hAnsi="Arial"/>
          <w:b/>
          <w:bCs/>
          <w:sz w:val="22"/>
          <w:szCs w:val="22"/>
        </w:rPr>
        <w:t xml:space="preserve">Y4 (Interaction type): </w:t>
      </w:r>
      <w:r>
        <w:rPr>
          <w:rFonts w:ascii="Arial" w:cs="Arial" w:eastAsia="Arial" w:hAnsi="Arial"/>
          <w:sz w:val="22"/>
          <w:szCs w:val="22"/>
        </w:rPr>
        <w:t xml:space="preserve">mapped from the MF GO slim aspect. GO slim MF terms for binding activities were assigned to five labels. 'protein_binding' covers GO slim terms including protein kinase activity, protein-protein interaction, and general macromolecular binding; 'DNA_binding' covers transcription factor activity and DNA repair binding; 'metal_binding' covers metalloenzymes and metal ion binding activity; 'RNA_binding' and 'lipid_binding' are assigned where MF slim annotations indicate RNA or lipid substrate specificity.</w:t>
      </w:r>
    </w:p>
    <w:p>
      <w:pPr>
        <w:pStyle w:val="ListParagraph"/>
        <w:numPr>
          <w:ilvl w:val="0"/>
          <w:numId w:val="2"/>
        </w:numPr>
        <w:spacing w:before="40" w:after="40"/>
      </w:pPr>
      <w:r>
        <w:rPr>
          <w:rFonts w:ascii="Arial" w:cs="Arial" w:eastAsia="Arial" w:hAnsi="Arial"/>
          <w:b/>
          <w:bCs/>
          <w:sz w:val="22"/>
          <w:szCs w:val="22"/>
        </w:rPr>
        <w:t xml:space="preserve">Y5 (Functional class): </w:t>
      </w:r>
      <w:r>
        <w:rPr>
          <w:rFonts w:ascii="Arial" w:cs="Arial" w:eastAsia="Arial" w:hAnsi="Arial"/>
          <w:sz w:val="22"/>
          <w:szCs w:val="22"/>
        </w:rPr>
        <w:t xml:space="preserve">mapped from the BP GO slim aspect at the highest level of abstraction, using six functional super-categories. 'metabolism' covers glycolysis, TCA cycle, lipid biosynthesis, amino acid metabolism, and nucleotide metabolism; 'signaling' covers signal transduction, MAP kinase cascades, and cell cycle; 'transcription' covers gene expression, chromatin regulation, and RNA processing; 'transport' covers vesicle trafficking, membrane transport, and secretion; 'repair' covers DNA repair and genome maintenance; 'structure' covers cytoskeletal organisation and cell polarity.</w:t>
      </w:r>
    </w:p>
    <w:p>
      <w:pPr>
        <w:spacing w:before="0" w:after="120"/>
      </w:pPr>
      <w:r>
        <w:t xml:space="preserve"/>
      </w:r>
    </w:p>
    <w:p>
      <w:pPr>
        <w:pStyle w:val="Heading3"/>
        <w:spacing w:before="180" w:after="60"/>
      </w:pPr>
      <w:r>
        <w:rPr>
          <w:rFonts w:ascii="Arial" w:cs="Arial" w:eastAsia="Arial" w:hAnsi="Arial"/>
          <w:b/>
          <w:bCs/>
          <w:color w:val="404040"/>
          <w:sz w:val="24"/>
          <w:szCs w:val="24"/>
        </w:rPr>
        <w:t xml:space="preserve">Step 3 — Aggregate into set-valued records</w:t>
      </w:r>
    </w:p>
    <w:p>
      <w:pPr>
        <w:spacing w:before="60" w:after="80"/>
      </w:pPr>
      <w:r>
        <w:rPr>
          <w:rFonts w:ascii="Arial" w:cs="Arial" w:eastAsia="Arial" w:hAnsi="Arial"/>
          <w:sz w:val="22"/>
          <w:szCs w:val="22"/>
        </w:rPr>
        <w:t xml:space="preserve">For each gene, the union of all applicable labels within each variable was collected into a set. For example, ACT1 (actin) is located in both cytoplasm and nucleus (Y1 = {cytoplasm, nucleus}), is required under aerobic, glucose, and glycerol conditions (Y2 = {aerobic, glucose, glycerol}), responds to heat and osmotic stress (Y3 = {heat, osmotic}), interacts via protein binding (Y4 = {protein_binding}), and functions in both signaling and structural roles (Y5 = {signaling, structure}).</w:t>
      </w:r>
    </w:p>
    <w:p>
      <w:pPr>
        <w:spacing w:before="0" w:after="120"/>
      </w:pPr>
      <w:r>
        <w:t xml:space="preserve"/>
      </w:r>
    </w:p>
    <w:p>
      <w:pPr>
        <w:pStyle w:val="Heading2"/>
        <w:spacing w:before="240" w:after="80"/>
      </w:pPr>
      <w:r>
        <w:rPr>
          <w:rFonts w:ascii="Arial" w:cs="Arial" w:eastAsia="Arial" w:hAnsi="Arial"/>
          <w:b/>
          <w:bCs/>
          <w:color w:val="2E5E9E"/>
          <w:sz w:val="26"/>
          <w:szCs w:val="26"/>
        </w:rPr>
        <w:t xml:space="preserve">1.5  Variable Descriptions</w:t>
      </w:r>
    </w:p>
    <w:p>
      <w:pPr>
        <w:spacing w:before="0" w:after="120"/>
      </w:pPr>
      <w:r>
        <w:t xml:space="preserve"/>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000"/>
        <w:gridCol w:w="1700"/>
        <w:gridCol w:w="1000"/>
        <w:gridCol w:w="4200"/>
        <w:gridCol w:w="1000"/>
      </w:tblGrid>
      <w:tr>
        <w:tc>
          <w:tcPr>
            <w:tcW w:type="dxa" w:w="1000"/>
            <w:tcBorders>
              <w:top w:val="single" w:color="4472C4" w:sz="1"/>
              <w:left w:val="single" w:color="4472C4" w:sz="1"/>
              <w:bottom w:val="single" w:color="4472C4" w:sz="1"/>
              <w:right w:val="single" w:color="4472C4" w:sz="1"/>
            </w:tcBorders>
            <w:shd w:fill="2E5E9E" w:val="clear"/>
            <w:tcMar>
              <w:top w:type="dxa" w:w="70"/>
              <w:left w:type="dxa" w:w="110"/>
              <w:bottom w:type="dxa" w:w="70"/>
              <w:right w:type="dxa" w:w="110"/>
            </w:tcMar>
          </w:tcPr>
          <w:p>
            <w:r>
              <w:rPr>
                <w:rFonts w:ascii="Arial" w:cs="Arial" w:eastAsia="Arial" w:hAnsi="Arial"/>
                <w:b/>
                <w:bCs/>
                <w:color w:val="FFFFFF"/>
                <w:sz w:val="18"/>
                <w:szCs w:val="18"/>
              </w:rPr>
              <w:t xml:space="preserve">Variable</w:t>
            </w:r>
          </w:p>
        </w:tc>
        <w:tc>
          <w:tcPr>
            <w:tcW w:type="dxa" w:w="1700"/>
            <w:tcBorders>
              <w:top w:val="single" w:color="4472C4" w:sz="1"/>
              <w:left w:val="single" w:color="4472C4" w:sz="1"/>
              <w:bottom w:val="single" w:color="4472C4" w:sz="1"/>
              <w:right w:val="single" w:color="4472C4" w:sz="1"/>
            </w:tcBorders>
            <w:shd w:fill="2E5E9E" w:val="clear"/>
            <w:tcMar>
              <w:top w:type="dxa" w:w="70"/>
              <w:left w:type="dxa" w:w="110"/>
              <w:bottom w:type="dxa" w:w="70"/>
              <w:right w:type="dxa" w:w="110"/>
            </w:tcMar>
          </w:tcPr>
          <w:p>
            <w:r>
              <w:rPr>
                <w:rFonts w:ascii="Arial" w:cs="Arial" w:eastAsia="Arial" w:hAnsi="Arial"/>
                <w:b/>
                <w:bCs/>
                <w:color w:val="FFFFFF"/>
                <w:sz w:val="18"/>
                <w:szCs w:val="18"/>
              </w:rPr>
              <w:t xml:space="preserve">Name</w:t>
            </w:r>
          </w:p>
        </w:tc>
        <w:tc>
          <w:tcPr>
            <w:tcW w:type="dxa" w:w="1000"/>
            <w:tcBorders>
              <w:top w:val="single" w:color="4472C4" w:sz="1"/>
              <w:left w:val="single" w:color="4472C4" w:sz="1"/>
              <w:bottom w:val="single" w:color="4472C4" w:sz="1"/>
              <w:right w:val="single" w:color="4472C4" w:sz="1"/>
            </w:tcBorders>
            <w:shd w:fill="2E5E9E" w:val="clear"/>
            <w:tcMar>
              <w:top w:type="dxa" w:w="70"/>
              <w:left w:type="dxa" w:w="110"/>
              <w:bottom w:type="dxa" w:w="70"/>
              <w:right w:type="dxa" w:w="110"/>
            </w:tcMar>
          </w:tcPr>
          <w:p>
            <w:r>
              <w:rPr>
                <w:rFonts w:ascii="Arial" w:cs="Arial" w:eastAsia="Arial" w:hAnsi="Arial"/>
                <w:b/>
                <w:bCs/>
                <w:color w:val="FFFFFF"/>
                <w:sz w:val="18"/>
                <w:szCs w:val="18"/>
              </w:rPr>
              <w:t xml:space="preserve">Vocabulary (|V|)</w:t>
            </w:r>
          </w:p>
        </w:tc>
        <w:tc>
          <w:tcPr>
            <w:tcW w:type="dxa" w:w="4200"/>
            <w:tcBorders>
              <w:top w:val="single" w:color="4472C4" w:sz="1"/>
              <w:left w:val="single" w:color="4472C4" w:sz="1"/>
              <w:bottom w:val="single" w:color="4472C4" w:sz="1"/>
              <w:right w:val="single" w:color="4472C4" w:sz="1"/>
            </w:tcBorders>
            <w:shd w:fill="2E5E9E" w:val="clear"/>
            <w:tcMar>
              <w:top w:type="dxa" w:w="70"/>
              <w:left w:type="dxa" w:w="110"/>
              <w:bottom w:type="dxa" w:w="70"/>
              <w:right w:type="dxa" w:w="110"/>
            </w:tcMar>
          </w:tcPr>
          <w:p>
            <w:r>
              <w:rPr>
                <w:rFonts w:ascii="Arial" w:cs="Arial" w:eastAsia="Arial" w:hAnsi="Arial"/>
                <w:b/>
                <w:bCs/>
                <w:color w:val="FFFFFF"/>
                <w:sz w:val="18"/>
                <w:szCs w:val="18"/>
              </w:rPr>
              <w:t xml:space="preserve">Labels</w:t>
            </w:r>
          </w:p>
        </w:tc>
        <w:tc>
          <w:tcPr>
            <w:tcW w:type="dxa" w:w="1000"/>
            <w:tcBorders>
              <w:top w:val="single" w:color="4472C4" w:sz="1"/>
              <w:left w:val="single" w:color="4472C4" w:sz="1"/>
              <w:bottom w:val="single" w:color="4472C4" w:sz="1"/>
              <w:right w:val="single" w:color="4472C4" w:sz="1"/>
            </w:tcBorders>
            <w:shd w:fill="2E5E9E" w:val="clear"/>
            <w:tcMar>
              <w:top w:type="dxa" w:w="70"/>
              <w:left w:type="dxa" w:w="110"/>
              <w:bottom w:type="dxa" w:w="70"/>
              <w:right w:type="dxa" w:w="110"/>
            </w:tcMar>
          </w:tcPr>
          <w:p>
            <w:r>
              <w:rPr>
                <w:rFonts w:ascii="Arial" w:cs="Arial" w:eastAsia="Arial" w:hAnsi="Arial"/>
                <w:b/>
                <w:bCs/>
                <w:color w:val="FFFFFF"/>
                <w:sz w:val="18"/>
                <w:szCs w:val="18"/>
              </w:rPr>
              <w:t xml:space="preserve">Avg set size</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Y1</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Cellular location</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7</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nucleus, cytoplasm, mitochondria, ER, membrane, vacuole, cell_wall</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1.6</w:t>
            </w:r>
          </w:p>
        </w:tc>
      </w:tr>
      <w:tr>
        <w:tc>
          <w:tcPr>
            <w:tcW w:type="dxa" w:w="10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Y2</w:t>
            </w:r>
          </w:p>
        </w:tc>
        <w:tc>
          <w:tcPr>
            <w:tcW w:type="dxa" w:w="17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Growth condition</w:t>
            </w:r>
          </w:p>
        </w:tc>
        <w:tc>
          <w:tcPr>
            <w:tcW w:type="dxa" w:w="10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6</w:t>
            </w:r>
          </w:p>
        </w:tc>
        <w:tc>
          <w:tcPr>
            <w:tcW w:type="dxa" w:w="42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aerobic, anaerobic, glucose, galactose, glycerol, starvation</w:t>
            </w:r>
          </w:p>
        </w:tc>
        <w:tc>
          <w:tcPr>
            <w:tcW w:type="dxa" w:w="10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2.3</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Y3</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Stress response</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6</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heat, oxidative, osmotic, DNA_damage, ER_stress, nitrogen</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1.4</w:t>
            </w:r>
          </w:p>
        </w:tc>
      </w:tr>
      <w:tr>
        <w:tc>
          <w:tcPr>
            <w:tcW w:type="dxa" w:w="10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Y4</w:t>
            </w:r>
          </w:p>
        </w:tc>
        <w:tc>
          <w:tcPr>
            <w:tcW w:type="dxa" w:w="17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Interaction type</w:t>
            </w:r>
          </w:p>
        </w:tc>
        <w:tc>
          <w:tcPr>
            <w:tcW w:type="dxa" w:w="10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5</w:t>
            </w:r>
          </w:p>
        </w:tc>
        <w:tc>
          <w:tcPr>
            <w:tcW w:type="dxa" w:w="42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protein_binding, DNA_binding, RNA_binding, lipid_binding, metal_binding</w:t>
            </w:r>
          </w:p>
        </w:tc>
        <w:tc>
          <w:tcPr>
            <w:tcW w:type="dxa" w:w="10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1.6</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Y5</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Functional class</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6</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metabolism, signaling, transcription, transport, repair, structure</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1.3</w:t>
            </w:r>
          </w:p>
        </w:tc>
      </w:tr>
    </w:tbl>
    <w:p>
      <w:pPr>
        <w:spacing w:before="0" w:after="120"/>
      </w:pPr>
      <w:r>
        <w:t xml:space="preserve"/>
      </w:r>
    </w:p>
    <w:p>
      <w:pPr>
        <w:pStyle w:val="Heading2"/>
        <w:spacing w:before="240" w:after="80"/>
      </w:pPr>
      <w:r>
        <w:rPr>
          <w:rFonts w:ascii="Arial" w:cs="Arial" w:eastAsia="Arial" w:hAnsi="Arial"/>
          <w:b/>
          <w:bCs/>
          <w:color w:val="2E5E9E"/>
          <w:sz w:val="26"/>
          <w:szCs w:val="26"/>
        </w:rPr>
        <w:t xml:space="preserve">1.6  Label Semantics</w:t>
      </w:r>
    </w:p>
    <w:p>
      <w:pPr>
        <w:pStyle w:val="Heading3"/>
        <w:spacing w:before="180" w:after="60"/>
      </w:pPr>
      <w:r>
        <w:rPr>
          <w:rFonts w:ascii="Arial" w:cs="Arial" w:eastAsia="Arial" w:hAnsi="Arial"/>
          <w:b/>
          <w:bCs/>
          <w:color w:val="404040"/>
          <w:sz w:val="24"/>
          <w:szCs w:val="24"/>
        </w:rPr>
        <w:t xml:space="preserve">Y1 — Cellular location</w:t>
      </w:r>
    </w:p>
    <w:p>
      <w:pPr>
        <w:pStyle w:val="ListParagraph"/>
        <w:numPr>
          <w:ilvl w:val="0"/>
          <w:numId w:val="2"/>
        </w:numPr>
        <w:spacing w:before="40" w:after="40"/>
      </w:pPr>
      <w:r>
        <w:rPr>
          <w:rFonts w:ascii="Arial" w:cs="Arial" w:eastAsia="Arial" w:hAnsi="Arial"/>
          <w:b/>
          <w:bCs/>
          <w:sz w:val="22"/>
          <w:szCs w:val="22"/>
        </w:rPr>
        <w:t xml:space="preserve">nucleus: </w:t>
      </w:r>
      <w:r>
        <w:rPr>
          <w:rFonts w:ascii="Arial" w:cs="Arial" w:eastAsia="Arial" w:hAnsi="Arial"/>
          <w:sz w:val="22"/>
          <w:szCs w:val="22"/>
        </w:rPr>
        <w:t xml:space="preserve">gene product is active or localised primarily in the nucleus (transcription factors, DNA repair proteins, cell cycle kinases)</w:t>
      </w:r>
    </w:p>
    <w:p>
      <w:pPr>
        <w:pStyle w:val="ListParagraph"/>
        <w:numPr>
          <w:ilvl w:val="0"/>
          <w:numId w:val="2"/>
        </w:numPr>
        <w:spacing w:before="40" w:after="40"/>
      </w:pPr>
      <w:r>
        <w:rPr>
          <w:rFonts w:ascii="Arial" w:cs="Arial" w:eastAsia="Arial" w:hAnsi="Arial"/>
          <w:b/>
          <w:bCs/>
          <w:sz w:val="22"/>
          <w:szCs w:val="22"/>
        </w:rPr>
        <w:t xml:space="preserve">cytoplasm: </w:t>
      </w:r>
      <w:r>
        <w:rPr>
          <w:rFonts w:ascii="Arial" w:cs="Arial" w:eastAsia="Arial" w:hAnsi="Arial"/>
          <w:sz w:val="22"/>
          <w:szCs w:val="22"/>
        </w:rPr>
        <w:t xml:space="preserve">gene product is active or present in the cytosol or cytoplasm (chaperones, metabolic enzymes, signaling kinases)</w:t>
      </w:r>
    </w:p>
    <w:p>
      <w:pPr>
        <w:pStyle w:val="ListParagraph"/>
        <w:numPr>
          <w:ilvl w:val="0"/>
          <w:numId w:val="2"/>
        </w:numPr>
        <w:spacing w:before="40" w:after="40"/>
      </w:pPr>
      <w:r>
        <w:rPr>
          <w:rFonts w:ascii="Arial" w:cs="Arial" w:eastAsia="Arial" w:hAnsi="Arial"/>
          <w:b/>
          <w:bCs/>
          <w:sz w:val="22"/>
          <w:szCs w:val="22"/>
        </w:rPr>
        <w:t xml:space="preserve">mitochondria: </w:t>
      </w:r>
      <w:r>
        <w:rPr>
          <w:rFonts w:ascii="Arial" w:cs="Arial" w:eastAsia="Arial" w:hAnsi="Arial"/>
          <w:sz w:val="22"/>
          <w:szCs w:val="22"/>
        </w:rPr>
        <w:t xml:space="preserve">gene product is localised to the mitochondrion (respiratory chain components, TCA cycle enzymes)</w:t>
      </w:r>
    </w:p>
    <w:p>
      <w:pPr>
        <w:pStyle w:val="ListParagraph"/>
        <w:numPr>
          <w:ilvl w:val="0"/>
          <w:numId w:val="2"/>
        </w:numPr>
        <w:spacing w:before="40" w:after="40"/>
      </w:pPr>
      <w:r>
        <w:rPr>
          <w:rFonts w:ascii="Arial" w:cs="Arial" w:eastAsia="Arial" w:hAnsi="Arial"/>
          <w:b/>
          <w:bCs/>
          <w:sz w:val="22"/>
          <w:szCs w:val="22"/>
        </w:rPr>
        <w:t xml:space="preserve">ER: </w:t>
      </w:r>
      <w:r>
        <w:rPr>
          <w:rFonts w:ascii="Arial" w:cs="Arial" w:eastAsia="Arial" w:hAnsi="Arial"/>
          <w:sz w:val="22"/>
          <w:szCs w:val="22"/>
        </w:rPr>
        <w:t xml:space="preserve">gene product is localised to the endoplasmic reticulum or ER membrane (secretory pathway, glycosylation enzymes, ER chaperones)</w:t>
      </w:r>
    </w:p>
    <w:p>
      <w:pPr>
        <w:pStyle w:val="ListParagraph"/>
        <w:numPr>
          <w:ilvl w:val="0"/>
          <w:numId w:val="2"/>
        </w:numPr>
        <w:spacing w:before="40" w:after="40"/>
      </w:pPr>
      <w:r>
        <w:rPr>
          <w:rFonts w:ascii="Arial" w:cs="Arial" w:eastAsia="Arial" w:hAnsi="Arial"/>
          <w:b/>
          <w:bCs/>
          <w:sz w:val="22"/>
          <w:szCs w:val="22"/>
        </w:rPr>
        <w:t xml:space="preserve">membrane: </w:t>
      </w:r>
      <w:r>
        <w:rPr>
          <w:rFonts w:ascii="Arial" w:cs="Arial" w:eastAsia="Arial" w:hAnsi="Arial"/>
          <w:sz w:val="22"/>
          <w:szCs w:val="22"/>
        </w:rPr>
        <w:t xml:space="preserve">gene product is an integral membrane protein or membrane-associated (plasma membrane ATPases, transporters, GTPases)</w:t>
      </w:r>
    </w:p>
    <w:p>
      <w:pPr>
        <w:pStyle w:val="ListParagraph"/>
        <w:numPr>
          <w:ilvl w:val="0"/>
          <w:numId w:val="2"/>
        </w:numPr>
        <w:spacing w:before="40" w:after="40"/>
      </w:pPr>
      <w:r>
        <w:rPr>
          <w:rFonts w:ascii="Arial" w:cs="Arial" w:eastAsia="Arial" w:hAnsi="Arial"/>
          <w:b/>
          <w:bCs/>
          <w:sz w:val="22"/>
          <w:szCs w:val="22"/>
        </w:rPr>
        <w:t xml:space="preserve">vacuole: </w:t>
      </w:r>
      <w:r>
        <w:rPr>
          <w:rFonts w:ascii="Arial" w:cs="Arial" w:eastAsia="Arial" w:hAnsi="Arial"/>
          <w:sz w:val="22"/>
          <w:szCs w:val="22"/>
        </w:rPr>
        <w:t xml:space="preserve">gene product is localised to the vacuole or vacuolar membrane (vacuolar transport, autophagy)</w:t>
      </w:r>
    </w:p>
    <w:p>
      <w:pPr>
        <w:pStyle w:val="ListParagraph"/>
        <w:numPr>
          <w:ilvl w:val="0"/>
          <w:numId w:val="2"/>
        </w:numPr>
        <w:spacing w:before="40" w:after="40"/>
      </w:pPr>
      <w:r>
        <w:rPr>
          <w:rFonts w:ascii="Arial" w:cs="Arial" w:eastAsia="Arial" w:hAnsi="Arial"/>
          <w:b/>
          <w:bCs/>
          <w:sz w:val="22"/>
          <w:szCs w:val="22"/>
        </w:rPr>
        <w:t xml:space="preserve">cell_wall: </w:t>
      </w:r>
      <w:r>
        <w:rPr>
          <w:rFonts w:ascii="Arial" w:cs="Arial" w:eastAsia="Arial" w:hAnsi="Arial"/>
          <w:sz w:val="22"/>
          <w:szCs w:val="22"/>
        </w:rPr>
        <w:t xml:space="preserve">gene product acts at or is associated with the cell wall (cell wall-associated hydrolases)</w:t>
      </w:r>
    </w:p>
    <w:p>
      <w:pPr>
        <w:spacing w:before="0" w:after="120"/>
      </w:pPr>
      <w:r>
        <w:t xml:space="preserve"/>
      </w:r>
    </w:p>
    <w:p>
      <w:pPr>
        <w:pStyle w:val="Heading3"/>
        <w:spacing w:before="180" w:after="60"/>
      </w:pPr>
      <w:r>
        <w:rPr>
          <w:rFonts w:ascii="Arial" w:cs="Arial" w:eastAsia="Arial" w:hAnsi="Arial"/>
          <w:b/>
          <w:bCs/>
          <w:color w:val="404040"/>
          <w:sz w:val="24"/>
          <w:szCs w:val="24"/>
        </w:rPr>
        <w:t xml:space="preserve">Y2 — Growth condition</w:t>
      </w:r>
    </w:p>
    <w:p>
      <w:pPr>
        <w:pStyle w:val="ListParagraph"/>
        <w:numPr>
          <w:ilvl w:val="0"/>
          <w:numId w:val="2"/>
        </w:numPr>
        <w:spacing w:before="40" w:after="40"/>
      </w:pPr>
      <w:r>
        <w:rPr>
          <w:rFonts w:ascii="Arial" w:cs="Arial" w:eastAsia="Arial" w:hAnsi="Arial"/>
          <w:b/>
          <w:bCs/>
          <w:sz w:val="22"/>
          <w:szCs w:val="22"/>
        </w:rPr>
        <w:t xml:space="preserve">aerobic: </w:t>
      </w:r>
      <w:r>
        <w:rPr>
          <w:rFonts w:ascii="Arial" w:cs="Arial" w:eastAsia="Arial" w:hAnsi="Arial"/>
          <w:sz w:val="22"/>
          <w:szCs w:val="22"/>
        </w:rPr>
        <w:t xml:space="preserve">gene is required or highly expressed under aerobic respiration conditions</w:t>
      </w:r>
    </w:p>
    <w:p>
      <w:pPr>
        <w:pStyle w:val="ListParagraph"/>
        <w:numPr>
          <w:ilvl w:val="0"/>
          <w:numId w:val="2"/>
        </w:numPr>
        <w:spacing w:before="40" w:after="40"/>
      </w:pPr>
      <w:r>
        <w:rPr>
          <w:rFonts w:ascii="Arial" w:cs="Arial" w:eastAsia="Arial" w:hAnsi="Arial"/>
          <w:b/>
          <w:bCs/>
          <w:sz w:val="22"/>
          <w:szCs w:val="22"/>
        </w:rPr>
        <w:t xml:space="preserve">anaerobic: </w:t>
      </w:r>
      <w:r>
        <w:rPr>
          <w:rFonts w:ascii="Arial" w:cs="Arial" w:eastAsia="Arial" w:hAnsi="Arial"/>
          <w:sz w:val="22"/>
          <w:szCs w:val="22"/>
        </w:rPr>
        <w:t xml:space="preserve">gene is required or upregulated under anaerobic/fermentative conditions (e.g., glycolytic enzymes active under fermentation)</w:t>
      </w:r>
    </w:p>
    <w:p>
      <w:pPr>
        <w:pStyle w:val="ListParagraph"/>
        <w:numPr>
          <w:ilvl w:val="0"/>
          <w:numId w:val="2"/>
        </w:numPr>
        <w:spacing w:before="40" w:after="40"/>
      </w:pPr>
      <w:r>
        <w:rPr>
          <w:rFonts w:ascii="Arial" w:cs="Arial" w:eastAsia="Arial" w:hAnsi="Arial"/>
          <w:b/>
          <w:bCs/>
          <w:sz w:val="22"/>
          <w:szCs w:val="22"/>
        </w:rPr>
        <w:t xml:space="preserve">glucose: </w:t>
      </w:r>
      <w:r>
        <w:rPr>
          <w:rFonts w:ascii="Arial" w:cs="Arial" w:eastAsia="Arial" w:hAnsi="Arial"/>
          <w:sz w:val="22"/>
          <w:szCs w:val="22"/>
        </w:rPr>
        <w:t xml:space="preserve">gene is active or required when glucose is the carbon source (the default growth condition for S. cerevisiae)</w:t>
      </w:r>
    </w:p>
    <w:p>
      <w:pPr>
        <w:pStyle w:val="ListParagraph"/>
        <w:numPr>
          <w:ilvl w:val="0"/>
          <w:numId w:val="2"/>
        </w:numPr>
        <w:spacing w:before="40" w:after="40"/>
      </w:pPr>
      <w:r>
        <w:rPr>
          <w:rFonts w:ascii="Arial" w:cs="Arial" w:eastAsia="Arial" w:hAnsi="Arial"/>
          <w:b/>
          <w:bCs/>
          <w:sz w:val="22"/>
          <w:szCs w:val="22"/>
        </w:rPr>
        <w:t xml:space="preserve">galactose: </w:t>
      </w:r>
      <w:r>
        <w:rPr>
          <w:rFonts w:ascii="Arial" w:cs="Arial" w:eastAsia="Arial" w:hAnsi="Arial"/>
          <w:sz w:val="22"/>
          <w:szCs w:val="22"/>
        </w:rPr>
        <w:t xml:space="preserve">gene is specifically induced or required when galactose is the sole carbon source (GAL regulon genes)</w:t>
      </w:r>
    </w:p>
    <w:p>
      <w:pPr>
        <w:pStyle w:val="ListParagraph"/>
        <w:numPr>
          <w:ilvl w:val="0"/>
          <w:numId w:val="2"/>
        </w:numPr>
        <w:spacing w:before="40" w:after="40"/>
      </w:pPr>
      <w:r>
        <w:rPr>
          <w:rFonts w:ascii="Arial" w:cs="Arial" w:eastAsia="Arial" w:hAnsi="Arial"/>
          <w:b/>
          <w:bCs/>
          <w:sz w:val="22"/>
          <w:szCs w:val="22"/>
        </w:rPr>
        <w:t xml:space="preserve">glycerol: </w:t>
      </w:r>
      <w:r>
        <w:rPr>
          <w:rFonts w:ascii="Arial" w:cs="Arial" w:eastAsia="Arial" w:hAnsi="Arial"/>
          <w:sz w:val="22"/>
          <w:szCs w:val="22"/>
        </w:rPr>
        <w:t xml:space="preserve">gene is required for growth on glycerol as sole carbon source (respiratory metabolism, stress tolerance)</w:t>
      </w:r>
    </w:p>
    <w:p>
      <w:pPr>
        <w:pStyle w:val="ListParagraph"/>
        <w:numPr>
          <w:ilvl w:val="0"/>
          <w:numId w:val="2"/>
        </w:numPr>
        <w:spacing w:before="40" w:after="40"/>
      </w:pPr>
      <w:r>
        <w:rPr>
          <w:rFonts w:ascii="Arial" w:cs="Arial" w:eastAsia="Arial" w:hAnsi="Arial"/>
          <w:b/>
          <w:bCs/>
          <w:sz w:val="22"/>
          <w:szCs w:val="22"/>
        </w:rPr>
        <w:t xml:space="preserve">starvation: </w:t>
      </w:r>
      <w:r>
        <w:rPr>
          <w:rFonts w:ascii="Arial" w:cs="Arial" w:eastAsia="Arial" w:hAnsi="Arial"/>
          <w:sz w:val="22"/>
          <w:szCs w:val="22"/>
        </w:rPr>
        <w:t xml:space="preserve">gene is induced or required under nutrient starvation conditions (autophagy, retrograde signaling, amino acid limitation response)</w:t>
      </w:r>
    </w:p>
    <w:p>
      <w:pPr>
        <w:spacing w:before="0" w:after="120"/>
      </w:pPr>
      <w:r>
        <w:t xml:space="preserve"/>
      </w:r>
    </w:p>
    <w:p>
      <w:pPr>
        <w:pStyle w:val="Heading3"/>
        <w:spacing w:before="180" w:after="60"/>
      </w:pPr>
      <w:r>
        <w:rPr>
          <w:rFonts w:ascii="Arial" w:cs="Arial" w:eastAsia="Arial" w:hAnsi="Arial"/>
          <w:b/>
          <w:bCs/>
          <w:color w:val="404040"/>
          <w:sz w:val="24"/>
          <w:szCs w:val="24"/>
        </w:rPr>
        <w:t xml:space="preserve">Y3 — Stress response</w:t>
      </w:r>
    </w:p>
    <w:p>
      <w:pPr>
        <w:pStyle w:val="ListParagraph"/>
        <w:numPr>
          <w:ilvl w:val="0"/>
          <w:numId w:val="2"/>
        </w:numPr>
        <w:spacing w:before="40" w:after="40"/>
      </w:pPr>
      <w:r>
        <w:rPr>
          <w:rFonts w:ascii="Arial" w:cs="Arial" w:eastAsia="Arial" w:hAnsi="Arial"/>
          <w:b/>
          <w:bCs/>
          <w:sz w:val="22"/>
          <w:szCs w:val="22"/>
        </w:rPr>
        <w:t xml:space="preserve">heat: </w:t>
      </w:r>
      <w:r>
        <w:rPr>
          <w:rFonts w:ascii="Arial" w:cs="Arial" w:eastAsia="Arial" w:hAnsi="Arial"/>
          <w:sz w:val="22"/>
          <w:szCs w:val="22"/>
        </w:rPr>
        <w:t xml:space="preserve">gene product participates in the heat shock response or is required for thermotolerance</w:t>
      </w:r>
    </w:p>
    <w:p>
      <w:pPr>
        <w:pStyle w:val="ListParagraph"/>
        <w:numPr>
          <w:ilvl w:val="0"/>
          <w:numId w:val="2"/>
        </w:numPr>
        <w:spacing w:before="40" w:after="40"/>
      </w:pPr>
      <w:r>
        <w:rPr>
          <w:rFonts w:ascii="Arial" w:cs="Arial" w:eastAsia="Arial" w:hAnsi="Arial"/>
          <w:b/>
          <w:bCs/>
          <w:sz w:val="22"/>
          <w:szCs w:val="22"/>
        </w:rPr>
        <w:t xml:space="preserve">oxidative: </w:t>
      </w:r>
      <w:r>
        <w:rPr>
          <w:rFonts w:ascii="Arial" w:cs="Arial" w:eastAsia="Arial" w:hAnsi="Arial"/>
          <w:sz w:val="22"/>
          <w:szCs w:val="22"/>
        </w:rPr>
        <w:t xml:space="preserve">gene product is involved in oxidative stress response or resistance to reactive oxygen species</w:t>
      </w:r>
    </w:p>
    <w:p>
      <w:pPr>
        <w:pStyle w:val="ListParagraph"/>
        <w:numPr>
          <w:ilvl w:val="0"/>
          <w:numId w:val="2"/>
        </w:numPr>
        <w:spacing w:before="40" w:after="40"/>
      </w:pPr>
      <w:r>
        <w:rPr>
          <w:rFonts w:ascii="Arial" w:cs="Arial" w:eastAsia="Arial" w:hAnsi="Arial"/>
          <w:b/>
          <w:bCs/>
          <w:sz w:val="22"/>
          <w:szCs w:val="22"/>
        </w:rPr>
        <w:t xml:space="preserve">osmotic: </w:t>
      </w:r>
      <w:r>
        <w:rPr>
          <w:rFonts w:ascii="Arial" w:cs="Arial" w:eastAsia="Arial" w:hAnsi="Arial"/>
          <w:sz w:val="22"/>
          <w:szCs w:val="22"/>
        </w:rPr>
        <w:t xml:space="preserve">gene product is required for response to osmotic stress (high salt or sorbitol); includes HOG pathway components and cytoskeletal genes</w:t>
      </w:r>
    </w:p>
    <w:p>
      <w:pPr>
        <w:pStyle w:val="ListParagraph"/>
        <w:numPr>
          <w:ilvl w:val="0"/>
          <w:numId w:val="2"/>
        </w:numPr>
        <w:spacing w:before="40" w:after="40"/>
      </w:pPr>
      <w:r>
        <w:rPr>
          <w:rFonts w:ascii="Arial" w:cs="Arial" w:eastAsia="Arial" w:hAnsi="Arial"/>
          <w:b/>
          <w:bCs/>
          <w:sz w:val="22"/>
          <w:szCs w:val="22"/>
        </w:rPr>
        <w:t xml:space="preserve">DNA_damage: </w:t>
      </w:r>
      <w:r>
        <w:rPr>
          <w:rFonts w:ascii="Arial" w:cs="Arial" w:eastAsia="Arial" w:hAnsi="Arial"/>
          <w:sz w:val="22"/>
          <w:szCs w:val="22"/>
        </w:rPr>
        <w:t xml:space="preserve">gene product participates in the DNA damage checkpoint, DNA repair, or replication stress response</w:t>
      </w:r>
    </w:p>
    <w:p>
      <w:pPr>
        <w:pStyle w:val="ListParagraph"/>
        <w:numPr>
          <w:ilvl w:val="0"/>
          <w:numId w:val="2"/>
        </w:numPr>
        <w:spacing w:before="40" w:after="40"/>
      </w:pPr>
      <w:r>
        <w:rPr>
          <w:rFonts w:ascii="Arial" w:cs="Arial" w:eastAsia="Arial" w:hAnsi="Arial"/>
          <w:b/>
          <w:bCs/>
          <w:sz w:val="22"/>
          <w:szCs w:val="22"/>
        </w:rPr>
        <w:t xml:space="preserve">ER_stress: </w:t>
      </w:r>
      <w:r>
        <w:rPr>
          <w:rFonts w:ascii="Arial" w:cs="Arial" w:eastAsia="Arial" w:hAnsi="Arial"/>
          <w:sz w:val="22"/>
          <w:szCs w:val="22"/>
        </w:rPr>
        <w:t xml:space="preserve">gene product is involved in the unfolded protein response (UPR) or ER-associated protein quality control</w:t>
      </w:r>
    </w:p>
    <w:p>
      <w:pPr>
        <w:pStyle w:val="ListParagraph"/>
        <w:numPr>
          <w:ilvl w:val="0"/>
          <w:numId w:val="2"/>
        </w:numPr>
        <w:spacing w:before="40" w:after="40"/>
      </w:pPr>
      <w:r>
        <w:rPr>
          <w:rFonts w:ascii="Arial" w:cs="Arial" w:eastAsia="Arial" w:hAnsi="Arial"/>
          <w:b/>
          <w:bCs/>
          <w:sz w:val="22"/>
          <w:szCs w:val="22"/>
        </w:rPr>
        <w:t xml:space="preserve">nitrogen: </w:t>
      </w:r>
      <w:r>
        <w:rPr>
          <w:rFonts w:ascii="Arial" w:cs="Arial" w:eastAsia="Arial" w:hAnsi="Arial"/>
          <w:sz w:val="22"/>
          <w:szCs w:val="22"/>
        </w:rPr>
        <w:t xml:space="preserve">gene product responds to nitrogen limitation or is involved in nitrogen catabolite repression</w:t>
      </w:r>
    </w:p>
    <w:p>
      <w:pPr>
        <w:spacing w:before="0" w:after="120"/>
      </w:pPr>
      <w:r>
        <w:t xml:space="preserve"/>
      </w:r>
    </w:p>
    <w:p>
      <w:pPr>
        <w:pStyle w:val="Heading3"/>
        <w:spacing w:before="180" w:after="60"/>
      </w:pPr>
      <w:r>
        <w:rPr>
          <w:rFonts w:ascii="Arial" w:cs="Arial" w:eastAsia="Arial" w:hAnsi="Arial"/>
          <w:b/>
          <w:bCs/>
          <w:color w:val="404040"/>
          <w:sz w:val="24"/>
          <w:szCs w:val="24"/>
        </w:rPr>
        <w:t xml:space="preserve">Y4 — Interaction type</w:t>
      </w:r>
    </w:p>
    <w:p>
      <w:pPr>
        <w:pStyle w:val="ListParagraph"/>
        <w:numPr>
          <w:ilvl w:val="0"/>
          <w:numId w:val="2"/>
        </w:numPr>
        <w:spacing w:before="40" w:after="40"/>
      </w:pPr>
      <w:r>
        <w:rPr>
          <w:rFonts w:ascii="Arial" w:cs="Arial" w:eastAsia="Arial" w:hAnsi="Arial"/>
          <w:b/>
          <w:bCs/>
          <w:sz w:val="22"/>
          <w:szCs w:val="22"/>
        </w:rPr>
        <w:t xml:space="preserve">protein_binding: </w:t>
      </w:r>
      <w:r>
        <w:rPr>
          <w:rFonts w:ascii="Arial" w:cs="Arial" w:eastAsia="Arial" w:hAnsi="Arial"/>
          <w:sz w:val="22"/>
          <w:szCs w:val="22"/>
        </w:rPr>
        <w:t xml:space="preserve">gene product directly interacts with other proteins (protein complexes, substrates, regulatory partners)</w:t>
      </w:r>
    </w:p>
    <w:p>
      <w:pPr>
        <w:pStyle w:val="ListParagraph"/>
        <w:numPr>
          <w:ilvl w:val="0"/>
          <w:numId w:val="2"/>
        </w:numPr>
        <w:spacing w:before="40" w:after="40"/>
      </w:pPr>
      <w:r>
        <w:rPr>
          <w:rFonts w:ascii="Arial" w:cs="Arial" w:eastAsia="Arial" w:hAnsi="Arial"/>
          <w:b/>
          <w:bCs/>
          <w:sz w:val="22"/>
          <w:szCs w:val="22"/>
        </w:rPr>
        <w:t xml:space="preserve">DNA_binding: </w:t>
      </w:r>
      <w:r>
        <w:rPr>
          <w:rFonts w:ascii="Arial" w:cs="Arial" w:eastAsia="Arial" w:hAnsi="Arial"/>
          <w:sz w:val="22"/>
          <w:szCs w:val="22"/>
        </w:rPr>
        <w:t xml:space="preserve">gene product directly binds DNA (transcription factors, DNA repair proteins, chromatin remodelers)</w:t>
      </w:r>
    </w:p>
    <w:p>
      <w:pPr>
        <w:pStyle w:val="ListParagraph"/>
        <w:numPr>
          <w:ilvl w:val="0"/>
          <w:numId w:val="2"/>
        </w:numPr>
        <w:spacing w:before="40" w:after="40"/>
      </w:pPr>
      <w:r>
        <w:rPr>
          <w:rFonts w:ascii="Arial" w:cs="Arial" w:eastAsia="Arial" w:hAnsi="Arial"/>
          <w:b/>
          <w:bCs/>
          <w:sz w:val="22"/>
          <w:szCs w:val="22"/>
        </w:rPr>
        <w:t xml:space="preserve">RNA_binding: </w:t>
      </w:r>
      <w:r>
        <w:rPr>
          <w:rFonts w:ascii="Arial" w:cs="Arial" w:eastAsia="Arial" w:hAnsi="Arial"/>
          <w:sz w:val="22"/>
          <w:szCs w:val="22"/>
        </w:rPr>
        <w:t xml:space="preserve">gene product directly binds RNA (RNA processing, ribosome assembly)</w:t>
      </w:r>
    </w:p>
    <w:p>
      <w:pPr>
        <w:pStyle w:val="ListParagraph"/>
        <w:numPr>
          <w:ilvl w:val="0"/>
          <w:numId w:val="2"/>
        </w:numPr>
        <w:spacing w:before="40" w:after="40"/>
      </w:pPr>
      <w:r>
        <w:rPr>
          <w:rFonts w:ascii="Arial" w:cs="Arial" w:eastAsia="Arial" w:hAnsi="Arial"/>
          <w:b/>
          <w:bCs/>
          <w:sz w:val="22"/>
          <w:szCs w:val="22"/>
        </w:rPr>
        <w:t xml:space="preserve">lipid_binding: </w:t>
      </w:r>
      <w:r>
        <w:rPr>
          <w:rFonts w:ascii="Arial" w:cs="Arial" w:eastAsia="Arial" w:hAnsi="Arial"/>
          <w:sz w:val="22"/>
          <w:szCs w:val="22"/>
        </w:rPr>
        <w:t xml:space="preserve">gene product binds lipids or phospholipids (lipid metabolism enzymes, membrane-associated proteins)</w:t>
      </w:r>
    </w:p>
    <w:p>
      <w:pPr>
        <w:pStyle w:val="ListParagraph"/>
        <w:numPr>
          <w:ilvl w:val="0"/>
          <w:numId w:val="2"/>
        </w:numPr>
        <w:spacing w:before="40" w:after="40"/>
      </w:pPr>
      <w:r>
        <w:rPr>
          <w:rFonts w:ascii="Arial" w:cs="Arial" w:eastAsia="Arial" w:hAnsi="Arial"/>
          <w:b/>
          <w:bCs/>
          <w:sz w:val="22"/>
          <w:szCs w:val="22"/>
        </w:rPr>
        <w:t xml:space="preserve">metal_binding: </w:t>
      </w:r>
      <w:r>
        <w:rPr>
          <w:rFonts w:ascii="Arial" w:cs="Arial" w:eastAsia="Arial" w:hAnsi="Arial"/>
          <w:sz w:val="22"/>
          <w:szCs w:val="22"/>
        </w:rPr>
        <w:t xml:space="preserve">gene product requires a metal cofactor (Mg2+, Zn2+, Cu2+, Fe2+) for activity; includes ATPases, GTPases, metalloenzymes, and most metabolic enzymes</w:t>
      </w:r>
    </w:p>
    <w:p>
      <w:pPr>
        <w:spacing w:before="0" w:after="120"/>
      </w:pPr>
      <w:r>
        <w:t xml:space="preserve"/>
      </w:r>
    </w:p>
    <w:p>
      <w:pPr>
        <w:pStyle w:val="Heading3"/>
        <w:spacing w:before="180" w:after="60"/>
      </w:pPr>
      <w:r>
        <w:rPr>
          <w:rFonts w:ascii="Arial" w:cs="Arial" w:eastAsia="Arial" w:hAnsi="Arial"/>
          <w:b/>
          <w:bCs/>
          <w:color w:val="404040"/>
          <w:sz w:val="24"/>
          <w:szCs w:val="24"/>
        </w:rPr>
        <w:t xml:space="preserve">Y5 — Functional class</w:t>
      </w:r>
    </w:p>
    <w:p>
      <w:pPr>
        <w:pStyle w:val="ListParagraph"/>
        <w:numPr>
          <w:ilvl w:val="0"/>
          <w:numId w:val="2"/>
        </w:numPr>
        <w:spacing w:before="40" w:after="40"/>
      </w:pPr>
      <w:r>
        <w:rPr>
          <w:rFonts w:ascii="Arial" w:cs="Arial" w:eastAsia="Arial" w:hAnsi="Arial"/>
          <w:b/>
          <w:bCs/>
          <w:sz w:val="22"/>
          <w:szCs w:val="22"/>
        </w:rPr>
        <w:t xml:space="preserve">metabolism: </w:t>
      </w:r>
      <w:r>
        <w:rPr>
          <w:rFonts w:ascii="Arial" w:cs="Arial" w:eastAsia="Arial" w:hAnsi="Arial"/>
          <w:sz w:val="22"/>
          <w:szCs w:val="22"/>
        </w:rPr>
        <w:t xml:space="preserve">gene participates in central or secondary metabolism (glycolysis, TCA cycle, fatty acid biosynthesis, amino acid synthesis, lipid metabolism)</w:t>
      </w:r>
    </w:p>
    <w:p>
      <w:pPr>
        <w:pStyle w:val="ListParagraph"/>
        <w:numPr>
          <w:ilvl w:val="0"/>
          <w:numId w:val="2"/>
        </w:numPr>
        <w:spacing w:before="40" w:after="40"/>
      </w:pPr>
      <w:r>
        <w:rPr>
          <w:rFonts w:ascii="Arial" w:cs="Arial" w:eastAsia="Arial" w:hAnsi="Arial"/>
          <w:b/>
          <w:bCs/>
          <w:sz w:val="22"/>
          <w:szCs w:val="22"/>
        </w:rPr>
        <w:t xml:space="preserve">signaling: </w:t>
      </w:r>
      <w:r>
        <w:rPr>
          <w:rFonts w:ascii="Arial" w:cs="Arial" w:eastAsia="Arial" w:hAnsi="Arial"/>
          <w:sz w:val="22"/>
          <w:szCs w:val="22"/>
        </w:rPr>
        <w:t xml:space="preserve">gene participates in intracellular signal transduction (MAPK cascades, cyclin-CDK signaling, Ras/cAMP pathway, TOR pathway)</w:t>
      </w:r>
    </w:p>
    <w:p>
      <w:pPr>
        <w:pStyle w:val="ListParagraph"/>
        <w:numPr>
          <w:ilvl w:val="0"/>
          <w:numId w:val="2"/>
        </w:numPr>
        <w:spacing w:before="40" w:after="40"/>
      </w:pPr>
      <w:r>
        <w:rPr>
          <w:rFonts w:ascii="Arial" w:cs="Arial" w:eastAsia="Arial" w:hAnsi="Arial"/>
          <w:b/>
          <w:bCs/>
          <w:sz w:val="22"/>
          <w:szCs w:val="22"/>
        </w:rPr>
        <w:t xml:space="preserve">transcription: </w:t>
      </w:r>
      <w:r>
        <w:rPr>
          <w:rFonts w:ascii="Arial" w:cs="Arial" w:eastAsia="Arial" w:hAnsi="Arial"/>
          <w:sz w:val="22"/>
          <w:szCs w:val="22"/>
        </w:rPr>
        <w:t xml:space="preserve">gene is involved in transcriptional regulation, chromatin modification, or transcription factor activity</w:t>
      </w:r>
    </w:p>
    <w:p>
      <w:pPr>
        <w:pStyle w:val="ListParagraph"/>
        <w:numPr>
          <w:ilvl w:val="0"/>
          <w:numId w:val="2"/>
        </w:numPr>
        <w:spacing w:before="40" w:after="40"/>
      </w:pPr>
      <w:r>
        <w:rPr>
          <w:rFonts w:ascii="Arial" w:cs="Arial" w:eastAsia="Arial" w:hAnsi="Arial"/>
          <w:b/>
          <w:bCs/>
          <w:sz w:val="22"/>
          <w:szCs w:val="22"/>
        </w:rPr>
        <w:t xml:space="preserve">transport: </w:t>
      </w:r>
      <w:r>
        <w:rPr>
          <w:rFonts w:ascii="Arial" w:cs="Arial" w:eastAsia="Arial" w:hAnsi="Arial"/>
          <w:sz w:val="22"/>
          <w:szCs w:val="22"/>
        </w:rPr>
        <w:t xml:space="preserve">gene is involved in membrane transport, vesicle trafficking, secretion, or vacuolar sorting</w:t>
      </w:r>
    </w:p>
    <w:p>
      <w:pPr>
        <w:pStyle w:val="ListParagraph"/>
        <w:numPr>
          <w:ilvl w:val="0"/>
          <w:numId w:val="2"/>
        </w:numPr>
        <w:spacing w:before="40" w:after="40"/>
      </w:pPr>
      <w:r>
        <w:rPr>
          <w:rFonts w:ascii="Arial" w:cs="Arial" w:eastAsia="Arial" w:hAnsi="Arial"/>
          <w:b/>
          <w:bCs/>
          <w:sz w:val="22"/>
          <w:szCs w:val="22"/>
        </w:rPr>
        <w:t xml:space="preserve">repair: </w:t>
      </w:r>
      <w:r>
        <w:rPr>
          <w:rFonts w:ascii="Arial" w:cs="Arial" w:eastAsia="Arial" w:hAnsi="Arial"/>
          <w:sz w:val="22"/>
          <w:szCs w:val="22"/>
        </w:rPr>
        <w:t xml:space="preserve">gene is involved in DNA repair, genome maintenance, or the DNA damage checkpoint</w:t>
      </w:r>
    </w:p>
    <w:p>
      <w:pPr>
        <w:pStyle w:val="ListParagraph"/>
        <w:numPr>
          <w:ilvl w:val="0"/>
          <w:numId w:val="2"/>
        </w:numPr>
        <w:spacing w:before="40" w:after="40"/>
      </w:pPr>
      <w:r>
        <w:rPr>
          <w:rFonts w:ascii="Arial" w:cs="Arial" w:eastAsia="Arial" w:hAnsi="Arial"/>
          <w:b/>
          <w:bCs/>
          <w:sz w:val="22"/>
          <w:szCs w:val="22"/>
        </w:rPr>
        <w:t xml:space="preserve">structure: </w:t>
      </w:r>
      <w:r>
        <w:rPr>
          <w:rFonts w:ascii="Arial" w:cs="Arial" w:eastAsia="Arial" w:hAnsi="Arial"/>
          <w:sz w:val="22"/>
          <w:szCs w:val="22"/>
        </w:rPr>
        <w:t xml:space="preserve">gene encodes a structural protein involved in cytoskeleton organisation, cell polarity, or cell morphology</w:t>
      </w:r>
    </w:p>
    <w:p>
      <w:pPr>
        <w:spacing w:before="0" w:after="120"/>
      </w:pPr>
      <w:r>
        <w:t xml:space="preserve"/>
      </w:r>
    </w:p>
    <w:p>
      <w:pPr>
        <w:pStyle w:val="Heading2"/>
        <w:spacing w:before="240" w:after="80"/>
      </w:pPr>
      <w:r>
        <w:rPr>
          <w:rFonts w:ascii="Arial" w:cs="Arial" w:eastAsia="Arial" w:hAnsi="Arial"/>
          <w:b/>
          <w:bCs/>
          <w:color w:val="2E5E9E"/>
          <w:sz w:val="26"/>
          <w:szCs w:val="26"/>
        </w:rPr>
        <w:t xml:space="preserve">1.7  Usage Notes</w:t>
      </w:r>
    </w:p>
    <w:p>
      <w:pPr>
        <w:pStyle w:val="ListParagraph"/>
        <w:numPr>
          <w:ilvl w:val="0"/>
          <w:numId w:val="2"/>
        </w:numPr>
        <w:spacing w:before="40" w:after="40"/>
      </w:pPr>
      <w:r>
        <w:rPr>
          <w:rFonts w:ascii="Arial" w:cs="Arial" w:eastAsia="Arial" w:hAnsi="Arial"/>
          <w:sz w:val="22"/>
          <w:szCs w:val="22"/>
        </w:rPr>
        <w:t xml:space="preserve">This dataset is suitable as a benchmark for symbolic HOMALS, symbolic k-means, symbolic principal component analysis, and other SDA methods that accept set-valued categorical variables.</w:t>
      </w:r>
    </w:p>
    <w:p>
      <w:pPr>
        <w:pStyle w:val="ListParagraph"/>
        <w:numPr>
          <w:ilvl w:val="0"/>
          <w:numId w:val="2"/>
        </w:numPr>
        <w:spacing w:before="40" w:after="40"/>
      </w:pPr>
      <w:r>
        <w:rPr>
          <w:rFonts w:ascii="Arial" w:cs="Arial" w:eastAsia="Arial" w:hAnsi="Arial"/>
          <w:sz w:val="22"/>
          <w:szCs w:val="22"/>
        </w:rPr>
        <w:t xml:space="preserve">The closed vocabulary per variable (5–7 labels) ensures a sparse but overlapping label structure: every gene shares at least one label with other genes in each variable, enabling meaningful symbolic distance computation.</w:t>
      </w:r>
    </w:p>
    <w:p>
      <w:pPr>
        <w:pStyle w:val="ListParagraph"/>
        <w:numPr>
          <w:ilvl w:val="0"/>
          <w:numId w:val="2"/>
        </w:numPr>
        <w:spacing w:before="40" w:after="40"/>
      </w:pPr>
      <w:r>
        <w:rPr>
          <w:rFonts w:ascii="Arial" w:cs="Arial" w:eastAsia="Arial" w:hAnsi="Arial"/>
          <w:sz w:val="22"/>
          <w:szCs w:val="22"/>
        </w:rPr>
        <w:t xml:space="preserve">The five variables capture biologically orthogonal dimensions (location, condition, stress, interaction, function), analogous to how the Bird colors dataset's single variable captures colors across independent species. This multi-variable structure allows symbolic clustering to reveal gene groupings not visible from any single variable alone.</w:t>
      </w:r>
    </w:p>
    <w:p>
      <w:pPr>
        <w:pStyle w:val="ListParagraph"/>
        <w:numPr>
          <w:ilvl w:val="0"/>
          <w:numId w:val="2"/>
        </w:numPr>
        <w:spacing w:before="40" w:after="40"/>
      </w:pPr>
      <w:r>
        <w:rPr>
          <w:rFonts w:ascii="Arial" w:cs="Arial" w:eastAsia="Arial" w:hAnsi="Arial"/>
          <w:sz w:val="22"/>
          <w:szCs w:val="22"/>
        </w:rPr>
        <w:t xml:space="preserve">Genes that share identical sets across all five variables form a natural equivalence class in the symbolic sense. For example, MDH1 and NDI1 are both mitochondrial metabolic enzymes active under aerobic/glycerol conditions with oxidative stress response, and receive identical symbolic descriptions.</w:t>
      </w:r>
    </w:p>
    <w:p>
      <w:pPr>
        <w:pStyle w:val="ListParagraph"/>
        <w:numPr>
          <w:ilvl w:val="0"/>
          <w:numId w:val="2"/>
        </w:numPr>
        <w:spacing w:before="40" w:after="40"/>
      </w:pPr>
      <w:r>
        <w:rPr>
          <w:rFonts w:ascii="Arial" w:cs="Arial" w:eastAsia="Arial" w:hAnsi="Arial"/>
          <w:sz w:val="22"/>
          <w:szCs w:val="22"/>
        </w:rPr>
        <w:t xml:space="preserve">The dataset can be extended by adding additional genes from SGD with well-curated GO slim annotations, or by adding additional symbolic variables (e.g., chromosomal arm, protein complex membership, essentiality class).</w:t>
      </w:r>
    </w:p>
    <w:p>
      <w:pPr>
        <w:spacing w:before="0" w:after="120"/>
      </w:pPr>
      <w:r>
        <w:t xml:space="preserve"/>
      </w:r>
    </w:p>
    <w:p>
      <w:pPr>
        <w:pBdr>
          <w:bottom w:val="single" w:color="C0C0C0" w:sz="6" w:space="1"/>
        </w:pBdr>
        <w:spacing w:before="120" w:after="120"/>
      </w:pPr>
      <w:r>
        <w:t xml:space="preserve"/>
      </w:r>
    </w:p>
    <w:p>
      <w:pPr>
        <w:pStyle w:val="Heading1"/>
        <w:spacing w:before="360" w:after="120"/>
      </w:pPr>
      <w:r>
        <w:rPr>
          <w:rFonts w:ascii="Arial" w:cs="Arial" w:eastAsia="Arial" w:hAnsi="Arial"/>
          <w:b/>
          <w:bCs/>
          <w:color w:val="1F3864"/>
          <w:sz w:val="32"/>
          <w:szCs w:val="32"/>
        </w:rPr>
        <w:t xml:space="preserve">Dataset 2: Clinical Comorbidity Mapping</w:t>
      </w:r>
    </w:p>
    <w:p>
      <w:pPr>
        <w:pStyle w:val="Heading2"/>
        <w:spacing w:before="240" w:after="80"/>
      </w:pPr>
      <w:r>
        <w:rPr>
          <w:rFonts w:ascii="Arial" w:cs="Arial" w:eastAsia="Arial" w:hAnsi="Arial"/>
          <w:b/>
          <w:bCs/>
          <w:color w:val="2E5E9E"/>
          <w:sz w:val="26"/>
          <w:szCs w:val="26"/>
        </w:rPr>
        <w:t xml:space="preserve">2.1  Overview and Motivation</w:t>
      </w:r>
    </w:p>
    <w:p>
      <w:pPr>
        <w:spacing w:before="60" w:after="80"/>
      </w:pPr>
      <w:r>
        <w:rPr>
          <w:rFonts w:ascii="Arial" w:cs="Arial" w:eastAsia="Arial" w:hAnsi="Arial"/>
          <w:sz w:val="22"/>
          <w:szCs w:val="22"/>
        </w:rPr>
        <w:t xml:space="preserve">Hospital patients frequently present with multiple concurrent conditions simultaneously — a phenomenon known as comorbidity. A single hospital admission generates many ICD diagnostic codes representing different disease processes active at the same time. This many-to-one relationship between an admission and its diagnoses is another canonical example of set-valued data: each admission (object) is described not by a single diagnosis but by a set of diagnoses drawn from a classification system.</w:t>
      </w:r>
    </w:p>
    <w:p>
      <w:pPr>
        <w:spacing w:before="0" w:after="120"/>
      </w:pPr>
      <w:r>
        <w:t xml:space="preserve"/>
      </w:r>
    </w:p>
    <w:p>
      <w:pPr>
        <w:spacing w:before="60" w:after="80"/>
      </w:pPr>
      <w:r>
        <w:rPr>
          <w:rFonts w:ascii="Arial" w:cs="Arial" w:eastAsia="Arial" w:hAnsi="Arial"/>
          <w:sz w:val="22"/>
          <w:szCs w:val="22"/>
        </w:rPr>
        <w:t xml:space="preserve">This dataset aggregates raw ICD-9 diagnostic codes from the MIMIC-III Clinical Database Demo into five set-valued symbolic variables, each representing a distinct clinical dimension. The result is a multi-variable symbolic dataset in which each admission simultaneously carries comorbidity groups, organ system involvements, cardiovascular subtypes, severity markers, and care context flags.</w:t>
      </w:r>
    </w:p>
    <w:p>
      <w:pPr>
        <w:spacing w:before="0" w:after="120"/>
      </w:pPr>
      <w:r>
        <w:t xml:space="preserve"/>
      </w:r>
    </w:p>
    <w:p>
      <w:pPr>
        <w:pStyle w:val="Heading2"/>
        <w:spacing w:before="240" w:after="80"/>
      </w:pPr>
      <w:r>
        <w:rPr>
          <w:rFonts w:ascii="Arial" w:cs="Arial" w:eastAsia="Arial" w:hAnsi="Arial"/>
          <w:b/>
          <w:bCs/>
          <w:color w:val="2E5E9E"/>
          <w:sz w:val="26"/>
          <w:szCs w:val="26"/>
        </w:rPr>
        <w:t xml:space="preserve">2.2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b/>
                <w:bCs/>
                <w:sz w:val="20"/>
                <w:szCs w:val="20"/>
              </w:rPr>
              <w:t xml:space="preserve">File name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clinical_comorbidity_5var_set_valued.csv</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b w:val="false"/>
                <w:bCs w:val="false"/>
                <w:sz w:val="20"/>
                <w:szCs w:val="20"/>
              </w:rPr>
              <w:t xml:space="preserve">Primary source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MIMIC-III Clinical Database Demo v1.4 (PhysioNet)</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b w:val="false"/>
                <w:bCs w:val="false"/>
                <w:sz w:val="20"/>
                <w:szCs w:val="20"/>
              </w:rPr>
              <w:t xml:space="preserve">Source table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DIAGNOSES_ICD.csv</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b w:val="false"/>
                <w:bCs w:val="false"/>
                <w:sz w:val="20"/>
                <w:szCs w:val="20"/>
              </w:rPr>
              <w:t xml:space="preserve">Access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access, no credentialing required for Demo version</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b w:val="false"/>
                <w:bCs w:val="false"/>
                <w:sz w:val="20"/>
                <w:szCs w:val="20"/>
              </w:rPr>
              <w:t xml:space="preserve">License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PhysioNet Credentialed Health Data License 1.5.0</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b w:val="false"/>
                <w:bCs w:val="false"/>
                <w:sz w:val="20"/>
                <w:szCs w:val="20"/>
              </w:rPr>
              <w:t xml:space="preserve">Original coding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ICD-9-CM (International Classification of Diseases, 9th revision)</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b w:val="false"/>
                <w:bCs w:val="false"/>
                <w:sz w:val="20"/>
                <w:szCs w:val="20"/>
              </w:rPr>
              <w:t xml:space="preserve">n (objects)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44 hospital admissions from 40 unique patients</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b w:val="false"/>
                <w:bCs w:val="false"/>
                <w:sz w:val="20"/>
                <w:szCs w:val="20"/>
              </w:rPr>
              <w:t xml:space="preserve">p (variables)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set-valued symbolic variables</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b w:val="false"/>
                <w:bCs w:val="false"/>
                <w:sz w:val="20"/>
                <w:szCs w:val="20"/>
              </w:rPr>
              <w:t xml:space="preserve">Variable type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Multi-valued categorical (set-valued)</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b w:val="false"/>
                <w:bCs w:val="false"/>
                <w:sz w:val="20"/>
                <w:szCs w:val="20"/>
              </w:rPr>
              <w:t xml:space="preserve">Construction date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2025</w:t>
            </w:r>
          </w:p>
        </w:tc>
      </w:tr>
    </w:tbl>
    <w:p>
      <w:pPr>
        <w:spacing w:before="0" w:after="120"/>
      </w:pPr>
      <w:r>
        <w:t xml:space="preserve"/>
      </w:r>
    </w:p>
    <w:p>
      <w:pPr>
        <w:pStyle w:val="Heading2"/>
        <w:spacing w:before="240" w:after="80"/>
      </w:pPr>
      <w:r>
        <w:rPr>
          <w:rFonts w:ascii="Arial" w:cs="Arial" w:eastAsia="Arial" w:hAnsi="Arial"/>
          <w:b/>
          <w:bCs/>
          <w:color w:val="2E5E9E"/>
          <w:sz w:val="26"/>
          <w:szCs w:val="26"/>
        </w:rPr>
        <w:t xml:space="preserve">2.3  Raw Data Source</w:t>
      </w:r>
    </w:p>
    <w:p>
      <w:pPr>
        <w:spacing w:before="60" w:after="80"/>
      </w:pPr>
      <w:r>
        <w:rPr>
          <w:rFonts w:ascii="Arial" w:cs="Arial" w:eastAsia="Arial" w:hAnsi="Arial"/>
          <w:sz w:val="22"/>
          <w:szCs w:val="22"/>
        </w:rPr>
        <w:t xml:space="preserve">The MIMIC-III (Medical Information Mart for Intensive Care) Clinical Database is a large, freely available database comprising de-identified health data of patients admitted to the Beth Israel Deaconess Medical Center (Boston, MA) critical care units between 2001 and 2012. The Demo version contains data for 100 patients and is freely accessible without credentialing. All patient information has been de-identified in accordance with HIPAA safe harbor guidelines.</w:t>
      </w:r>
    </w:p>
    <w:p>
      <w:pPr>
        <w:spacing w:before="0" w:after="120"/>
      </w:pPr>
      <w:r>
        <w:t xml:space="preserve"/>
      </w:r>
    </w:p>
    <w:p>
      <w:pPr>
        <w:spacing w:before="60" w:after="80"/>
      </w:pPr>
      <w:r>
        <w:rPr>
          <w:rFonts w:ascii="Arial" w:cs="Arial" w:eastAsia="Arial" w:hAnsi="Arial"/>
          <w:sz w:val="22"/>
          <w:szCs w:val="22"/>
        </w:rPr>
        <w:t xml:space="preserve">The raw data used here is the DIAGNOSES_ICD table, which lists all ICD-9-CM diagnostic codes recorded for each hospital admission. Each row in the raw table corresponds to one diagnosis for one admission, with the fields: row_id, subject_id (patient), hadm_id (admission), seq_num (diagnosis sequence number, 1 = primary diagnosis), and icd9_code (ICD-9-CM code).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r>
              <w:rPr>
                <w:rFonts w:ascii="Arial" w:cs="Arial" w:eastAsia="Arial" w:hAnsi="Arial"/>
                <w:b/>
                <w:bCs/>
                <w:sz w:val="20"/>
                <w:szCs w:val="20"/>
              </w:rPr>
              <w:t xml:space="preserve">Download URL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https://physionet.org/content/mimiciii-demo/1.4/DIAGNOSES_ICD.csv</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b w:val="false"/>
                <w:bCs w:val="false"/>
                <w:sz w:val="20"/>
                <w:szCs w:val="20"/>
              </w:rPr>
              <w:t xml:space="preserve">Raw format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Long-format CSV: one row per (patient, admission, diagnosis code)</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b w:val="false"/>
                <w:bCs w:val="false"/>
                <w:sz w:val="20"/>
                <w:szCs w:val="20"/>
              </w:rPr>
              <w:t xml:space="preserve">Raw n rows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~700 rows (all admissions, multiple codes per admission)</w:t>
            </w:r>
          </w:p>
        </w:tc>
      </w:tr>
      <w:tr>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b w:val="false"/>
                <w:bCs w:val="false"/>
                <w:sz w:val="20"/>
                <w:szCs w:val="20"/>
              </w:rPr>
              <w:t xml:space="preserve">Coding system</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ICD-9-CM (codes range from 001 to 999, plus E and V codes)</w:t>
            </w:r>
          </w:p>
        </w:tc>
      </w:tr>
    </w:tbl>
    <w:p>
      <w:pPr>
        <w:spacing w:before="0" w:after="120"/>
      </w:pPr>
      <w:r>
        <w:t xml:space="preserve"/>
      </w:r>
    </w:p>
    <w:p>
      <w:pPr>
        <w:pStyle w:val="Heading2"/>
        <w:spacing w:before="240" w:after="80"/>
      </w:pPr>
      <w:r>
        <w:rPr>
          <w:rFonts w:ascii="Arial" w:cs="Arial" w:eastAsia="Arial" w:hAnsi="Arial"/>
          <w:b/>
          <w:bCs/>
          <w:color w:val="2E5E9E"/>
          <w:sz w:val="26"/>
          <w:szCs w:val="26"/>
        </w:rPr>
        <w:t xml:space="preserve">2.4  Aggregation Procedure</w:t>
      </w:r>
    </w:p>
    <w:p>
      <w:pPr>
        <w:spacing w:before="60" w:after="80"/>
      </w:pPr>
      <w:r>
        <w:rPr>
          <w:rFonts w:ascii="Arial" w:cs="Arial" w:eastAsia="Arial" w:hAnsi="Arial"/>
          <w:sz w:val="22"/>
          <w:szCs w:val="22"/>
        </w:rPr>
        <w:t xml:space="preserve">The aggregation transforms the raw long-format ICD-9 table (one row per code) into a wide-format symbolic dataset (one row per admission, five set-valued variables). The procedure has four steps.</w:t>
      </w:r>
    </w:p>
    <w:p>
      <w:pPr>
        <w:spacing w:before="0" w:after="120"/>
      </w:pPr>
      <w:r>
        <w:t xml:space="preserve"/>
      </w:r>
    </w:p>
    <w:p>
      <w:pPr>
        <w:pStyle w:val="Heading3"/>
        <w:spacing w:before="180" w:after="60"/>
      </w:pPr>
      <w:r>
        <w:rPr>
          <w:rFonts w:ascii="Arial" w:cs="Arial" w:eastAsia="Arial" w:hAnsi="Arial"/>
          <w:b/>
          <w:bCs/>
          <w:color w:val="404040"/>
          <w:sz w:val="24"/>
          <w:szCs w:val="24"/>
        </w:rPr>
        <w:t xml:space="preserve">Step 1 — Group by admission</w:t>
      </w:r>
    </w:p>
    <w:p>
      <w:pPr>
        <w:spacing w:before="60" w:after="80"/>
      </w:pPr>
      <w:r>
        <w:rPr>
          <w:rFonts w:ascii="Arial" w:cs="Arial" w:eastAsia="Arial" w:hAnsi="Arial"/>
          <w:sz w:val="22"/>
          <w:szCs w:val="22"/>
        </w:rPr>
        <w:t xml:space="preserve">All ICD-9 codes for each hospital admission (hadm_id) were collected into a list. E codes (external cause of injury) and V codes (supplementary classification) were retained separately for the care context variable (Y5) but excluded from the disease classification variables (Y1–Y4).</w:t>
      </w:r>
    </w:p>
    <w:p>
      <w:pPr>
        <w:spacing w:before="0" w:after="120"/>
      </w:pPr>
      <w:r>
        <w:t xml:space="preserve"/>
      </w:r>
    </w:p>
    <w:p>
      <w:pPr>
        <w:pStyle w:val="Heading3"/>
        <w:spacing w:before="180" w:after="60"/>
      </w:pPr>
      <w:r>
        <w:rPr>
          <w:rFonts w:ascii="Arial" w:cs="Arial" w:eastAsia="Arial" w:hAnsi="Arial"/>
          <w:b/>
          <w:bCs/>
          <w:color w:val="404040"/>
          <w:sz w:val="24"/>
          <w:szCs w:val="24"/>
        </w:rPr>
        <w:t xml:space="preserve">Step 2 — Map ICD-9 codes to Elixhauser comorbidity groups (Y1)</w:t>
      </w:r>
    </w:p>
    <w:p>
      <w:pPr>
        <w:spacing w:before="60" w:after="80"/>
      </w:pPr>
      <w:r>
        <w:rPr>
          <w:rFonts w:ascii="Arial" w:cs="Arial" w:eastAsia="Arial" w:hAnsi="Arial"/>
          <w:sz w:val="22"/>
          <w:szCs w:val="22"/>
        </w:rPr>
        <w:t xml:space="preserve">Each numeric ICD-9 code was mapped to an Elixhauser comorbidity group using the standard Elixhauser comorbidity index ranges. The Elixhauser system defines 30+ comorbidity categories commonly used in clinical outcomes research. For Y1, the following 14 groups with the highest prevalence in the MIMIC-III ICU population were used as the vocabulary:</w:t>
      </w:r>
    </w:p>
    <w:p>
      <w:pPr>
        <w:spacing w:before="0" w:after="12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2760"/>
      </w:tblGrid>
      <w:tr>
        <w:tc>
          <w:tcPr>
            <w:tcW w:type="dxa" w:w="1900"/>
            <w:tcBorders>
              <w:top w:val="single" w:color="4472C4" w:sz="1"/>
              <w:left w:val="single" w:color="4472C4" w:sz="1"/>
              <w:bottom w:val="single" w:color="4472C4" w:sz="1"/>
              <w:right w:val="single" w:color="4472C4" w:sz="1"/>
            </w:tcBorders>
            <w:shd w:fill="2E5E9E" w:val="clear"/>
            <w:tcMar>
              <w:top w:type="dxa" w:w="70"/>
              <w:left w:type="dxa" w:w="110"/>
              <w:bottom w:type="dxa" w:w="70"/>
              <w:right w:type="dxa" w:w="110"/>
            </w:tcMar>
          </w:tcPr>
          <w:p>
            <w:r>
              <w:rPr>
                <w:rFonts w:ascii="Arial" w:cs="Arial" w:eastAsia="Arial" w:hAnsi="Arial"/>
                <w:b/>
                <w:bCs/>
                <w:color w:val="FFFFFF"/>
                <w:sz w:val="18"/>
                <w:szCs w:val="18"/>
              </w:rPr>
              <w:t xml:space="preserve">Label</w:t>
            </w:r>
          </w:p>
        </w:tc>
        <w:tc>
          <w:tcPr>
            <w:tcW w:type="dxa" w:w="2700"/>
            <w:tcBorders>
              <w:top w:val="single" w:color="4472C4" w:sz="1"/>
              <w:left w:val="single" w:color="4472C4" w:sz="1"/>
              <w:bottom w:val="single" w:color="4472C4" w:sz="1"/>
              <w:right w:val="single" w:color="4472C4" w:sz="1"/>
            </w:tcBorders>
            <w:shd w:fill="2E5E9E" w:val="clear"/>
            <w:tcMar>
              <w:top w:type="dxa" w:w="70"/>
              <w:left w:type="dxa" w:w="110"/>
              <w:bottom w:type="dxa" w:w="70"/>
              <w:right w:type="dxa" w:w="110"/>
            </w:tcMar>
          </w:tcPr>
          <w:p>
            <w:r>
              <w:rPr>
                <w:rFonts w:ascii="Arial" w:cs="Arial" w:eastAsia="Arial" w:hAnsi="Arial"/>
                <w:b/>
                <w:bCs/>
                <w:color w:val="FFFFFF"/>
                <w:sz w:val="18"/>
                <w:szCs w:val="18"/>
              </w:rPr>
              <w:t xml:space="preserve">Elixhauser group</w:t>
            </w:r>
          </w:p>
        </w:tc>
        <w:tc>
          <w:tcPr>
            <w:tcW w:type="dxa" w:w="2760"/>
            <w:tcBorders>
              <w:top w:val="single" w:color="4472C4" w:sz="1"/>
              <w:left w:val="single" w:color="4472C4" w:sz="1"/>
              <w:bottom w:val="single" w:color="4472C4" w:sz="1"/>
              <w:right w:val="single" w:color="4472C4" w:sz="1"/>
            </w:tcBorders>
            <w:shd w:fill="2E5E9E" w:val="clear"/>
            <w:tcMar>
              <w:top w:type="dxa" w:w="70"/>
              <w:left w:type="dxa" w:w="110"/>
              <w:bottom w:type="dxa" w:w="70"/>
              <w:right w:type="dxa" w:w="110"/>
            </w:tcMar>
          </w:tcPr>
          <w:p>
            <w:r>
              <w:rPr>
                <w:rFonts w:ascii="Arial" w:cs="Arial" w:eastAsia="Arial" w:hAnsi="Arial"/>
                <w:b/>
                <w:bCs/>
                <w:color w:val="FFFFFF"/>
                <w:sz w:val="18"/>
                <w:szCs w:val="18"/>
              </w:rPr>
              <w:t xml:space="preserve">Representative ICD-9 range</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Congestive_heart_failure</w:t>
            </w:r>
          </w:p>
        </w:tc>
        <w:tc>
          <w:tcPr>
            <w:tcW w:type="dxa" w:w="2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Congestive heart failure</w:t>
            </w:r>
          </w:p>
        </w:tc>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428.x, 402.01, 402.11, 402.91</w:t>
            </w:r>
          </w:p>
        </w:tc>
      </w:tr>
      <w:tr>
        <w:tc>
          <w:tcPr>
            <w:tcW w:type="dxa" w:w="19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Coronary_artery_disease</w:t>
            </w:r>
          </w:p>
        </w:tc>
        <w:tc>
          <w:tcPr>
            <w:tcW w:type="dxa" w:w="27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Coronary artery disease / AMI</w:t>
            </w:r>
          </w:p>
        </w:tc>
        <w:tc>
          <w:tcPr>
            <w:tcW w:type="dxa" w:w="276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410.x, 412</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Cardiac_arrhythmia</w:t>
            </w:r>
          </w:p>
        </w:tc>
        <w:tc>
          <w:tcPr>
            <w:tcW w:type="dxa" w:w="2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Cardiac arrhythmia</w:t>
            </w:r>
          </w:p>
        </w:tc>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427.3x</w:t>
            </w:r>
          </w:p>
        </w:tc>
      </w:tr>
      <w:tr>
        <w:tc>
          <w:tcPr>
            <w:tcW w:type="dxa" w:w="19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Cerebrovascular</w:t>
            </w:r>
          </w:p>
        </w:tc>
        <w:tc>
          <w:tcPr>
            <w:tcW w:type="dxa" w:w="27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Cerebrovascular disease</w:t>
            </w:r>
          </w:p>
        </w:tc>
        <w:tc>
          <w:tcPr>
            <w:tcW w:type="dxa" w:w="276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430–438, 431</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Hypertension</w:t>
            </w:r>
          </w:p>
        </w:tc>
        <w:tc>
          <w:tcPr>
            <w:tcW w:type="dxa" w:w="2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Hypertension (complicated/uncomplicated)</w:t>
            </w:r>
          </w:p>
        </w:tc>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401.x, 402.x, 403.x</w:t>
            </w:r>
          </w:p>
        </w:tc>
      </w:tr>
      <w:tr>
        <w:tc>
          <w:tcPr>
            <w:tcW w:type="dxa" w:w="19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Renal_disease</w:t>
            </w:r>
          </w:p>
        </w:tc>
        <w:tc>
          <w:tcPr>
            <w:tcW w:type="dxa" w:w="27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Renal failure</w:t>
            </w:r>
          </w:p>
        </w:tc>
        <w:tc>
          <w:tcPr>
            <w:tcW w:type="dxa" w:w="276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585.x, 403.9x</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Diabetes</w:t>
            </w:r>
          </w:p>
        </w:tc>
        <w:tc>
          <w:tcPr>
            <w:tcW w:type="dxa" w:w="2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Diabetes (uncomplicated/complicated)</w:t>
            </w:r>
          </w:p>
        </w:tc>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250.x</w:t>
            </w:r>
          </w:p>
        </w:tc>
      </w:tr>
      <w:tr>
        <w:tc>
          <w:tcPr>
            <w:tcW w:type="dxa" w:w="19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Pulmonary_disease</w:t>
            </w:r>
          </w:p>
        </w:tc>
        <w:tc>
          <w:tcPr>
            <w:tcW w:type="dxa" w:w="27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Pulmonary circulation disorders / COPD</w:t>
            </w:r>
          </w:p>
        </w:tc>
        <w:tc>
          <w:tcPr>
            <w:tcW w:type="dxa" w:w="276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490–496, 415.x</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Liver_disease</w:t>
            </w:r>
          </w:p>
        </w:tc>
        <w:tc>
          <w:tcPr>
            <w:tcW w:type="dxa" w:w="2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Liver disease</w:t>
            </w:r>
          </w:p>
        </w:tc>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570–573</w:t>
            </w:r>
          </w:p>
        </w:tc>
      </w:tr>
      <w:tr>
        <w:tc>
          <w:tcPr>
            <w:tcW w:type="dxa" w:w="19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Cancer</w:t>
            </w:r>
          </w:p>
        </w:tc>
        <w:tc>
          <w:tcPr>
            <w:tcW w:type="dxa" w:w="27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Solid tumor / lymphoma</w:t>
            </w:r>
          </w:p>
        </w:tc>
        <w:tc>
          <w:tcPr>
            <w:tcW w:type="dxa" w:w="276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140–239</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Sepsis_infection</w:t>
            </w:r>
          </w:p>
        </w:tc>
        <w:tc>
          <w:tcPr>
            <w:tcW w:type="dxa" w:w="2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Septicemia / infection</w:t>
            </w:r>
          </w:p>
        </w:tc>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038.x</w:t>
            </w:r>
          </w:p>
        </w:tc>
      </w:tr>
      <w:tr>
        <w:tc>
          <w:tcPr>
            <w:tcW w:type="dxa" w:w="19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Mental_disorder</w:t>
            </w:r>
          </w:p>
        </w:tc>
        <w:tc>
          <w:tcPr>
            <w:tcW w:type="dxa" w:w="27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Psychoses / depression</w:t>
            </w:r>
          </w:p>
        </w:tc>
        <w:tc>
          <w:tcPr>
            <w:tcW w:type="dxa" w:w="276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295–298, 311</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Blood_disorder</w:t>
            </w:r>
          </w:p>
        </w:tc>
        <w:tc>
          <w:tcPr>
            <w:tcW w:type="dxa" w:w="2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Deficiency anaemia / coagulation</w:t>
            </w:r>
          </w:p>
        </w:tc>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280–289</w:t>
            </w:r>
          </w:p>
        </w:tc>
      </w:tr>
      <w:tr>
        <w:tc>
          <w:tcPr>
            <w:tcW w:type="dxa" w:w="19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Metabolic_disorder</w:t>
            </w:r>
          </w:p>
        </w:tc>
        <w:tc>
          <w:tcPr>
            <w:tcW w:type="dxa" w:w="27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Fluid/electrolyte / nutritional</w:t>
            </w:r>
          </w:p>
        </w:tc>
        <w:tc>
          <w:tcPr>
            <w:tcW w:type="dxa" w:w="276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270–277</w:t>
            </w:r>
          </w:p>
        </w:tc>
      </w:tr>
    </w:tbl>
    <w:p>
      <w:pPr>
        <w:spacing w:before="0" w:after="120"/>
      </w:pPr>
      <w:r>
        <w:t xml:space="preserve"/>
      </w:r>
    </w:p>
    <w:p>
      <w:pPr>
        <w:spacing w:before="60" w:after="80"/>
      </w:pPr>
      <w:r>
        <w:rPr>
          <w:rFonts w:ascii="Arial" w:cs="Arial" w:eastAsia="Arial" w:hAnsi="Arial"/>
          <w:sz w:val="22"/>
          <w:szCs w:val="22"/>
        </w:rPr>
        <w:t xml:space="preserve">For each admission, Y1 is the set of all Elixhauser groups for which at least one matching ICD-9 code was present. Admissions with no matching codes receive {none}.</w:t>
      </w:r>
    </w:p>
    <w:p>
      <w:pPr>
        <w:spacing w:before="0" w:after="120"/>
      </w:pPr>
      <w:r>
        <w:t xml:space="preserve"/>
      </w:r>
    </w:p>
    <w:p>
      <w:pPr>
        <w:pStyle w:val="Heading3"/>
        <w:spacing w:before="180" w:after="60"/>
      </w:pPr>
      <w:r>
        <w:rPr>
          <w:rFonts w:ascii="Arial" w:cs="Arial" w:eastAsia="Arial" w:hAnsi="Arial"/>
          <w:b/>
          <w:bCs/>
          <w:color w:val="404040"/>
          <w:sz w:val="24"/>
          <w:szCs w:val="24"/>
        </w:rPr>
        <w:t xml:space="preserve">Step 3 — Map ICD-9 codes to organ systems (Y2)</w:t>
      </w:r>
    </w:p>
    <w:p>
      <w:pPr>
        <w:spacing w:before="60" w:after="80"/>
      </w:pPr>
      <w:r>
        <w:rPr>
          <w:rFonts w:ascii="Arial" w:cs="Arial" w:eastAsia="Arial" w:hAnsi="Arial"/>
          <w:sz w:val="22"/>
          <w:szCs w:val="22"/>
        </w:rPr>
        <w:t xml:space="preserve">Each numeric ICD-9 code was also mapped to a broad organ system using the standard ICD-9-CM chapter ranges:</w:t>
      </w:r>
    </w:p>
    <w:p>
      <w:pPr>
        <w:spacing w:before="0" w:after="12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2260"/>
      </w:tblGrid>
      <w:tr>
        <w:tc>
          <w:tcPr>
            <w:tcW w:type="dxa" w:w="1900"/>
            <w:tcBorders>
              <w:top w:val="single" w:color="4472C4" w:sz="1"/>
              <w:left w:val="single" w:color="4472C4" w:sz="1"/>
              <w:bottom w:val="single" w:color="4472C4" w:sz="1"/>
              <w:right w:val="single" w:color="4472C4" w:sz="1"/>
            </w:tcBorders>
            <w:shd w:fill="2E5E9E" w:val="clear"/>
            <w:tcMar>
              <w:top w:type="dxa" w:w="70"/>
              <w:left w:type="dxa" w:w="110"/>
              <w:bottom w:type="dxa" w:w="70"/>
              <w:right w:type="dxa" w:w="110"/>
            </w:tcMar>
          </w:tcPr>
          <w:p>
            <w:r>
              <w:rPr>
                <w:rFonts w:ascii="Arial" w:cs="Arial" w:eastAsia="Arial" w:hAnsi="Arial"/>
                <w:b/>
                <w:bCs/>
                <w:color w:val="FFFFFF"/>
                <w:sz w:val="18"/>
                <w:szCs w:val="18"/>
              </w:rPr>
              <w:t xml:space="preserve">Label</w:t>
            </w:r>
          </w:p>
        </w:tc>
        <w:tc>
          <w:tcPr>
            <w:tcW w:type="dxa" w:w="3200"/>
            <w:tcBorders>
              <w:top w:val="single" w:color="4472C4" w:sz="1"/>
              <w:left w:val="single" w:color="4472C4" w:sz="1"/>
              <w:bottom w:val="single" w:color="4472C4" w:sz="1"/>
              <w:right w:val="single" w:color="4472C4" w:sz="1"/>
            </w:tcBorders>
            <w:shd w:fill="2E5E9E" w:val="clear"/>
            <w:tcMar>
              <w:top w:type="dxa" w:w="70"/>
              <w:left w:type="dxa" w:w="110"/>
              <w:bottom w:type="dxa" w:w="70"/>
              <w:right w:type="dxa" w:w="110"/>
            </w:tcMar>
          </w:tcPr>
          <w:p>
            <w:r>
              <w:rPr>
                <w:rFonts w:ascii="Arial" w:cs="Arial" w:eastAsia="Arial" w:hAnsi="Arial"/>
                <w:b/>
                <w:bCs/>
                <w:color w:val="FFFFFF"/>
                <w:sz w:val="18"/>
                <w:szCs w:val="18"/>
              </w:rPr>
              <w:t xml:space="preserve">ICD-9 chapter</w:t>
            </w:r>
          </w:p>
        </w:tc>
        <w:tc>
          <w:tcPr>
            <w:tcW w:type="dxa" w:w="2260"/>
            <w:tcBorders>
              <w:top w:val="single" w:color="4472C4" w:sz="1"/>
              <w:left w:val="single" w:color="4472C4" w:sz="1"/>
              <w:bottom w:val="single" w:color="4472C4" w:sz="1"/>
              <w:right w:val="single" w:color="4472C4" w:sz="1"/>
            </w:tcBorders>
            <w:shd w:fill="2E5E9E" w:val="clear"/>
            <w:tcMar>
              <w:top w:type="dxa" w:w="70"/>
              <w:left w:type="dxa" w:w="110"/>
              <w:bottom w:type="dxa" w:w="70"/>
              <w:right w:type="dxa" w:w="110"/>
            </w:tcMar>
          </w:tcPr>
          <w:p>
            <w:r>
              <w:rPr>
                <w:rFonts w:ascii="Arial" w:cs="Arial" w:eastAsia="Arial" w:hAnsi="Arial"/>
                <w:b/>
                <w:bCs/>
                <w:color w:val="FFFFFF"/>
                <w:sz w:val="18"/>
                <w:szCs w:val="18"/>
              </w:rPr>
              <w:t xml:space="preserve">Code range</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Infectious</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Infectious and parasitic diseases</w:t>
            </w:r>
          </w:p>
        </w:tc>
        <w:tc>
          <w:tcPr>
            <w:tcW w:type="dxa" w:w="2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001–139</w:t>
            </w:r>
          </w:p>
        </w:tc>
      </w:tr>
      <w:tr>
        <w:tc>
          <w:tcPr>
            <w:tcW w:type="dxa" w:w="19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Neoplasm</w:t>
            </w:r>
          </w:p>
        </w:tc>
        <w:tc>
          <w:tcPr>
            <w:tcW w:type="dxa" w:w="32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Neoplasms</w:t>
            </w:r>
          </w:p>
        </w:tc>
        <w:tc>
          <w:tcPr>
            <w:tcW w:type="dxa" w:w="226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140–239</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Endocrine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Endocrine, nutritional, metabolic, immunity</w:t>
            </w:r>
          </w:p>
        </w:tc>
        <w:tc>
          <w:tcPr>
            <w:tcW w:type="dxa" w:w="2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240–279</w:t>
            </w:r>
          </w:p>
        </w:tc>
      </w:tr>
      <w:tr>
        <w:tc>
          <w:tcPr>
            <w:tcW w:type="dxa" w:w="19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Blood</w:t>
            </w:r>
          </w:p>
        </w:tc>
        <w:tc>
          <w:tcPr>
            <w:tcW w:type="dxa" w:w="32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Diseases of blood and blood-forming organs</w:t>
            </w:r>
          </w:p>
        </w:tc>
        <w:tc>
          <w:tcPr>
            <w:tcW w:type="dxa" w:w="226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280–289</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Mental</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Mental disorders</w:t>
            </w:r>
          </w:p>
        </w:tc>
        <w:tc>
          <w:tcPr>
            <w:tcW w:type="dxa" w:w="2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290–319</w:t>
            </w:r>
          </w:p>
        </w:tc>
      </w:tr>
      <w:tr>
        <w:tc>
          <w:tcPr>
            <w:tcW w:type="dxa" w:w="19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Nervous</w:t>
            </w:r>
          </w:p>
        </w:tc>
        <w:tc>
          <w:tcPr>
            <w:tcW w:type="dxa" w:w="32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Diseases of nervous system and sense organs</w:t>
            </w:r>
          </w:p>
        </w:tc>
        <w:tc>
          <w:tcPr>
            <w:tcW w:type="dxa" w:w="226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320–389</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Cardiovascular</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Diseases of circulatory system</w:t>
            </w:r>
          </w:p>
        </w:tc>
        <w:tc>
          <w:tcPr>
            <w:tcW w:type="dxa" w:w="2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390–459</w:t>
            </w:r>
          </w:p>
        </w:tc>
      </w:tr>
      <w:tr>
        <w:tc>
          <w:tcPr>
            <w:tcW w:type="dxa" w:w="19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Respiratory</w:t>
            </w:r>
          </w:p>
        </w:tc>
        <w:tc>
          <w:tcPr>
            <w:tcW w:type="dxa" w:w="32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Diseases of respiratory system</w:t>
            </w:r>
          </w:p>
        </w:tc>
        <w:tc>
          <w:tcPr>
            <w:tcW w:type="dxa" w:w="226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460–519</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Digestive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Diseases of digestive system</w:t>
            </w:r>
          </w:p>
        </w:tc>
        <w:tc>
          <w:tcPr>
            <w:tcW w:type="dxa" w:w="2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520–579</w:t>
            </w:r>
          </w:p>
        </w:tc>
      </w:tr>
      <w:tr>
        <w:tc>
          <w:tcPr>
            <w:tcW w:type="dxa" w:w="19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Genitourinary</w:t>
            </w:r>
          </w:p>
        </w:tc>
        <w:tc>
          <w:tcPr>
            <w:tcW w:type="dxa" w:w="32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Diseases of genitourinary system</w:t>
            </w:r>
          </w:p>
        </w:tc>
        <w:tc>
          <w:tcPr>
            <w:tcW w:type="dxa" w:w="226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580–629</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Musculoskeletal</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Diseases of musculoskeletal system</w:t>
            </w:r>
          </w:p>
        </w:tc>
        <w:tc>
          <w:tcPr>
            <w:tcW w:type="dxa" w:w="2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710–739</w:t>
            </w:r>
          </w:p>
        </w:tc>
      </w:tr>
      <w:tr>
        <w:tc>
          <w:tcPr>
            <w:tcW w:type="dxa" w:w="19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Symptoms</w:t>
            </w:r>
          </w:p>
        </w:tc>
        <w:tc>
          <w:tcPr>
            <w:tcW w:type="dxa" w:w="32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Symptoms, signs, ill-defined conditions</w:t>
            </w:r>
          </w:p>
        </w:tc>
        <w:tc>
          <w:tcPr>
            <w:tcW w:type="dxa" w:w="226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780–799</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Injury</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Injury and poisoning</w:t>
            </w:r>
          </w:p>
        </w:tc>
        <w:tc>
          <w:tcPr>
            <w:tcW w:type="dxa" w:w="2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800–999</w:t>
            </w:r>
          </w:p>
        </w:tc>
      </w:tr>
    </w:tbl>
    <w:p>
      <w:pPr>
        <w:spacing w:before="0" w:after="120"/>
      </w:pPr>
      <w:r>
        <w:t xml:space="preserve"/>
      </w:r>
    </w:p>
    <w:p>
      <w:pPr>
        <w:pStyle w:val="Heading3"/>
        <w:spacing w:before="180" w:after="60"/>
      </w:pPr>
      <w:r>
        <w:rPr>
          <w:rFonts w:ascii="Arial" w:cs="Arial" w:eastAsia="Arial" w:hAnsi="Arial"/>
          <w:b/>
          <w:bCs/>
          <w:color w:val="404040"/>
          <w:sz w:val="24"/>
          <w:szCs w:val="24"/>
        </w:rPr>
        <w:t xml:space="preserve">Step 4 — Derive cardiovascular (Y3), severity (Y4), and context (Y5) variables</w:t>
      </w:r>
    </w:p>
    <w:p>
      <w:pPr>
        <w:spacing w:before="60" w:after="80"/>
      </w:pPr>
      <w:r>
        <w:rPr>
          <w:rFonts w:ascii="Arial" w:cs="Arial" w:eastAsia="Arial" w:hAnsi="Arial"/>
          <w:sz w:val="22"/>
          <w:szCs w:val="22"/>
        </w:rPr>
        <w:t xml:space="preserve">Three additional set-valued variables were derived from specific ICD-9 code patterns within each admission:</w:t>
      </w:r>
    </w:p>
    <w:p>
      <w:pPr>
        <w:spacing w:before="0" w:after="120"/>
      </w:pPr>
      <w:r>
        <w:t xml:space="preserve"/>
      </w:r>
    </w:p>
    <w:p>
      <w:pPr>
        <w:pStyle w:val="ListParagraph"/>
        <w:numPr>
          <w:ilvl w:val="0"/>
          <w:numId w:val="2"/>
        </w:numPr>
        <w:spacing w:before="40" w:after="40"/>
      </w:pPr>
      <w:r>
        <w:rPr>
          <w:rFonts w:ascii="Arial" w:cs="Arial" w:eastAsia="Arial" w:hAnsi="Arial"/>
          <w:b/>
          <w:bCs/>
          <w:sz w:val="22"/>
          <w:szCs w:val="22"/>
        </w:rPr>
        <w:t xml:space="preserve">Y3 (Cardiovascular subtypes): </w:t>
      </w:r>
      <w:r>
        <w:rPr>
          <w:rFonts w:ascii="Arial" w:cs="Arial" w:eastAsia="Arial" w:hAnsi="Arial"/>
          <w:sz w:val="22"/>
          <w:szCs w:val="22"/>
        </w:rPr>
        <w:t xml:space="preserve">The cardiovascular ICD-9 codes for each admission were further classified into six subtypes — Heart_failure (428.x), CAD (410.x, 412), Arrhythmia (427.3x), Stroke/Cerebrovascular (431, 430–438), Hypertension (401.x), PE/DVT (415.1x), and Peripheral_vascular (440–448). An admission receives a label for each cardiovascular subtype present. Admissions with no cardiovascular codes receive {none}.</w:t>
      </w:r>
    </w:p>
    <w:p>
      <w:pPr>
        <w:pStyle w:val="ListParagraph"/>
        <w:numPr>
          <w:ilvl w:val="0"/>
          <w:numId w:val="2"/>
        </w:numPr>
        <w:spacing w:before="40" w:after="40"/>
      </w:pPr>
      <w:r>
        <w:rPr>
          <w:rFonts w:ascii="Arial" w:cs="Arial" w:eastAsia="Arial" w:hAnsi="Arial"/>
          <w:b/>
          <w:bCs/>
          <w:sz w:val="22"/>
          <w:szCs w:val="22"/>
        </w:rPr>
        <w:t xml:space="preserve">Y4 (Severity markers): </w:t>
      </w:r>
      <w:r>
        <w:rPr>
          <w:rFonts w:ascii="Arial" w:cs="Arial" w:eastAsia="Arial" w:hAnsi="Arial"/>
          <w:sz w:val="22"/>
          <w:szCs w:val="22"/>
        </w:rPr>
        <w:t xml:space="preserve">High-severity ICD-9 codes were mapped to six severity labels: Severe_sepsis (995.91, 995.92), Acute_renal_failure (584.9, 585.6, 585.9), Respiratory_failure (518.81, 518.82), Systolic_heart_failure (428.3x), Septic_shock (785.52), Coagulopathy (287.4, 287.5), and Anaemia (285.1, 285.9). Admissions with no severity codes receive {none}.</w:t>
      </w:r>
    </w:p>
    <w:p>
      <w:pPr>
        <w:pStyle w:val="ListParagraph"/>
        <w:numPr>
          <w:ilvl w:val="0"/>
          <w:numId w:val="2"/>
        </w:numPr>
        <w:spacing w:before="40" w:after="40"/>
      </w:pPr>
      <w:r>
        <w:rPr>
          <w:rFonts w:ascii="Arial" w:cs="Arial" w:eastAsia="Arial" w:hAnsi="Arial"/>
          <w:b/>
          <w:bCs/>
          <w:sz w:val="22"/>
          <w:szCs w:val="22"/>
        </w:rPr>
        <w:t xml:space="preserve">Y5 (Care context flags): </w:t>
      </w:r>
      <w:r>
        <w:rPr>
          <w:rFonts w:ascii="Arial" w:cs="Arial" w:eastAsia="Arial" w:hAnsi="Arial"/>
          <w:sz w:val="22"/>
          <w:szCs w:val="22"/>
        </w:rPr>
        <w:t xml:space="preserve">V and E codes were used to capture care context. V45.x indicates a prior procedure or implanted device; V10.x/V12.x indicates personal history of a disease; E8xx/E9xx indicates an external cause (accident, adverse drug effect); V09.x indicates a drug-resistant organism; V15.x indicates allergies or other personal history. Admissions with no V/E codes receive {none}.</w:t>
      </w:r>
    </w:p>
    <w:p>
      <w:pPr>
        <w:spacing w:before="0" w:after="120"/>
      </w:pPr>
      <w:r>
        <w:t xml:space="preserve"/>
      </w:r>
    </w:p>
    <w:p>
      <w:pPr>
        <w:pStyle w:val="Heading2"/>
        <w:spacing w:before="240" w:after="80"/>
      </w:pPr>
      <w:r>
        <w:rPr>
          <w:rFonts w:ascii="Arial" w:cs="Arial" w:eastAsia="Arial" w:hAnsi="Arial"/>
          <w:b/>
          <w:bCs/>
          <w:color w:val="2E5E9E"/>
          <w:sz w:val="26"/>
          <w:szCs w:val="26"/>
        </w:rPr>
        <w:t xml:space="preserve">2.5  Variable Descriptions</w:t>
      </w:r>
    </w:p>
    <w:p>
      <w:pPr>
        <w:spacing w:before="0" w:after="12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1800"/>
        <w:gridCol w:w="1000"/>
        <w:gridCol w:w="3060"/>
      </w:tblGrid>
      <w:tr>
        <w:tc>
          <w:tcPr>
            <w:tcW w:type="dxa" w:w="600"/>
            <w:tcBorders>
              <w:top w:val="single" w:color="4472C4" w:sz="1"/>
              <w:left w:val="single" w:color="4472C4" w:sz="1"/>
              <w:bottom w:val="single" w:color="4472C4" w:sz="1"/>
              <w:right w:val="single" w:color="4472C4" w:sz="1"/>
            </w:tcBorders>
            <w:shd w:fill="2E5E9E" w:val="clear"/>
            <w:tcMar>
              <w:top w:type="dxa" w:w="70"/>
              <w:left w:type="dxa" w:w="110"/>
              <w:bottom w:type="dxa" w:w="70"/>
              <w:right w:type="dxa" w:w="110"/>
            </w:tcMar>
          </w:tcPr>
          <w:p>
            <w:r>
              <w:rPr>
                <w:rFonts w:ascii="Arial" w:cs="Arial" w:eastAsia="Arial" w:hAnsi="Arial"/>
                <w:b/>
                <w:bCs/>
                <w:color w:val="FFFFFF"/>
                <w:sz w:val="18"/>
                <w:szCs w:val="18"/>
              </w:rPr>
              <w:t xml:space="preserve">Variable</w:t>
            </w:r>
          </w:p>
        </w:tc>
        <w:tc>
          <w:tcPr>
            <w:tcW w:type="dxa" w:w="1900"/>
            <w:tcBorders>
              <w:top w:val="single" w:color="4472C4" w:sz="1"/>
              <w:left w:val="single" w:color="4472C4" w:sz="1"/>
              <w:bottom w:val="single" w:color="4472C4" w:sz="1"/>
              <w:right w:val="single" w:color="4472C4" w:sz="1"/>
            </w:tcBorders>
            <w:shd w:fill="2E5E9E" w:val="clear"/>
            <w:tcMar>
              <w:top w:type="dxa" w:w="70"/>
              <w:left w:type="dxa" w:w="110"/>
              <w:bottom w:type="dxa" w:w="70"/>
              <w:right w:type="dxa" w:w="110"/>
            </w:tcMar>
          </w:tcPr>
          <w:p>
            <w:r>
              <w:rPr>
                <w:rFonts w:ascii="Arial" w:cs="Arial" w:eastAsia="Arial" w:hAnsi="Arial"/>
                <w:b/>
                <w:bCs/>
                <w:color w:val="FFFFFF"/>
                <w:sz w:val="18"/>
                <w:szCs w:val="18"/>
              </w:rPr>
              <w:t xml:space="preserve">Name</w:t>
            </w:r>
          </w:p>
        </w:tc>
        <w:tc>
          <w:tcPr>
            <w:tcW w:type="dxa" w:w="1800"/>
            <w:tcBorders>
              <w:top w:val="single" w:color="4472C4" w:sz="1"/>
              <w:left w:val="single" w:color="4472C4" w:sz="1"/>
              <w:bottom w:val="single" w:color="4472C4" w:sz="1"/>
              <w:right w:val="single" w:color="4472C4" w:sz="1"/>
            </w:tcBorders>
            <w:shd w:fill="2E5E9E" w:val="clear"/>
            <w:tcMar>
              <w:top w:type="dxa" w:w="70"/>
              <w:left w:type="dxa" w:w="110"/>
              <w:bottom w:type="dxa" w:w="70"/>
              <w:right w:type="dxa" w:w="110"/>
            </w:tcMar>
          </w:tcPr>
          <w:p>
            <w:r>
              <w:rPr>
                <w:rFonts w:ascii="Arial" w:cs="Arial" w:eastAsia="Arial" w:hAnsi="Arial"/>
                <w:b/>
                <w:bCs/>
                <w:color w:val="FFFFFF"/>
                <w:sz w:val="18"/>
                <w:szCs w:val="18"/>
              </w:rPr>
              <w:t xml:space="preserve">Vocabulary type</w:t>
            </w:r>
          </w:p>
        </w:tc>
        <w:tc>
          <w:tcPr>
            <w:tcW w:type="dxa" w:w="1000"/>
            <w:tcBorders>
              <w:top w:val="single" w:color="4472C4" w:sz="1"/>
              <w:left w:val="single" w:color="4472C4" w:sz="1"/>
              <w:bottom w:val="single" w:color="4472C4" w:sz="1"/>
              <w:right w:val="single" w:color="4472C4" w:sz="1"/>
            </w:tcBorders>
            <w:shd w:fill="2E5E9E" w:val="clear"/>
            <w:tcMar>
              <w:top w:type="dxa" w:w="70"/>
              <w:left w:type="dxa" w:w="110"/>
              <w:bottom w:type="dxa" w:w="70"/>
              <w:right w:type="dxa" w:w="110"/>
            </w:tcMar>
          </w:tcPr>
          <w:p>
            <w:r>
              <w:rPr>
                <w:rFonts w:ascii="Arial" w:cs="Arial" w:eastAsia="Arial" w:hAnsi="Arial"/>
                <w:b/>
                <w:bCs/>
                <w:color w:val="FFFFFF"/>
                <w:sz w:val="18"/>
                <w:szCs w:val="18"/>
              </w:rPr>
              <w:t xml:space="preserve">Typical set size</w:t>
            </w:r>
          </w:p>
        </w:tc>
        <w:tc>
          <w:tcPr>
            <w:tcW w:type="dxa" w:w="3060"/>
            <w:tcBorders>
              <w:top w:val="single" w:color="4472C4" w:sz="1"/>
              <w:left w:val="single" w:color="4472C4" w:sz="1"/>
              <w:bottom w:val="single" w:color="4472C4" w:sz="1"/>
              <w:right w:val="single" w:color="4472C4" w:sz="1"/>
            </w:tcBorders>
            <w:shd w:fill="2E5E9E" w:val="clear"/>
            <w:tcMar>
              <w:top w:type="dxa" w:w="70"/>
              <w:left w:type="dxa" w:w="110"/>
              <w:bottom w:type="dxa" w:w="70"/>
              <w:right w:type="dxa" w:w="110"/>
            </w:tcMar>
          </w:tcPr>
          <w:p>
            <w:r>
              <w:rPr>
                <w:rFonts w:ascii="Arial" w:cs="Arial" w:eastAsia="Arial" w:hAnsi="Arial"/>
                <w:b/>
                <w:bCs/>
                <w:color w:val="FFFFFF"/>
                <w:sz w:val="18"/>
                <w:szCs w:val="18"/>
              </w:rPr>
              <w:t xml:space="preserve">Notes</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Y1</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Comorbidity groups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14 Elixhauser groups</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0–6</w:t>
            </w:r>
          </w:p>
        </w:tc>
        <w:tc>
          <w:tcPr>
            <w:tcW w:type="dxa" w:w="3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Primary clinical classification; drawn from Elixhauser comorbidity index</w:t>
            </w:r>
          </w:p>
        </w:tc>
      </w:tr>
      <w:tr>
        <w:tc>
          <w:tcPr>
            <w:tcW w:type="dxa" w:w="6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Y2</w:t>
            </w:r>
          </w:p>
        </w:tc>
        <w:tc>
          <w:tcPr>
            <w:tcW w:type="dxa" w:w="19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Organ systems</w:t>
            </w:r>
          </w:p>
        </w:tc>
        <w:tc>
          <w:tcPr>
            <w:tcW w:type="dxa" w:w="18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13 ICD-9 chapters</w:t>
            </w:r>
          </w:p>
        </w:tc>
        <w:tc>
          <w:tcPr>
            <w:tcW w:type="dxa" w:w="10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1–5</w:t>
            </w:r>
          </w:p>
        </w:tc>
        <w:tc>
          <w:tcPr>
            <w:tcW w:type="dxa" w:w="306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Organ-level involvement; one label per ICD-9 chapter present</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Y3</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Cardiovascular subtypes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7 CV subtypes</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0–5</w:t>
            </w:r>
          </w:p>
        </w:tc>
        <w:tc>
          <w:tcPr>
            <w:tcW w:type="dxa" w:w="3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Sub-classification of cardiovascular involvement; {none} if no CV codes</w:t>
            </w:r>
          </w:p>
        </w:tc>
      </w:tr>
      <w:tr>
        <w:tc>
          <w:tcPr>
            <w:tcW w:type="dxa" w:w="6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Y4</w:t>
            </w:r>
          </w:p>
        </w:tc>
        <w:tc>
          <w:tcPr>
            <w:tcW w:type="dxa" w:w="19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Severity markers</w:t>
            </w:r>
          </w:p>
        </w:tc>
        <w:tc>
          <w:tcPr>
            <w:tcW w:type="dxa" w:w="18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7 severity flags</w:t>
            </w:r>
          </w:p>
        </w:tc>
        <w:tc>
          <w:tcPr>
            <w:tcW w:type="dxa" w:w="100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0–4</w:t>
            </w:r>
          </w:p>
        </w:tc>
        <w:tc>
          <w:tcPr>
            <w:tcW w:type="dxa" w:w="3060"/>
            <w:tcBorders>
              <w:top w:val="single" w:color="CCCCCC" w:sz="1"/>
              <w:left w:val="single" w:color="CCCCCC" w:sz="1"/>
              <w:bottom w:val="single" w:color="CCCCCC" w:sz="1"/>
              <w:right w:val="single" w:color="CCCCCC" w:sz="1"/>
            </w:tcBorders>
            <w:shd w:fill="F5F8FF" w:val="clear"/>
            <w:tcMar>
              <w:top w:type="dxa" w:w="70"/>
              <w:left w:type="dxa" w:w="110"/>
              <w:bottom w:type="dxa" w:w="70"/>
              <w:right w:type="dxa" w:w="110"/>
            </w:tcMar>
          </w:tcPr>
          <w:p>
            <w:r>
              <w:rPr>
                <w:rFonts w:ascii="Arial" w:cs="Arial" w:eastAsia="Arial" w:hAnsi="Arial"/>
                <w:b w:val="false"/>
                <w:bCs w:val="false"/>
                <w:color w:val="222222"/>
                <w:sz w:val="18"/>
                <w:szCs w:val="18"/>
              </w:rPr>
              <w:t xml:space="preserve">Presence of high-acuity conditions; {none} if no high-severity codes</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Y5</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Care context flags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5 context flags</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0–3</w:t>
            </w:r>
          </w:p>
        </w:tc>
        <w:tc>
          <w:tcPr>
            <w:tcW w:type="dxa" w:w="3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222222"/>
                <w:sz w:val="18"/>
                <w:szCs w:val="18"/>
              </w:rPr>
              <w:t xml:space="preserve">Administrative/contextual flags from V/E codes; {none} if absent</w:t>
            </w:r>
          </w:p>
        </w:tc>
      </w:tr>
    </w:tbl>
    <w:p>
      <w:pPr>
        <w:spacing w:before="0" w:after="120"/>
      </w:pPr>
      <w:r>
        <w:t xml:space="preserve"/>
      </w:r>
    </w:p>
    <w:p>
      <w:pPr>
        <w:pStyle w:val="Heading2"/>
        <w:spacing w:before="240" w:after="80"/>
      </w:pPr>
      <w:r>
        <w:rPr>
          <w:rFonts w:ascii="Arial" w:cs="Arial" w:eastAsia="Arial" w:hAnsi="Arial"/>
          <w:b/>
          <w:bCs/>
          <w:color w:val="2E5E9E"/>
          <w:sz w:val="26"/>
          <w:szCs w:val="26"/>
        </w:rPr>
        <w:t xml:space="preserve">2.6  Usage Notes</w:t>
      </w:r>
    </w:p>
    <w:p>
      <w:pPr>
        <w:pStyle w:val="ListParagraph"/>
        <w:numPr>
          <w:ilvl w:val="0"/>
          <w:numId w:val="2"/>
        </w:numPr>
        <w:spacing w:before="40" w:after="40"/>
      </w:pPr>
      <w:r>
        <w:rPr>
          <w:rFonts w:ascii="Arial" w:cs="Arial" w:eastAsia="Arial" w:hAnsi="Arial"/>
          <w:sz w:val="22"/>
          <w:szCs w:val="22"/>
        </w:rPr>
        <w:t xml:space="preserve">This dataset is suitable for symbolic clustering, symbolic HOMALS, and comorbidity pattern analysis. The five variables represent clinically orthogonal dimensions of an admission, enabling symbolic analysis to recover patient subgroups defined by combinations of disease categories.</w:t>
      </w:r>
    </w:p>
    <w:p>
      <w:pPr>
        <w:pStyle w:val="ListParagraph"/>
        <w:numPr>
          <w:ilvl w:val="0"/>
          <w:numId w:val="2"/>
        </w:numPr>
        <w:spacing w:before="40" w:after="40"/>
      </w:pPr>
      <w:r>
        <w:rPr>
          <w:rFonts w:ascii="Arial" w:cs="Arial" w:eastAsia="Arial" w:hAnsi="Arial"/>
          <w:sz w:val="22"/>
          <w:szCs w:val="22"/>
        </w:rPr>
        <w:t xml:space="preserve">Because this dataset is derived from the MIMIC-III Demo (100 patients, 44 admissions with sufficient diagnostic coding), it is intentionally small and intended as an illustrative benchmark. For a larger study, the same aggregation procedure can be applied to the full MIMIC-III database (over 58,000 hospital admissions), which requires PhysioNet credentialed access.</w:t>
      </w:r>
    </w:p>
    <w:p>
      <w:pPr>
        <w:pStyle w:val="ListParagraph"/>
        <w:numPr>
          <w:ilvl w:val="0"/>
          <w:numId w:val="2"/>
        </w:numPr>
        <w:spacing w:before="40" w:after="40"/>
      </w:pPr>
      <w:r>
        <w:rPr>
          <w:rFonts w:ascii="Arial" w:cs="Arial" w:eastAsia="Arial" w:hAnsi="Arial"/>
          <w:sz w:val="22"/>
          <w:szCs w:val="22"/>
        </w:rPr>
        <w:t xml:space="preserve">The small vocabulary size per variable (5–14 labels) follows the design principle of the Bird colors dataset: the vocabularies are closed and shared, so that many admissions hold overlapping sets and symbolic similarity is well-defined.</w:t>
      </w:r>
    </w:p>
    <w:p>
      <w:pPr>
        <w:pStyle w:val="ListParagraph"/>
        <w:numPr>
          <w:ilvl w:val="0"/>
          <w:numId w:val="2"/>
        </w:numPr>
        <w:spacing w:before="40" w:after="40"/>
      </w:pPr>
      <w:r>
        <w:rPr>
          <w:rFonts w:ascii="Arial" w:cs="Arial" w:eastAsia="Arial" w:hAnsi="Arial"/>
          <w:sz w:val="22"/>
          <w:szCs w:val="22"/>
        </w:rPr>
        <w:t xml:space="preserve">ICD-9 codes beginning with E (external cause) and V (supplementary) are excluded from Y1–Y4 but contribute to Y5. Admissions with very few diagnostic codes (n &lt; 3) may have sparse set-valued descriptions.</w:t>
      </w:r>
    </w:p>
    <w:p>
      <w:pPr>
        <w:pStyle w:val="ListParagraph"/>
        <w:numPr>
          <w:ilvl w:val="0"/>
          <w:numId w:val="2"/>
        </w:numPr>
        <w:spacing w:before="40" w:after="40"/>
      </w:pPr>
      <w:r>
        <w:rPr>
          <w:rFonts w:ascii="Arial" w:cs="Arial" w:eastAsia="Arial" w:hAnsi="Arial"/>
          <w:sz w:val="22"/>
          <w:szCs w:val="22"/>
        </w:rPr>
        <w:t xml:space="preserve">Duplicate admissions for the same patient (e.g., patient 10088 has three admissions: 149044, 168233, 169938) are retained as separate objects, as each admission represents an independent clinical encounter with its own diagnostic profile.</w:t>
      </w:r>
    </w:p>
    <w:p>
      <w:pPr>
        <w:spacing w:before="0" w:after="120"/>
      </w:pPr>
      <w:r>
        <w:t xml:space="preserve"/>
      </w:r>
    </w:p>
    <w:p>
      <w:pPr>
        <w:pBdr>
          <w:bottom w:val="single" w:color="C0C0C0" w:sz="6" w:space="1"/>
        </w:pBdr>
        <w:spacing w:before="120" w:after="120"/>
      </w:pPr>
      <w:r>
        <w:t xml:space="preserve"/>
      </w:r>
    </w:p>
    <w:p>
      <w:pPr>
        <w:pStyle w:val="Heading1"/>
        <w:spacing w:before="360" w:after="120"/>
      </w:pPr>
      <w:r>
        <w:rPr>
          <w:rFonts w:ascii="Arial" w:cs="Arial" w:eastAsia="Arial" w:hAnsi="Arial"/>
          <w:b/>
          <w:bCs/>
          <w:color w:val="1F3864"/>
          <w:sz w:val="32"/>
          <w:szCs w:val="32"/>
        </w:rPr>
        <w:t xml:space="preserve">References</w:t>
      </w:r>
    </w:p>
    <w:p>
      <w:pPr>
        <w:spacing w:before="60" w:after="80"/>
      </w:pPr>
      <w:r>
        <w:rPr>
          <w:rFonts w:ascii="Arial" w:cs="Arial" w:eastAsia="Arial" w:hAnsi="Arial"/>
          <w:sz w:val="22"/>
          <w:szCs w:val="22"/>
        </w:rPr>
        <w:t xml:space="preserve">Billard, L. &amp; Diday, E. (2007). Symbolic Data Analysis: Conceptual Statistics and Data Mining. Wiley, Chichester.</w:t>
      </w:r>
    </w:p>
    <w:p>
      <w:pPr>
        <w:spacing w:before="0" w:after="120"/>
      </w:pPr>
      <w:r>
        <w:t xml:space="preserve"/>
      </w:r>
    </w:p>
    <w:p>
      <w:pPr>
        <w:spacing w:before="60" w:after="80"/>
      </w:pPr>
      <w:r>
        <w:rPr>
          <w:rFonts w:ascii="Arial" w:cs="Arial" w:eastAsia="Arial" w:hAnsi="Arial"/>
          <w:sz w:val="22"/>
          <w:szCs w:val="22"/>
        </w:rPr>
        <w:t xml:space="preserve">Cherry, J.M. et al. (2012). Saccharomyces Genome Database: the genomics resource of budding yeast. Nucleic Acids Research, 40(D1), D700–D705.</w:t>
      </w:r>
    </w:p>
    <w:p>
      <w:pPr>
        <w:spacing w:before="0" w:after="120"/>
      </w:pPr>
      <w:r>
        <w:t xml:space="preserve"/>
      </w:r>
    </w:p>
    <w:p>
      <w:pPr>
        <w:spacing w:before="60" w:after="80"/>
      </w:pPr>
      <w:r>
        <w:rPr>
          <w:rFonts w:ascii="Arial" w:cs="Arial" w:eastAsia="Arial" w:hAnsi="Arial"/>
          <w:sz w:val="22"/>
          <w:szCs w:val="22"/>
        </w:rPr>
        <w:t xml:space="preserve">Elixhauser, A. et al. (1998). Comorbidity measures for use with administrative data. Medical Care, 36(1), 8–27.</w:t>
      </w:r>
    </w:p>
    <w:p>
      <w:pPr>
        <w:spacing w:before="0" w:after="120"/>
      </w:pPr>
      <w:r>
        <w:t xml:space="preserve"/>
      </w:r>
    </w:p>
    <w:p>
      <w:pPr>
        <w:spacing w:before="60" w:after="80"/>
      </w:pPr>
      <w:r>
        <w:rPr>
          <w:rFonts w:ascii="Arial" w:cs="Arial" w:eastAsia="Arial" w:hAnsi="Arial"/>
          <w:sz w:val="22"/>
          <w:szCs w:val="22"/>
        </w:rPr>
        <w:t xml:space="preserve">Gene Ontology Consortium (2023). The Gene Ontology knowledgebase in 2023. Genetics, 224(1), iyad031.</w:t>
      </w:r>
    </w:p>
    <w:p>
      <w:pPr>
        <w:spacing w:before="0" w:after="120"/>
      </w:pPr>
      <w:r>
        <w:t xml:space="preserve"/>
      </w:r>
    </w:p>
    <w:p>
      <w:pPr>
        <w:spacing w:before="60" w:after="80"/>
      </w:pPr>
      <w:r>
        <w:rPr>
          <w:rFonts w:ascii="Arial" w:cs="Arial" w:eastAsia="Arial" w:hAnsi="Arial"/>
          <w:sz w:val="22"/>
          <w:szCs w:val="22"/>
        </w:rPr>
        <w:t xml:space="preserve">Johnson, A.E.W. et al. (2016). MIMIC-III, a freely accessible critical care database. Scientific Data, 3, 160035.</w:t>
      </w:r>
    </w:p>
    <w:p>
      <w:pPr>
        <w:spacing w:before="0" w:after="120"/>
      </w:pPr>
      <w:r>
        <w:t xml:space="preserve"/>
      </w:r>
    </w:p>
    <w:p>
      <w:pPr>
        <w:spacing w:before="60" w:after="80"/>
      </w:pPr>
      <w:r>
        <w:rPr>
          <w:rFonts w:ascii="Arial" w:cs="Arial" w:eastAsia="Arial" w:hAnsi="Arial"/>
          <w:sz w:val="22"/>
          <w:szCs w:val="22"/>
        </w:rPr>
        <w:t xml:space="preserve">Saccharomyces Genome Database (SGD). Downloads — Curated Data. https://www.yeastgenome.org/downloads  [CC BY 4.0]</w:t>
      </w:r>
    </w:p>
    <w:p>
      <w:pPr>
        <w:spacing w:before="0" w:after="120"/>
      </w:pPr>
      <w:r>
        <w:t xml:space="preserve"/>
      </w:r>
    </w:p>
    <w:p>
      <w:pPr>
        <w:spacing w:before="60" w:after="80"/>
      </w:pPr>
      <w:r>
        <w:rPr>
          <w:rFonts w:ascii="Arial" w:cs="Arial" w:eastAsia="Arial" w:hAnsi="Arial"/>
          <w:sz w:val="22"/>
          <w:szCs w:val="22"/>
        </w:rPr>
        <w:t xml:space="preserve">World Health Organization (1977). International Classification of Diseases, 9th Revision, Clinical Modification (ICD-9-CM). WHO, Geneva.</w:t>
      </w:r>
    </w:p>
    <w:p>
      <w:pPr>
        <w:spacing w:before="0" w:after="12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C0C0" w:sz="4" w:space="1"/>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E9E" w:sz="4" w:space="1"/>
      </w:pBdr>
    </w:pPr>
    <w:r>
      <w:rPr>
        <w:rFonts w:ascii="Arial" w:cs="Arial" w:eastAsia="Arial" w:hAnsi="Arial"/>
        <w:color w:val="666666"/>
        <w:sz w:val="18"/>
        <w:szCs w:val="18"/>
      </w:rPr>
      <w:t xml:space="preserve">Symbolic Data Analysis — Dataset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5E9E"/>
      <w:sz w:val="26"/>
      <w:szCs w:val="26"/>
    </w:rPr>
  </w:style>
  <w:style w:type="paragraph" w:styleId="Heading3">
    <w:name w:val="Heading 3"/>
    <w:basedOn w:val="Normal"/>
    <w:next w:val="Normal"/>
    <w:qFormat/>
    <w:pPr>
      <w:spacing w:before="180" w:after="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2026-03-22T16:21:25.760Z</dcterms:created>
  <dcterms:modified xsi:type="dcterms:W3CDTF">2026-03-22T16:21:25.761Z</dcterms:modified>
</cp:coreProperties>
</file>

<file path=docProps/custom.xml><?xml version="1.0" encoding="utf-8"?>
<Properties xmlns="http://schemas.openxmlformats.org/officeDocument/2006/custom-properties" xmlns:vt="http://schemas.openxmlformats.org/officeDocument/2006/docPropsVTypes"/>
</file>