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A94757"/>
          <w:sz w:val="24"/>
        </w:rPr>
        <w:t>至顶智库问卷数据分析</w:t>
      </w:r>
    </w:p>
    <w:p>
      <w:pPr>
        <w:spacing w:before="1200"/>
      </w:pPr>
      <w:r>
        <w:rPr>
          <w:rFonts w:ascii="Noto Sans CJK SC" w:hAnsi="Noto Sans CJK SC" w:eastAsia="Noto Sans CJK SC"/>
          <w:b/>
          <w:color w:val="A94757"/>
          <w:sz w:val="52"/>
        </w:rPr>
        <w:t>2025年中国汽车消费者购车意愿调研报告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34"/>
        </w:rPr>
        <w:t>数据分析与消费者洞察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4"/>
        </w:rPr>
        <w:t>有效问卷：562份 | 原始记录：609条 | 问卷题目：13题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4"/>
        </w:rPr>
        <w:t>实际采集期：2024-10-09至2024-12-02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21"/>
        </w:rPr>
        <w:t>报告采用2025年主题标题；实际回答采集于2024年，不能解读为2025年同期市场变化或预测。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21"/>
        </w:rPr>
        <w:t>覆盖全体有效回答，包含燃油、纯电和混合动力偏好；新能源汽车相关内容在相应章节分析。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研究口径与数据核验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数据文件：【数据更新】至顶智库 2025年中国汽车用户调研问卷_20260714.xlsx。读取全部工作表，文件仅含Sheet1；共610行、23列，第一行为表头，609条原始记录中562条完整填写13道问卷题，其余47条问卷和提交时间均为空。所有原始记录保留，未按时长、身份或日期去重筛选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有效回答提交时间范围：2024-10-09 15:18:32至2024-12-02 08:02:00，原文件未标明时区。文件名中的更新日期不等同于回答采集期。填写时长范围为“7秒”至“7分49秒”，未用该字段剔除回答；较短作答提示后续可进一步核验质量，但本次不自行设置筛选阈值。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单选占比＝选择该原始类别的人数÷该题有效回答人数；多选提及率＝选择该选项的人数÷该题有效回答人数，每人每项计一次。所有题目本次有效基数均为562；性别交叉以男347、女215为分母，年龄交叉以166、280、81、35为分母。多选合计可超过100%，本报告不发明权重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百分比保留一位小数；百分点差异根据未舍入值计算。原始标签、类别和人数保持不变，图中文字仅为排版换行。核心决策题实际有524人选3项、32人选2项、6人选1项，均按原回答保留。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新能源汽车顾虑题原标注“多选”，但存在可能属于选项内部的逗号。本报告保留完整单元格回答的频次，不强拆、不将其解释为单选分布或逐项提及率。当前车辆品牌题描述使用现状，不描述未来购买品牌偏好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23列均纳入结构核验：13列问卷题目用于分析；其余为序号、微信昵称、微信OpenID、微信UnionID、提交时间、填写时长、填写地区及红包管理字段。管理字段用于数据口径核验，不冒充问卷指标，报告不展示个人账号标识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抽样框、招募渠道、总体覆盖及重复参与控制信息未提供；“有效问卷”仅指13题完整填写。报告描述本次受访者，不自动代表全国总体。没有历史可比样本，不作趋势增长结论；本次未做显著性或因果检验。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主要发现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核心购车决策首先体现经济性与实用性：购车总价与终端优惠（性价比）提及率为58.9%，日常用车成本（电费/油费/保养费）为42.7%，车身空间与乘坐舒适性为42.5%。这三项领先，但并非所有受访者采用相同决策组合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智能功能期待集中在自动驾驶功能（如城市道路辅助驾驶、高速公路自动驾驶）（58.7%）、实时路况与智能导航（51.6%）和远程控制（如通过手机APP控制车辆）（48.4%）；娱乐侧以音乐/视频播放（58.2%）和智能语音助手（53.9%）居前。功能期待与购车核心因素是不同问题，不能直接互换解释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能源偏好仍呈多元结构：传统燃油车占55.5%，纯电动汽车占29.2%，混合动力汽车占13.3%。原题未区分插电与非插电混动，因此不将混合动力统一归为新能源汽车，也不据此计算所谓新能源渗透率。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年龄交叉表现出不同优先项；性别交叉中的差异为样本内描述性差异。本次不做因果归因，也未进行统计显著性检验。建议将观察到的差异用于后续验证与沟通内容设计，而非给个体贴标签。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01  消费者画像：年龄分布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“30-40岁”有280人，占49.8%，是本次样本最大的年龄组；“20-30岁”占29.5%，其次为“40-50岁”（14.4%）与“50岁以上”（6.2%）。原始区间标签保持不变，未重新划分年龄边界。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这意味着总体统计更多反映样本中30-40岁人群的回答结构，而不能直接外推为全国购车人群年龄分布。产品与沟通建议需结合后续年龄交叉，不能仅凭年龄构成推断家庭结构、购车用途或购买能力。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“50岁以上”组只有35人，组内百分比容易受少量回答影响；相关差异应结合实际人数解读，不宜作确定性群体判断。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1952" cy="553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952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图1｜数据来源：Sheet1，B列；原题：您的年龄段：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02  消费者画像：性别分布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男性受访者347人，占61.7%；女性215人，占38.3%。两组样本量不等，直接比较选择人数会混入样本规模差异。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后续性别交叉分别以男性347人和女性215人为分母计算提及率，左右采用相同坐标尺度。这样比较的是各组选择倾向，而不是谁贡献了更多回答。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性别比例是本次回收样本的特征；没有目标总体分布和抽样设计信息，不据此判断市场性别结构，也不自行加权校正。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5009" cy="5532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5009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图2｜数据来源：Sheet1，C列；原题：您的性别：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03  消费者画像：城市分布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“新一线城市（杭州/成都/重庆/武汉等）”占34.5%，为占比最高类别；“一线城市（北京/上海/广州/深圳）”占28.1%，“二线城市”占21.7%。“三四线城市”和“县城及乡镇/农村”分别占11.6%与4.1%。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总体结果更集中反映样本中城市用户的意见。对于低线城市或县乡渠道，不能直接照搬全样本结论；可在后续研究中增加相关样本，再核验预算、补能与功能诉求。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原题干使用“城市行政层级”，但选项为城市商业分级与居住地区类别。本报告保留原题和原分类，不将其解读为正式行政等级，也不重新归类“县城及乡镇/农村”。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96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9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图3｜数据来源：Sheet1，D列；原题：您常住城市行政层级（单选）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04  消费者画像：职业类型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民营企业/外资企业/互联网企业/其他企业”占49.3%，为最大职业类别；“党政机关/事业单位/国有企业”占22.2%。“个体工商户/私营业主/合伙经营者”“自由职业者/灵活就业者/平台就业者”“农业工作者”分别占14.4%、10.5%、3.6%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职业分类本身包含多个就业类型，不能据此进一步拆分国企、事业单位或互联网从业者。报告沿用原类别，以避免制造原始数据没有提供的细分结果。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这些数据可帮助理解样本来源结构，但不足以证明不同职业的收入稳定性或用车场景。职业相关的金融方案、购车用途等建议，应在获得相应交叉数据后验证。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25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up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2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图4｜数据来源：Sheet1，F列；原题：您的职业类型（单选）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05  购车偏好：预算分布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“15-20万元（中端主流市场）”占27.6%，为最大预算类别；“20-30万元（中高端市场）”占24.9%，“10万元以下（入门级市场）”占23.5%。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其余类别为“10-15万元（主流刚需市场）”（14.9%）、“30-50万元（高端市场）”（6.2%）和“50万元以上（豪华市场）”（2.8%）。样本并非只集中于一个价位，需要同时关注不同原始预算档位。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预算与实际成交价、裸车价或落地价并非同一口径；原问卷没有进一步说明，本报告不自行补定义。结合性价比因素的高提及率，可考虑在后续产品沟通中清晰呈现价格与配置，但不能据此断言降价一定带来购买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234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3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图5｜数据来源：Sheet1，G列；原题：您购买汽车的预算范围是多少？（单选）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06  购车决策：性别交叉分析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男女共同关注购车总价与终端优惠（性价比）：男性56.2%，女性63.3%，女性高7.1个百分点。车身空间与乘坐舒适性两组分别为42.4%与42.8%，观察值接近。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女性在品牌口碑与市场保值率上的提及率为33.5%，男性为27.7%，相差5.8个百分点；售后服务网络与补能体系（换电/快充）女性19.1%、男性14.1%。男性对续航里程（纯电/混动续航能力）的提及率为19.9%，女性为13.5%，男性高6.4个百分点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沟通上可用共同的性价比与空间诉求作为基础，再验证品牌保值、服务保障或续航内容的不同反馈。上述差异未检验显著性，且可能与预算、年龄等构成相关，不能解释为性别造成的偏好。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72732" cy="5532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deci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732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图6｜数据来源：Sheet1，K列；原题：请从以下选项中，选出您购车时最核心的3个决策因素（多选，限选3项）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07  智能汽车趋势：期待功能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排名前三为“自动驾驶功能（如城市道路辅助驾驶、高速公路自动驾驶）”（58.7%）、“实时路况与智能导航”（51.6%）与“远程控制（如通过手机APP控制车辆）”（48.4%）。这表明驾驶辅助相关期待、出行导航及车辆远程操作是本次样本较广泛选择的方向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“智能语音助手”为39.3%，“车内娱乐与信息服务”为32.9%，“自动泊车”为28.1%。图中完整保留“其他”与“其他: 实体按键”，不将少数回答合并删除。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功能期待题中“自动驾驶功能（如城市道路辅助驾驶、高速公路自动驾驶）”的提及率，不能直接等同于核心决策题“智能驾驶能力（辅助驾驶/高阶智驾）”（19.0%）的重要性；题干、备选项和限选条件不同。可将高期待功能作为体验验证重点，但不能据此推断支付意愿、使用频率或实际自动驾驶能力。原始“自动驾驶”标签沿用问卷用语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942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fun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94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图7｜数据来源：Sheet1，M列；原题：在智能汽车功能中，您最期待哪些功能的发展与应用？（多选）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08  智能汽车趋势：车载娱乐期待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“音乐/视频播放”提及率为58.2%，“智能语音助手”为53.9%，两项居前；“社交网络”为38.4%，“个性化推荐”为31.9%，“游戏”为24.9%。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可考虑优先验证音视频和语音交互的体验，再评估社交、推荐及游戏功能的实际使用场景。问卷将“音乐/视频播放”合为一个选项，不能将其拆成音乐和视频各自的需求率；语音助手虽也出现在功能题中，两题回答不能相加或合并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图中保留全部“其他”及自由填写原文，包括“其他: l”，不擅自纠错或解释其含义。单项自由填写频次较低，只能作为后续核验线索；本题没有区分驾驶员、乘客或驻车场景，不能从期待率推断驾驶中的使用行为。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692292" cy="5532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tain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2292" cy="553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图8｜数据来源：Sheet1，N列；原题：您对智能汽车的车载娱乐系统有何期待？（多选）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A94757"/>
          <w:sz w:val="34"/>
        </w:rPr>
        <w:t>09  购车决策：年龄交叉分析</w:t>
      </w:r>
    </w:p>
    <w:p>
      <w:pPr>
        <w:spacing w:after="80" w:line="290" w:lineRule="exact"/>
      </w:pPr>
      <w:r>
        <w:rPr>
          <w:rFonts w:ascii="Noto Sans CJK SC" w:hAnsi="Noto Sans CJK SC" w:eastAsia="Noto Sans CJK SC"/>
          <w:b w:val="0"/>
          <w:sz w:val="20"/>
        </w:rPr>
        <w:t>“20-30岁”对购车总价与终端优惠（性价比）提及率72.9%，高于其他年龄组；对智能驾驶能力（辅助驾驶/高阶智驾）为27.1%、对智能座舱体验（车机流畅度/生态/交互）为25.3%。</w:t>
      </w:r>
    </w:p>
    <w:p>
      <w:pPr>
        <w:spacing w:after="80" w:line="290" w:lineRule="exact"/>
      </w:pPr>
      <w:r>
        <w:rPr>
          <w:rFonts w:ascii="Noto Sans CJK SC" w:hAnsi="Noto Sans CJK SC" w:eastAsia="Noto Sans CJK SC"/>
          <w:b w:val="0"/>
          <w:sz w:val="20"/>
        </w:rPr>
        <w:t>“30-40岁”和“40-50岁”对车身空间与乘坐舒适性分别为48.6%与49.4%；“50岁以上”对日常用车成本（电费/油费/保养费）为57.1%、对品牌口碑与市场保值率为54.3%。</w:t>
      </w:r>
    </w:p>
    <w:p>
      <w:pPr>
        <w:spacing w:after="80" w:line="290" w:lineRule="exact"/>
      </w:pPr>
      <w:r>
        <w:rPr>
          <w:rFonts w:ascii="Noto Sans CJK SC" w:hAnsi="Noto Sans CJK SC" w:eastAsia="Noto Sans CJK SC"/>
          <w:b w:val="0"/>
          <w:sz w:val="20"/>
        </w:rPr>
        <w:t>可将价格透明、空间体验及长期使用成本作为不同年龄内容的验证方向。各组N依次为166、280、81、35；尤其最后一组需谨慎。热图呈现组内提及率，不代表因果或显著性，0%仅表示本组无人选择。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057911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ecis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7911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图9｜数据来源：Sheet1，K列；原题：请从以下选项中，选出您购车时最核心的3个决策因素（多选，限选3项）</w:t>
      </w:r>
    </w:p>
    <w:p>
      <w:pPr>
        <w:sectPr>
          <w:pgSz w:w="16834" w:h="11909" w:orient="landscape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A94757"/>
          <w:sz w:val="34"/>
        </w:rPr>
        <w:t>购车核心因素：总体提及率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性别与年龄图用于比较组内选择倾向，下表补充全体受访者的11项核心因素。人数与提及率逐项保留，不合并为新的因素类别。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原始决策因素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提及率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购车总价与终端优惠（性价比）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331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58.9%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日常用车成本（电费/油费/保养费）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42.7%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车身空间与乘坐舒适性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239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42.5%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品牌口碑与市场保值率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29.9%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外观内饰设计与做工质感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144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25.6%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智能驾驶能力（辅助驾驶/高阶智驾）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智能座舱体验（车机流畅度/生态/交互）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续航里程（纯电/混动续航能力）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售后服务网络与补能体系（换电/快充）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三电安全性（电池/电机/电控质量与安全）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12.3%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充电便利性（家充安装/公桩覆盖）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9.3%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8"/>
        </w:rPr>
        <w:t>有效样本N=562，多选限选3项；实际提及总次数1642。提及率合计超过100%是多选题正常结果，不能把1642次提及作为受访者分母。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收入结构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“12001—20000元”占36.1%，是最大月均税前收入档；“8001—12000元”占24.7%，“5001—8000元”占19.9%。收入区间按原始选项展示，不使用区间中点推算平均收入。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收入与预算属于不同指标，未进行收入×预算交叉，不能据此推断收入较高者选择哪个价位。表格保留原收入口径与全部八类。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5001—8000元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30001—50000元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8001—12000元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20001—30000元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3001—5000元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12001—20000元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36.1%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50001元及以上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3000元及以下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1.1%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E列；有效N=562，原始缺失47条。原题：您个人月均税前收入（单选）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能源类型偏好与新能源汽车相关解读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传统燃油车312人（55.5%），纯电动汽车164人（29.2%），混合动力汽车75人（13.3%）。纯电偏好已形成可观察样本，但燃油仍是本次样本最大的原始类别。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“混合动力汽车”未说明是否可外接充电，不能统一算作新能源汽车。本报告也不把“其他: 无”“其他: 无车”等答案重新解释为能源类别或删除。对于新能源营销，需进一步验证纯电偏好用户的补能条件与车型选择，而不是将全体562人视为新能源潜客。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传统燃油车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55.5%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纯电动汽车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29.2%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混合动力汽车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13.3%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摩托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没摇到号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H列；有效N=562，原始缺失47条。原题：您优先考虑的车辆能源类型（单选）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车身车型偏好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“中型/中大型SUV”占31.1%，为最大车型类别；“紧凑型SUV”占24.6%，其次是“中型/中大型轿车”（14.4%）。“MPV（商务/家用多座）”占5.7%。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车型选项本身组合了尺寸和车身类型，不再将它们合并为SUV、轿车等新类别。可将空间体验作为相关产品展示的验证方向，但问卷没有用途题，不能直接断言这些选择来自家庭、商务或通勤需求。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中型/中大型轿车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14.4%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紧凑型SUV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中型/中大型SUV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31.1%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MPV（商务/家用多座）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微型代步车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4.8%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小型/紧凑型轿车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跑车/性能车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旅行车/猎装版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3.6%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I列；有效N=562，原始缺失47条。原题：您偏好的车身车型类别（单选）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当前使用品牌：保留全部原始类别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当前使用品牌中“大众”占16.0%，为最多类别；“比亚迪”为8.4%，“小鹏”为7.7%，“奔驰”为6.6%，“丰田”为6.4%。这些数字只描述本次受访者使用现状，不是全国市场份额，也不是未来购车意向。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本题共有50个原始类别。自由填写中的“其他: 本田”“其他: 广本”“其他: 标志”等全部保持原文，不做品牌映射、纠错或归并。下表完整列出，避免将当前使用品牌误写为购买候选品牌。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特斯拉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奥迪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1.8%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比亚迪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蔚来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福特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大众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90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本田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吉利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丰田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奇瑞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4.8%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小米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奔驰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6.6%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零跑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理想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小鹏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宝马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28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雪佛兰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五菱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标致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广本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雪铁龙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0.7%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红旗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别克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尼桑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长安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没车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无车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CS75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马自达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现代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0.5%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标志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北汽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极狐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英菲尼迪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埃安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极越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捷豹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长城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Mini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起亚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凯迪拉克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沃尔沃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荣威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路虎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斯柯达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华为合作的豹八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威马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其他: 北汽极狐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0.2%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J列；有效N=562，原始缺失47条。原题：您目前使用的车辆品牌是什么？（单选）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新能源汽车顾虑：完整原回答频次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“车型同质化严重，无差异化亮点”原回答共106条，占18.9%；“智能化功能冗余、实用性低”为102条（18.1%），“价格较高”为96条（17.1%）。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“无明显顾虑”有95条（16.9%），只表示该题原回答，不能等同于确定购买新能源汽车。关于续航、充电、安全、冬季体验和保值的完整表述均在下表保留。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本列为原始多选题，且“车型同质化严重，无差异化亮点”内有逗号。缺少原始选项字典时不能证明该逗号为多选分隔符，因此这里统计整格原回答频次，而非逐项提及率。产品沟通可进一步核验实用性与差异化诉求，但不从此表补推购买障碍的因果权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原始类别 / 原回答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人数 / 频次</w:t>
            </w:r>
          </w:p>
        </w:tc>
        <w:tc>
          <w:tcPr>
            <w:tcW w:type="dxa" w:w="3298"/>
            <w:shd w:fill="F5DFE2"/>
          </w:tcPr>
          <w:p>
            <w:r>
              <w:rPr>
                <w:rFonts w:ascii="Noto Sans CJK SC" w:hAnsi="Noto Sans CJK SC" w:eastAsia="Noto Sans CJK SC"/>
                <w:b/>
                <w:color w:val="742D3A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无明显顾虑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充电不便（无固定车位/公桩排队难）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6.4%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价格较高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续航焦虑（冬季缩水/高速续航不足）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电池安全隐患（起火/老化风险）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6.0%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智能化功能冗余、实用性低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102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18.1%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冬季用车体验差（制热慢、耗电高）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35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6.2%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车型同质化严重，无差异化亮点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106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18.9%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二手车保值率低</w:t>
            </w:r>
          </w:p>
        </w:tc>
        <w:tc>
          <w:tcPr>
            <w:tcW w:type="dxa" w:w="115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</w:t>
            </w:r>
          </w:p>
        </w:tc>
        <w:tc>
          <w:tcPr>
            <w:tcW w:type="dxa" w:w="144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4.3%</w:t>
            </w:r>
          </w:p>
        </w:tc>
      </w:tr>
    </w:tbl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来源：Sheet1 L列；有效N=562，原始缺失47条。原题：您对新能源汽车的核心顾虑（阻碍购车/换车的首要原因）（多选）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  <w:color w:val="A94757"/>
          <w:sz w:val="34"/>
        </w:rPr>
        <w:t>结论与后续验证方向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经济性与基础体验是本次样本最明确的共同关注。建议后续产品和营销验证先围绕价格透明、长期用车成本和空间体验展开；具体配置与优惠方案仍需通过进一步测试判断效果。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智能期待与核心决策的重要性不能混为一谈。功能期待高，说明适合进入体验验证清单；是否愿意付费、是否影响购买、是否高频使用，需要单独研究。避免只凭提及率增加功能数量。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年龄和性别交叉可用于设计不同沟通内容的验证版本，但不能把群体差异直接归因于年龄或性别。后续可在预算、收入、能源偏好等条件下检查差异是否仍然存在，且充分考虑小样本组。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新能源汽车相关研究应区分纯电、插电混动、非插电混动与增程式，并补充充电条件、购车时间和实际购买行为。现有题目不能支撑新能源渗透率、购买转化率或2025年增长趋势的判断。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21"/>
        </w:rPr>
        <w:t>正式扩展研究前，建议核验抽样与招募渠道、短时作答记录以及顾虑题原选项字典。新增验证不应回头擅改本次原始分类；本报告已完整保留可观察数据与解析限制。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A94757"/>
          <w:sz w:val="26"/>
        </w:rPr>
        <w:t>数据与计算追溯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color w:val="666666"/>
          <w:sz w:val="16"/>
        </w:rPr>
        <w:t>来源文件SHA256：62b71449b2e491139824c3af013b47e773685df1f3c37c4190312d58ca0372ab</w:t>
      </w:r>
    </w:p>
    <w:p>
      <w:pPr>
        <w:spacing w:after="140" w:line="300" w:lineRule="auto"/>
      </w:pPr>
      <w:r>
        <w:rPr>
          <w:rFonts w:ascii="Noto Sans CJK SC" w:hAnsi="Noto Sans CJK SC" w:eastAsia="Noto Sans CJK SC"/>
          <w:b w:val="0"/>
          <w:sz w:val="18"/>
        </w:rPr>
        <w:t>随附统计文件保存每类人数、有效分母、未舍入百分比及性别/年龄交叉。原始Excel只读，统计审校独立复算全部13题及交叉结果；图表与正文均引用同一统计版本。</w:t>
      </w:r>
    </w:p>
    <w:sectPr w:rsidR="00FC693F" w:rsidRPr="0006063C" w:rsidSect="00034616">
      <w:pgSz w:w="11909" w:h="16834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77777"/>
        <w:sz w:val="16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777777"/>
        <w:sz w:val="16"/>
      </w:rPr>
      <w:t>中国汽车消费者购车意愿 | 数据分析与洞察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