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t>Session for AAGAB_23638</w:t>
      </w:r>
    </w:p>
    <w:p>
      <w:pPr>
        <w:pStyle w:val="Heading2"/>
      </w:pPr>
      <w:r>
        <w:t>Dataset</w:t>
      </w:r>
    </w:p>
    <w:p>
      <w:r>
        <w:rPr>
          <w:b/>
        </w:rPr>
        <w:t xml:space="preserve">Name: </w:t>
      </w:r>
      <w:r>
        <w:t>AAGAB_23638</w:t>
      </w:r>
    </w:p>
    <w:tbl>
      <w:tblPr>
        <w:tblStyle w:val="bmdsTbl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pStyle w:val="bmdsTblHeader"/>
            </w:pPr>
            <w:r>
              <w:t>Dose</w:t>
            </w:r>
          </w:p>
        </w:tc>
        <w:tc>
          <w:tcPr>
            <w:tcW w:type="dxa" w:w="2340"/>
          </w:tcPr>
          <w:p>
            <w:pPr>
              <w:pStyle w:val="bmdsTblHeader"/>
            </w:pPr>
            <w:r>
              <w:t>N</w:t>
            </w:r>
          </w:p>
        </w:tc>
        <w:tc>
          <w:tcPr>
            <w:tcW w:type="dxa" w:w="2340"/>
          </w:tcPr>
          <w:p>
            <w:pPr>
              <w:pStyle w:val="bmdsTblHeader"/>
            </w:pPr>
            <w:r>
              <w:t>Mean</w:t>
            </w:r>
          </w:p>
        </w:tc>
        <w:tc>
          <w:tcPr>
            <w:tcW w:type="dxa" w:w="2340"/>
          </w:tcPr>
          <w:p>
            <w:pPr>
              <w:pStyle w:val="bmdsTblHeader"/>
            </w:pPr>
            <w:r>
              <w:t>Std. Dev.</w:t>
            </w:r>
          </w:p>
        </w:tc>
      </w:tr>
      <w:tr>
        <w:tc>
          <w:tcPr>
            <w:tcW w:type="dxa" w:w="2340"/>
          </w:tcPr>
          <w:p>
            <w:pPr>
              <w:pStyle w:val="bmdsTblBody"/>
            </w:pPr>
            <w:r>
              <w:t>0</w:t>
            </w:r>
          </w:p>
        </w:tc>
        <w:tc>
          <w:tcPr>
            <w:tcW w:type="dxa" w:w="2340"/>
          </w:tcPr>
          <w:p>
            <w:pPr>
              <w:pStyle w:val="bmdsTblBody"/>
            </w:pPr>
            <w:r>
              <w:t>12</w:t>
            </w:r>
          </w:p>
        </w:tc>
        <w:tc>
          <w:tcPr>
            <w:tcW w:type="dxa" w:w="2340"/>
          </w:tcPr>
          <w:p>
            <w:pPr>
              <w:pStyle w:val="bmdsTblBody"/>
            </w:pPr>
            <w:r>
              <w:t>-0.004</w:t>
            </w:r>
          </w:p>
        </w:tc>
        <w:tc>
          <w:tcPr>
            <w:tcW w:type="dxa" w:w="2340"/>
          </w:tcPr>
          <w:p>
            <w:pPr>
              <w:pStyle w:val="bmdsTblBody"/>
            </w:pPr>
            <w:r>
              <w:t>0.118</w:t>
            </w:r>
          </w:p>
        </w:tc>
      </w:tr>
      <w:tr>
        <w:tc>
          <w:tcPr>
            <w:tcW w:type="dxa" w:w="2340"/>
          </w:tcPr>
          <w:p>
            <w:pPr>
              <w:pStyle w:val="bmdsTblBody"/>
            </w:pPr>
            <w:r>
              <w:t>0.1</w:t>
            </w:r>
          </w:p>
        </w:tc>
        <w:tc>
          <w:tcPr>
            <w:tcW w:type="dxa" w:w="2340"/>
          </w:tcPr>
          <w:p>
            <w:pPr>
              <w:pStyle w:val="bmdsTblBody"/>
            </w:pPr>
            <w:r>
              <w:t>3</w:t>
            </w:r>
          </w:p>
        </w:tc>
        <w:tc>
          <w:tcPr>
            <w:tcW w:type="dxa" w:w="2340"/>
          </w:tcPr>
          <w:p>
            <w:pPr>
              <w:pStyle w:val="bmdsTblBody"/>
            </w:pPr>
            <w:r>
              <w:t>-0.207</w:t>
            </w:r>
          </w:p>
        </w:tc>
        <w:tc>
          <w:tcPr>
            <w:tcW w:type="dxa" w:w="2340"/>
          </w:tcPr>
          <w:p>
            <w:pPr>
              <w:pStyle w:val="bmdsTblBody"/>
            </w:pPr>
            <w:r>
              <w:t>0.129</w:t>
            </w:r>
          </w:p>
        </w:tc>
      </w:tr>
      <w:tr>
        <w:tc>
          <w:tcPr>
            <w:tcW w:type="dxa" w:w="2340"/>
          </w:tcPr>
          <w:p>
            <w:pPr>
              <w:pStyle w:val="bmdsTblBody"/>
            </w:pPr>
            <w:r>
              <w:t>1</w:t>
            </w:r>
          </w:p>
        </w:tc>
        <w:tc>
          <w:tcPr>
            <w:tcW w:type="dxa" w:w="2340"/>
          </w:tcPr>
          <w:p>
            <w:pPr>
              <w:pStyle w:val="bmdsTblBody"/>
            </w:pPr>
            <w:r>
              <w:t>3</w:t>
            </w:r>
          </w:p>
        </w:tc>
        <w:tc>
          <w:tcPr>
            <w:tcW w:type="dxa" w:w="2340"/>
          </w:tcPr>
          <w:p>
            <w:pPr>
              <w:pStyle w:val="bmdsTblBody"/>
            </w:pPr>
            <w:r>
              <w:t>-0.72</w:t>
            </w:r>
          </w:p>
        </w:tc>
        <w:tc>
          <w:tcPr>
            <w:tcW w:type="dxa" w:w="2340"/>
          </w:tcPr>
          <w:p>
            <w:pPr>
              <w:pStyle w:val="bmdsTblBody"/>
            </w:pPr>
            <w:r>
              <w:t>0.144</w:t>
            </w:r>
          </w:p>
        </w:tc>
      </w:tr>
      <w:tr>
        <w:tc>
          <w:tcPr>
            <w:tcW w:type="dxa" w:w="2340"/>
          </w:tcPr>
          <w:p>
            <w:pPr>
              <w:pStyle w:val="bmdsTblBody"/>
            </w:pPr>
            <w:r>
              <w:t>10</w:t>
            </w:r>
          </w:p>
        </w:tc>
        <w:tc>
          <w:tcPr>
            <w:tcW w:type="dxa" w:w="2340"/>
          </w:tcPr>
          <w:p>
            <w:pPr>
              <w:pStyle w:val="bmdsTblBody"/>
            </w:pPr>
            <w:r>
              <w:t>3</w:t>
            </w:r>
          </w:p>
        </w:tc>
        <w:tc>
          <w:tcPr>
            <w:tcW w:type="dxa" w:w="2340"/>
          </w:tcPr>
          <w:p>
            <w:pPr>
              <w:pStyle w:val="bmdsTblBody"/>
            </w:pPr>
            <w:r>
              <w:t>-0.435</w:t>
            </w:r>
          </w:p>
        </w:tc>
        <w:tc>
          <w:tcPr>
            <w:tcW w:type="dxa" w:w="2340"/>
          </w:tcPr>
          <w:p>
            <w:pPr>
              <w:pStyle w:val="bmdsTblBody"/>
            </w:pPr>
            <w:r>
              <w:t>0.416</w:t>
            </w:r>
          </w:p>
        </w:tc>
      </w:tr>
    </w:tbl>
    <w:p>
      <w:pPr>
        <w:pStyle w:val="bmdsTblFootnote"/>
      </w:pPr>
      <w:r>
        <w:t>Test 1 Dose Response: &lt;0.0001</w:t>
      </w:r>
    </w:p>
    <w:p>
      <w:pPr>
        <w:pStyle w:val="bmdsTblFootnote"/>
      </w:pPr>
      <w:r>
        <w:t>Test 2 Homogeneity of Variance: 0.023</w:t>
      </w:r>
    </w:p>
    <w:p>
      <w:pPr>
        <w:pStyle w:val="bmdsTblFootnote"/>
      </w:pPr>
      <w:r>
        <w:t>Test 3 Variance Model Selection: 0.0808</w:t>
      </w:r>
    </w:p>
    <w:p>
      <w:pPr>
        <w:pStyle w:val="Heading2"/>
      </w:pPr>
      <w:r>
        <w:t>Maximum Likelihood Approach</w:t>
      </w:r>
    </w:p>
    <w:tbl>
      <w:tblPr>
        <w:tblStyle w:val="bmdsTbl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905"/>
          </w:tcPr>
          <w:p>
            <w:pPr>
              <w:pStyle w:val="bmdsTblHeader"/>
            </w:pPr>
            <w:r>
              <w:t>Model</w:t>
            </w:r>
          </w:p>
        </w:tc>
        <w:tc>
          <w:tcPr>
            <w:tcW w:type="dxa" w:w="871"/>
          </w:tcPr>
          <w:p>
            <w:pPr>
              <w:pStyle w:val="bmdsTblHeader"/>
            </w:pPr>
            <w:r>
              <w:t>BMDL</w:t>
            </w:r>
          </w:p>
        </w:tc>
        <w:tc>
          <w:tcPr>
            <w:tcW w:type="dxa" w:w="871"/>
          </w:tcPr>
          <w:p>
            <w:pPr>
              <w:pStyle w:val="bmdsTblHeader"/>
            </w:pPr>
            <w:r>
              <w:t>BMD</w:t>
            </w:r>
          </w:p>
        </w:tc>
        <w:tc>
          <w:tcPr>
            <w:tcW w:type="dxa" w:w="762"/>
          </w:tcPr>
          <w:p>
            <w:pPr>
              <w:pStyle w:val="bmdsTblHeader"/>
            </w:pPr>
            <w:r>
              <w:t>BMDU</w:t>
            </w:r>
          </w:p>
        </w:tc>
        <w:tc>
          <w:tcPr>
            <w:tcW w:type="dxa" w:w="762"/>
          </w:tcPr>
          <w:p>
            <w:pPr>
              <w:pStyle w:val="bmdsTblHeader"/>
            </w:pPr>
            <w:r>
              <w:rPr>
                <w:i/>
              </w:rPr>
              <w:t>P</w:t>
            </w:r>
            <w:r>
              <w:t>-Value</w:t>
            </w:r>
          </w:p>
        </w:tc>
        <w:tc>
          <w:tcPr>
            <w:tcW w:type="dxa" w:w="762"/>
          </w:tcPr>
          <w:p>
            <w:pPr>
              <w:pStyle w:val="bmdsTblHeader"/>
            </w:pPr>
            <w:r>
              <w:t>AIC</w:t>
            </w:r>
          </w:p>
        </w:tc>
        <w:tc>
          <w:tcPr>
            <w:tcW w:type="dxa" w:w="762"/>
          </w:tcPr>
          <w:p>
            <w:pPr>
              <w:pStyle w:val="bmdsTblHeader"/>
            </w:pPr>
            <w:r>
              <w:t>Scaled Residual at Control</w:t>
            </w:r>
          </w:p>
        </w:tc>
        <w:tc>
          <w:tcPr>
            <w:tcW w:type="dxa" w:w="762"/>
          </w:tcPr>
          <w:p>
            <w:pPr>
              <w:pStyle w:val="bmdsTblHeader"/>
            </w:pPr>
            <w:r>
              <w:t>Scaled Residual near BMD</w:t>
            </w:r>
          </w:p>
        </w:tc>
        <w:tc>
          <w:tcPr>
            <w:tcW w:type="dxa" w:w="1905"/>
          </w:tcPr>
          <w:p>
            <w:pPr>
              <w:pStyle w:val="bmdsTblHeader"/>
            </w:pPr>
            <w:r>
              <w:t>Recommendation and Notes</w:t>
            </w:r>
          </w:p>
        </w:tc>
      </w:tr>
      <w:tr>
        <w:tc>
          <w:tcPr>
            <w:tcW w:type="dxa" w:w="1905"/>
          </w:tcPr>
          <w:p>
            <w:pPr>
              <w:pStyle w:val="bmdsTblBody"/>
            </w:pPr>
            <w:r>
              <w:t>Linear</w:t>
            </w:r>
          </w:p>
        </w:tc>
        <w:tc>
          <w:tcPr>
            <w:tcW w:type="dxa" w:w="871"/>
          </w:tcPr>
          <w:p>
            <w:pPr>
              <w:pStyle w:val="bmdsTblBody"/>
            </w:pPr>
            <w:r>
              <w:t>1.932</w:t>
            </w:r>
          </w:p>
        </w:tc>
        <w:tc>
          <w:tcPr>
            <w:tcW w:type="dxa" w:w="871"/>
          </w:tcPr>
          <w:p>
            <w:pPr>
              <w:pStyle w:val="bmdsTblBody"/>
            </w:pPr>
            <w:r>
              <w:t>2.08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2.211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0.004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-0.873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-0.133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-2.538</w:t>
            </w:r>
          </w:p>
        </w:tc>
        <w:tc>
          <w:tcPr>
            <w:tcW w:type="dxa" w:w="1905"/>
          </w:tcPr>
          <w:p>
            <w:pPr>
              <w:pStyle w:val="bmdsTblBody"/>
            </w:pPr>
            <w:r>
              <w:rPr>
                <w:b/>
              </w:rPr>
              <w:t>Questionable</w:t>
              <w:br/>
            </w:r>
            <w:r>
              <w:t>|Residual near BMD| &gt; 2.0</w:t>
              <w:br/>
              <w:t>Goodness of fit p-value &lt; 0.1</w:t>
            </w:r>
          </w:p>
        </w:tc>
      </w:tr>
      <w:tr>
        <w:tc>
          <w:tcPr>
            <w:tcW w:type="dxa" w:w="1905"/>
          </w:tcPr>
          <w:p>
            <w:pPr>
              <w:pStyle w:val="bmdsTblBody"/>
            </w:pPr>
            <w:r>
              <w:t>Polynomial 2</w:t>
            </w:r>
          </w:p>
        </w:tc>
        <w:tc>
          <w:tcPr>
            <w:tcW w:type="dxa" w:w="871"/>
          </w:tcPr>
          <w:p>
            <w:pPr>
              <w:pStyle w:val="bmdsTblBody"/>
            </w:pPr>
            <w:r>
              <w:t>0.713</w:t>
            </w:r>
          </w:p>
        </w:tc>
        <w:tc>
          <w:tcPr>
            <w:tcW w:type="dxa" w:w="871"/>
          </w:tcPr>
          <w:p>
            <w:pPr>
              <w:pStyle w:val="bmdsTblBody"/>
            </w:pPr>
            <w:r>
              <w:t>2.079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50.84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0.004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-0.873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-0.133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-2.538</w:t>
            </w:r>
          </w:p>
        </w:tc>
        <w:tc>
          <w:tcPr>
            <w:tcW w:type="dxa" w:w="1905"/>
          </w:tcPr>
          <w:p>
            <w:pPr>
              <w:pStyle w:val="bmdsTblBody"/>
            </w:pPr>
            <w:r>
              <w:rPr>
                <w:b/>
              </w:rPr>
              <w:t>Questionable</w:t>
              <w:br/>
            </w:r>
            <w:r>
              <w:t>|Residual near BMD| &gt; 2.0</w:t>
              <w:br/>
              <w:t>Goodness of fit p-value &lt; 0.1</w:t>
            </w:r>
          </w:p>
        </w:tc>
      </w:tr>
      <w:tr>
        <w:tc>
          <w:tcPr>
            <w:tcW w:type="dxa" w:w="1905"/>
          </w:tcPr>
          <w:p>
            <w:pPr>
              <w:pStyle w:val="bmdsTblBody"/>
            </w:pPr>
            <w:r>
              <w:t>Power</w:t>
            </w:r>
          </w:p>
        </w:tc>
        <w:tc>
          <w:tcPr>
            <w:tcW w:type="dxa" w:w="871"/>
          </w:tcPr>
          <w:p>
            <w:pPr>
              <w:pStyle w:val="bmdsTblBody"/>
            </w:pPr>
            <w:r>
              <w:t>-</w:t>
            </w:r>
          </w:p>
        </w:tc>
        <w:tc>
          <w:tcPr>
            <w:tcW w:type="dxa" w:w="871"/>
          </w:tcPr>
          <w:p>
            <w:pPr>
              <w:pStyle w:val="bmdsTblBody"/>
            </w:pPr>
            <w:r>
              <w:t>2.019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-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0.001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1.147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-0.133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-2.529</w:t>
            </w:r>
          </w:p>
        </w:tc>
        <w:tc>
          <w:tcPr>
            <w:tcW w:type="dxa" w:w="1905"/>
          </w:tcPr>
          <w:p>
            <w:pPr>
              <w:pStyle w:val="bmdsTblBody"/>
            </w:pPr>
            <w:r>
              <w:rPr>
                <w:b/>
              </w:rPr>
              <w:t>Unusable</w:t>
              <w:br/>
            </w:r>
            <w:r>
              <w:t>Did not successfully execute.</w:t>
            </w:r>
          </w:p>
        </w:tc>
      </w:tr>
      <w:tr>
        <w:tc>
          <w:tcPr>
            <w:tcW w:type="dxa" w:w="1905"/>
          </w:tcPr>
          <w:p>
            <w:pPr>
              <w:pStyle w:val="bmdsTblBody"/>
            </w:pPr>
            <w:r>
              <w:t>Hill</w:t>
            </w:r>
          </w:p>
        </w:tc>
        <w:tc>
          <w:tcPr>
            <w:tcW w:type="dxa" w:w="871"/>
          </w:tcPr>
          <w:p>
            <w:pPr>
              <w:pStyle w:val="bmdsTblBody"/>
            </w:pPr>
            <w:r>
              <w:t>-</w:t>
            </w:r>
          </w:p>
        </w:tc>
        <w:tc>
          <w:tcPr>
            <w:tcW w:type="dxa" w:w="871"/>
          </w:tcPr>
          <w:p>
            <w:pPr>
              <w:pStyle w:val="bmdsTblBody"/>
            </w:pPr>
            <w:r>
              <w:t>0.096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-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-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-7.016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0.342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-0.323</w:t>
            </w:r>
          </w:p>
        </w:tc>
        <w:tc>
          <w:tcPr>
            <w:tcW w:type="dxa" w:w="1905"/>
          </w:tcPr>
          <w:p>
            <w:pPr>
              <w:pStyle w:val="bmdsTblBody"/>
            </w:pPr>
            <w:r>
              <w:rPr>
                <w:b/>
              </w:rPr>
              <w:t>Unusable</w:t>
              <w:br/>
            </w:r>
            <w:r>
              <w:t>Did not successfully execute.</w:t>
            </w:r>
          </w:p>
        </w:tc>
      </w:tr>
      <w:tr>
        <w:tc>
          <w:tcPr>
            <w:tcW w:type="dxa" w:w="1905"/>
          </w:tcPr>
          <w:p>
            <w:pPr>
              <w:pStyle w:val="bmdsTblBody"/>
            </w:pPr>
            <w:r>
              <w:t>Exponential 3</w:t>
            </w:r>
          </w:p>
        </w:tc>
        <w:tc>
          <w:tcPr>
            <w:tcW w:type="dxa" w:w="871"/>
          </w:tcPr>
          <w:p>
            <w:pPr>
              <w:pStyle w:val="bmdsTblBody"/>
            </w:pPr>
            <w:r>
              <w:t>-</w:t>
            </w:r>
          </w:p>
        </w:tc>
        <w:tc>
          <w:tcPr>
            <w:tcW w:type="dxa" w:w="871"/>
          </w:tcPr>
          <w:p>
            <w:pPr>
              <w:pStyle w:val="bmdsTblBody"/>
            </w:pPr>
            <w:r>
              <w:t>-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-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&lt;0.001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25.47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-0.041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-</w:t>
            </w:r>
          </w:p>
        </w:tc>
        <w:tc>
          <w:tcPr>
            <w:tcW w:type="dxa" w:w="1905"/>
          </w:tcPr>
          <w:p>
            <w:pPr>
              <w:pStyle w:val="bmdsTblBody"/>
            </w:pPr>
            <w:r>
              <w:rPr>
                <w:b/>
              </w:rPr>
              <w:t>Unusable</w:t>
              <w:br/>
            </w:r>
            <w:r>
              <w:t>Did not successfully execute.</w:t>
            </w:r>
          </w:p>
        </w:tc>
      </w:tr>
      <w:tr>
        <w:tc>
          <w:tcPr>
            <w:tcW w:type="dxa" w:w="1905"/>
          </w:tcPr>
          <w:p>
            <w:pPr>
              <w:pStyle w:val="bmdsTblBody"/>
            </w:pPr>
            <w:r>
              <w:t>Exponential 5</w:t>
            </w:r>
          </w:p>
        </w:tc>
        <w:tc>
          <w:tcPr>
            <w:tcW w:type="dxa" w:w="871"/>
          </w:tcPr>
          <w:p>
            <w:pPr>
              <w:pStyle w:val="bmdsTblBody"/>
            </w:pPr>
            <w:r>
              <w:t>-</w:t>
            </w:r>
          </w:p>
        </w:tc>
        <w:tc>
          <w:tcPr>
            <w:tcW w:type="dxa" w:w="871"/>
          </w:tcPr>
          <w:p>
            <w:pPr>
              <w:pStyle w:val="bmdsTblBody"/>
            </w:pPr>
            <w:r>
              <w:t>-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-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&lt;0.001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27.47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-0.041</w:t>
            </w:r>
          </w:p>
        </w:tc>
        <w:tc>
          <w:tcPr>
            <w:tcW w:type="dxa" w:w="762"/>
          </w:tcPr>
          <w:p>
            <w:pPr>
              <w:pStyle w:val="bmdsTblBody"/>
            </w:pPr>
            <w:r>
              <w:t>-</w:t>
            </w:r>
          </w:p>
        </w:tc>
        <w:tc>
          <w:tcPr>
            <w:tcW w:type="dxa" w:w="1905"/>
          </w:tcPr>
          <w:p>
            <w:pPr>
              <w:pStyle w:val="bmdsTblBody"/>
            </w:pPr>
            <w:r>
              <w:rPr>
                <w:b/>
              </w:rPr>
              <w:t>Unusable</w:t>
              <w:br/>
            </w:r>
            <w:r>
              <w:t>Did not successfully execute.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Selected Model</w:t>
      </w:r>
    </w:p>
    <w:p>
      <w:r>
        <w:t>No model was selected as a best-fitting model.</w:t>
      </w:r>
    </w:p>
    <w:p>
      <w:pPr>
        <w:pStyle w:val="Heading1"/>
      </w:pPr>
      <w:r>
        <w:t>Recommended citation</w:t>
      </w:r>
    </w:p>
    <w:p>
      <w:r>
        <w:t>Please adapt as appropriate; the citations below capture the package version and timestamps for easier reproducibility of the analysis.</w:t>
      </w:r>
    </w:p>
    <w:p>
      <w:pPr>
        <w:pStyle w:val="bmdsOutputFile"/>
      </w:pPr>
      <w:r>
        <w:t>U.S. Environmental Protection Agency. (2024). pybmds (24.1; bmdscore 24.1) [Software]. Available from https://pypi.org/project/pybmds/. Executed on March 27, 2026.</w:t>
      </w:r>
    </w:p>
    <w:sectPr w:rsidR="004F2CD1" w:rsidRPr="00EE3202" w:rsidSect="000D0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roid Sans Fallback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75189D0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EAA0B9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035899B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71D0DD3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EDC43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7D22E71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8736A5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21181C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2C26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6D7CB0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FD00B0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6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E6F"/>
    <w:rsid w:val="000B06CA"/>
    <w:rsid w:val="000D0EE1"/>
    <w:rsid w:val="00135BD3"/>
    <w:rsid w:val="00450E6F"/>
    <w:rsid w:val="004F2CD1"/>
    <w:rsid w:val="00501635"/>
    <w:rsid w:val="00607BE5"/>
    <w:rsid w:val="006E0BF6"/>
    <w:rsid w:val="008B104C"/>
    <w:rsid w:val="009538E5"/>
    <w:rsid w:val="0095691D"/>
    <w:rsid w:val="009A6B74"/>
    <w:rsid w:val="009E388A"/>
    <w:rsid w:val="00A262F0"/>
    <w:rsid w:val="00AD1F43"/>
    <w:rsid w:val="00B80167"/>
    <w:rsid w:val="00BA5CAD"/>
    <w:rsid w:val="00D255DB"/>
    <w:rsid w:val="00D916EC"/>
    <w:rsid w:val="00EE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89073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91D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91D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91D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mdsTbl">
    <w:name w:val="bmdsTbl"/>
    <w:basedOn w:val="TableNormal"/>
    <w:uiPriority w:val="99"/>
    <w:rsid w:val="009538E5"/>
    <w:rPr>
      <w:rFonts w:ascii="Times New Roman" w:eastAsia="Droid Sans Fallback" w:hAnsi="Times New Roman" w:cs="Times New Roman"/>
      <w:sz w:val="18"/>
      <w:szCs w:val="18"/>
      <w:lang w:eastAsia="ja-JP"/>
    </w:rPr>
    <w:tblPr>
      <w:tblStyleRowBandSize w:val="1"/>
      <w:tblStyleColBandSize w:val="1"/>
      <w:tblInd w:w="0" w:type="dxa"/>
      <w:tblBorders>
        <w:top w:val="single" w:sz="4" w:space="0" w:color="D0CECE" w:themeColor="background2" w:themeShade="E6"/>
        <w:bottom w:val="single" w:sz="4" w:space="0" w:color="D0CECE" w:themeColor="background2" w:themeShade="E6"/>
        <w:insideH w:val="single" w:sz="4" w:space="0" w:color="D0CECE" w:themeColor="background2" w:themeShade="E6"/>
      </w:tblBorders>
      <w:tblCellMar>
        <w:top w:w="0" w:type="dxa"/>
        <w:left w:w="58" w:type="dxa"/>
        <w:bottom w:w="0" w:type="dxa"/>
        <w:right w:w="58" w:type="dxa"/>
      </w:tblCellMar>
    </w:tblPr>
    <w:trPr>
      <w:cantSplit/>
    </w:trPr>
    <w:tcPr>
      <w:shd w:val="clear" w:color="auto" w:fill="auto"/>
    </w:tcPr>
    <w:tblStylePr w:type="firstRow">
      <w:pPr>
        <w:jc w:val="left"/>
      </w:pPr>
      <w:rPr>
        <w:b w:val="0"/>
        <w:bCs/>
        <w:i w:val="0"/>
        <w:iCs w:val="0"/>
        <w:sz w:val="18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5691D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91D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91D"/>
    <w:rPr>
      <w:rFonts w:eastAsiaTheme="majorEastAsia" w:cstheme="majorBidi"/>
      <w:b/>
      <w:color w:val="000000" w:themeColor="text1"/>
    </w:rPr>
  </w:style>
  <w:style w:type="paragraph" w:customStyle="1" w:styleId="bmdsOutputFile">
    <w:name w:val="bmdsOutputFile"/>
    <w:basedOn w:val="Normal"/>
    <w:qFormat/>
    <w:rsid w:val="009E388A"/>
    <w:rPr>
      <w:rFonts w:ascii="Consolas" w:hAnsi="Consolas"/>
      <w:sz w:val="16"/>
    </w:rPr>
  </w:style>
  <w:style w:type="table" w:styleId="TableGrid">
    <w:name w:val="Table Grid"/>
    <w:basedOn w:val="TableNormal"/>
    <w:uiPriority w:val="39"/>
    <w:rsid w:val="00B8016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mdsTblHeader">
    <w:name w:val="bmdsTblHeader"/>
    <w:basedOn w:val="bmdsTblBody"/>
    <w:qFormat/>
    <w:rsid w:val="00D255DB"/>
    <w:rPr>
      <w:b/>
    </w:rPr>
  </w:style>
  <w:style w:type="paragraph" w:customStyle="1" w:styleId="bmdsTblBody">
    <w:name w:val="bmdsTblBody"/>
    <w:basedOn w:val="Normal"/>
    <w:qFormat/>
    <w:rsid w:val="00D255DB"/>
    <w:rPr>
      <w:rFonts w:ascii="Times New Roman" w:hAnsi="Times New Roman"/>
      <w:sz w:val="18"/>
    </w:rPr>
  </w:style>
  <w:style w:type="paragraph" w:customStyle="1" w:styleId="bmdsTblFootnote">
    <w:name w:val="bmdsTblFootnote"/>
    <w:basedOn w:val="bmdsTblBody"/>
    <w:qFormat/>
    <w:rsid w:val="00AD1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Shapiro, Andy (NIH/NIEHS) [E]</dc:creator>
  <cp:keywords/>
  <dc:description/>
  <cp:lastModifiedBy>Shapiro, Andy (NIH/NIEHS) [E]</cp:lastModifiedBy>
  <cp:revision>16</cp:revision>
  <dcterms:created xsi:type="dcterms:W3CDTF">2017-06-20T16:20:00Z</dcterms:created>
  <dcterms:modified xsi:type="dcterms:W3CDTF">2017-06-20T20:56:00Z</dcterms:modified>
</cp:coreProperties>
</file>