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64E0E">
      <w:pPr>
        <w:jc w:val="left"/>
        <w:rPr>
          <w:sz w:val="24"/>
        </w:rPr>
      </w:pPr>
      <w:r>
        <w:rPr>
          <w:noProof/>
          <w:sz w:val="24"/>
        </w:rPr>
        <w:drawing>
          <wp:anchor distT="0" distB="0" distL="114300" distR="114300" simplePos="0" relativeHeight="251654144" behindDoc="1" locked="0" layoutInCell="1" allowOverlap="1">
            <wp:simplePos x="0" y="0"/>
            <wp:positionH relativeFrom="page">
              <wp:posOffset>6260465</wp:posOffset>
            </wp:positionH>
            <wp:positionV relativeFrom="page">
              <wp:posOffset>421005</wp:posOffset>
            </wp:positionV>
            <wp:extent cx="908685" cy="118110"/>
            <wp:effectExtent l="1905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bwMode="auto">
                    <a:xfrm>
                      <a:off x="0" y="0"/>
                      <a:ext cx="908685" cy="118110"/>
                    </a:xfrm>
                    <a:prstGeom prst="rect">
                      <a:avLst/>
                    </a:prstGeom>
                    <a:noFill/>
                    <a:ln w="9525" cmpd="sng">
                      <a:noFill/>
                      <a:miter lim="800000"/>
                      <a:headEnd/>
                      <a:tailEnd/>
                    </a:ln>
                  </pic:spPr>
                </pic:pic>
              </a:graphicData>
            </a:graphic>
          </wp:anchor>
        </w:drawing>
      </w:r>
      <w:r w:rsidR="00F431E9">
        <w:rPr>
          <w:sz w:val="24"/>
        </w:rPr>
        <w:cr/>
      </w:r>
      <w:r w:rsidR="00F431E9">
        <w:rPr>
          <w:sz w:val="24"/>
        </w:rPr>
        <w:cr/>
      </w:r>
      <w:r w:rsidR="00F431E9">
        <w:rPr>
          <w:sz w:val="24"/>
        </w:rPr>
        <w:t xml:space="preserve">
</w:t>
      </w:r>
      <w:r w:rsidR="00F431E9">
        <w:rPr>
          <w:rFonts w:ascii="Arial" w:hAnsi="Arial"/>
          <w:sz w:val="12"/>
        </w:rPr>
        <w:t xml:space="preserve">See discussions, stats, and author profiles for this publication at: </w:t>
      </w:r>
      <w:hyperlink r:id="rId5" w:history="1">
        <w:r w:rsidR="00F431E9">
          <w:rPr>
            <w:rFonts w:ascii="Arial" w:hAnsi="Arial"/>
            <w:color w:val="3874A1"/>
            <w:sz w:val="12"/>
          </w:rPr>
          <w:t>https://www.researchgate.net/publication/325211783</w:t>
        </w:r>
      </w:hyperlink>
    </w:p>
    <w:p w:rsidR="00000000" w:rsidRDefault="00F431E9">
      <w:pPr>
        <w:spacing w:line="241" w:lineRule="exact"/>
        <w:jc w:val="left"/>
        <w:rPr>
          <w:sz w:val="24"/>
        </w:rPr>
      </w:pPr>
    </w:p>
    <w:p w:rsidR="00000000" w:rsidRDefault="00F431E9">
      <w:pPr>
        <w:overflowPunct w:val="0"/>
        <w:spacing w:line="376" w:lineRule="auto"/>
        <w:jc w:val="left"/>
        <w:rPr>
          <w:sz w:val="24"/>
        </w:rPr>
      </w:pPr>
      <w:hyperlink r:id="rId6" w:history="1">
        <w:r>
          <w:rPr>
            <w:rFonts w:ascii="Arial" w:hAnsi="Arial"/>
            <w:sz w:val="27"/>
          </w:rPr>
          <w:t>Radiation dose constraints for organs at risk in neuro-oncology; the European</w:t>
        </w:r>
      </w:hyperlink>
      <w:r>
        <w:rPr>
          <w:rFonts w:ascii="Arial" w:hAnsi="Arial"/>
          <w:sz w:val="27"/>
        </w:rPr>
        <w:t xml:space="preserve"> </w:t>
      </w:r>
      <w:hyperlink r:id="rId7" w:history="1">
        <w:r>
          <w:rPr>
            <w:rFonts w:ascii="Arial" w:hAnsi="Arial"/>
            <w:sz w:val="27"/>
          </w:rPr>
          <w:t>Particle Therap</w:t>
        </w:r>
        <w:r>
          <w:rPr>
            <w:rFonts w:ascii="Arial" w:hAnsi="Arial"/>
            <w:sz w:val="27"/>
          </w:rPr>
          <w:t>y Network consensus</w:t>
        </w:r>
      </w:hyperlink>
    </w:p>
    <w:p w:rsidR="00000000" w:rsidRDefault="00F431E9">
      <w:pPr>
        <w:spacing w:line="105" w:lineRule="exact"/>
        <w:jc w:val="left"/>
        <w:rPr>
          <w:sz w:val="24"/>
        </w:rPr>
      </w:pPr>
    </w:p>
    <w:p w:rsidR="00000000" w:rsidRDefault="00F431E9">
      <w:pPr>
        <w:jc w:val="left"/>
        <w:rPr>
          <w:sz w:val="24"/>
        </w:rPr>
      </w:pPr>
      <w:r>
        <w:rPr>
          <w:rFonts w:ascii="Arial" w:hAnsi="Arial"/>
          <w:b/>
          <w:color w:val="222222"/>
          <w:sz w:val="13"/>
        </w:rPr>
        <w:t xml:space="preserve">Article </w:t>
      </w:r>
      <w:r>
        <w:rPr>
          <w:rFonts w:ascii="Arial" w:hAnsi="Arial"/>
          <w:i/>
          <w:color w:val="606060"/>
          <w:sz w:val="13"/>
        </w:rPr>
        <w:t>in</w:t>
      </w:r>
      <w:r>
        <w:rPr>
          <w:rFonts w:ascii="Arial" w:hAnsi="Arial"/>
          <w:b/>
          <w:color w:val="222222"/>
          <w:sz w:val="13"/>
        </w:rPr>
        <w:t xml:space="preserve"> </w:t>
      </w:r>
      <w:r>
        <w:rPr>
          <w:rFonts w:ascii="Arial" w:hAnsi="Arial"/>
          <w:color w:val="333333"/>
          <w:sz w:val="13"/>
        </w:rPr>
        <w:t>Radiotherapy and Oncology · May 2018</w:t>
      </w:r>
    </w:p>
    <w:p w:rsidR="00000000" w:rsidRDefault="00F431E9">
      <w:pPr>
        <w:spacing w:line="89" w:lineRule="exact"/>
        <w:jc w:val="left"/>
        <w:rPr>
          <w:sz w:val="24"/>
        </w:rPr>
      </w:pPr>
    </w:p>
    <w:p w:rsidR="00000000" w:rsidRDefault="00F431E9">
      <w:pPr>
        <w:jc w:val="left"/>
        <w:rPr>
          <w:sz w:val="24"/>
        </w:rPr>
      </w:pPr>
      <w:r>
        <w:rPr>
          <w:rFonts w:ascii="Arial" w:hAnsi="Arial"/>
          <w:color w:val="555555"/>
          <w:sz w:val="9"/>
        </w:rPr>
        <w:t>DOI: 10.1016/j.radonc.2018.05.001</w:t>
      </w:r>
    </w:p>
    <w:p w:rsidR="00000000" w:rsidRDefault="00764E0E">
      <w:pPr>
        <w:spacing w:line="268" w:lineRule="exact"/>
        <w:jc w:val="left"/>
        <w:rPr>
          <w:sz w:val="24"/>
        </w:rPr>
      </w:pPr>
      <w:r>
        <w:rPr>
          <w:noProof/>
          <w:sz w:val="24"/>
        </w:rPr>
        <w:drawing>
          <wp:anchor distT="0" distB="0" distL="114300" distR="114300" simplePos="0" relativeHeight="251655168" behindDoc="1" locked="0" layoutInCell="1" allowOverlap="1">
            <wp:simplePos x="0" y="0"/>
            <wp:positionH relativeFrom="column">
              <wp:posOffset>-2540</wp:posOffset>
            </wp:positionH>
            <wp:positionV relativeFrom="paragraph">
              <wp:posOffset>99695</wp:posOffset>
            </wp:positionV>
            <wp:extent cx="6218555" cy="8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218555" cy="8255"/>
                    </a:xfrm>
                    <a:prstGeom prst="rect">
                      <a:avLst/>
                    </a:prstGeom>
                    <a:noFill/>
                    <a:ln w="9525" cmpd="sng">
                      <a:noFill/>
                      <a:miter lim="800000"/>
                      <a:headEnd/>
                      <a:tailEnd/>
                    </a:ln>
                  </pic:spPr>
                </pic:pic>
              </a:graphicData>
            </a:graphic>
          </wp:anchor>
        </w:drawing>
      </w:r>
    </w:p>
    <w:p w:rsidR="00000000" w:rsidRDefault="00F431E9">
      <w:pPr>
        <w:tabs>
          <w:tab w:val="left" w:pos="5140"/>
        </w:tabs>
        <w:jc w:val="left"/>
        <w:rPr>
          <w:sz w:val="24"/>
        </w:rPr>
      </w:pPr>
      <w:r>
        <w:rPr>
          <w:rFonts w:ascii="Arial" w:hAnsi="Arial"/>
          <w:color w:val="333333"/>
          <w:sz w:val="11"/>
        </w:rPr>
        <w:t>CITATION</w:t>
      </w:r>
      <w:r>
        <w:rPr>
          <w:sz w:val="24"/>
        </w:rPr>
        <w:tab/>
      </w:r>
      <w:r>
        <w:rPr>
          <w:rFonts w:ascii="Arial" w:hAnsi="Arial"/>
          <w:color w:val="333333"/>
          <w:sz w:val="11"/>
        </w:rPr>
        <w:t>READS</w:t>
      </w:r>
    </w:p>
    <w:p w:rsidR="00000000" w:rsidRDefault="00F431E9">
      <w:pPr>
        <w:spacing w:line="35" w:lineRule="exact"/>
        <w:jc w:val="left"/>
        <w:rPr>
          <w:sz w:val="24"/>
        </w:rPr>
      </w:pPr>
    </w:p>
    <w:p w:rsidR="00000000" w:rsidRDefault="00F431E9">
      <w:pPr>
        <w:tabs>
          <w:tab w:val="left" w:pos="5140"/>
        </w:tabs>
        <w:jc w:val="left"/>
        <w:rPr>
          <w:sz w:val="24"/>
        </w:rPr>
      </w:pPr>
      <w:r>
        <w:rPr>
          <w:rFonts w:ascii="Arial" w:hAnsi="Arial"/>
          <w:sz w:val="16"/>
        </w:rPr>
        <w:t>1</w:t>
      </w:r>
      <w:r>
        <w:rPr>
          <w:sz w:val="24"/>
        </w:rPr>
        <w:tab/>
      </w:r>
      <w:r>
        <w:rPr>
          <w:rFonts w:ascii="Arial" w:hAnsi="Arial"/>
          <w:sz w:val="16"/>
        </w:rPr>
        <w:t>76</w:t>
      </w:r>
    </w:p>
    <w:p w:rsidR="00000000" w:rsidRDefault="00F431E9">
      <w:pPr>
        <w:spacing w:line="211" w:lineRule="exact"/>
        <w:jc w:val="left"/>
        <w:rPr>
          <w:sz w:val="24"/>
        </w:rPr>
      </w:pPr>
    </w:p>
    <w:p w:rsidR="00000000" w:rsidRDefault="00F431E9">
      <w:pPr>
        <w:jc w:val="left"/>
        <w:rPr>
          <w:sz w:val="24"/>
        </w:rPr>
      </w:pPr>
      <w:r>
        <w:rPr>
          <w:rFonts w:ascii="Arial" w:hAnsi="Arial"/>
          <w:b/>
          <w:color w:val="222222"/>
          <w:sz w:val="13"/>
        </w:rPr>
        <w:t>23 authors</w:t>
      </w:r>
      <w:r>
        <w:rPr>
          <w:rFonts w:ascii="Arial" w:hAnsi="Arial"/>
          <w:color w:val="333333"/>
          <w:sz w:val="13"/>
        </w:rPr>
        <w:t>, including:</w:t>
      </w:r>
    </w:p>
    <w:p w:rsidR="00000000" w:rsidRDefault="00F431E9">
      <w:pPr>
        <w:spacing w:line="211" w:lineRule="exact"/>
        <w:jc w:val="left"/>
        <w:rPr>
          <w:sz w:val="24"/>
        </w:rPr>
      </w:pPr>
    </w:p>
    <w:p w:rsidR="00000000" w:rsidRDefault="00F431E9">
      <w:pPr>
        <w:tabs>
          <w:tab w:val="left" w:pos="5660"/>
        </w:tabs>
        <w:ind w:left="520"/>
        <w:jc w:val="left"/>
        <w:rPr>
          <w:sz w:val="24"/>
        </w:rPr>
      </w:pPr>
      <w:hyperlink r:id="rId9" w:history="1">
        <w:r>
          <w:rPr>
            <w:rFonts w:ascii="Arial" w:hAnsi="Arial"/>
            <w:color w:val="3874A1"/>
            <w:sz w:val="13"/>
          </w:rPr>
          <w:t>Maarten Lambrecht</w:t>
        </w:r>
      </w:hyperlink>
      <w:r>
        <w:rPr>
          <w:sz w:val="24"/>
        </w:rPr>
        <w:tab/>
      </w:r>
      <w:hyperlink r:id="rId10" w:history="1">
        <w:r>
          <w:rPr>
            <w:rFonts w:ascii="Arial" w:hAnsi="Arial"/>
            <w:color w:val="3874A1"/>
            <w:sz w:val="11"/>
          </w:rPr>
          <w:t>Danielle Eekers</w:t>
        </w:r>
      </w:hyperlink>
    </w:p>
    <w:p w:rsidR="00000000" w:rsidRDefault="00764E0E">
      <w:pPr>
        <w:spacing w:line="63" w:lineRule="exact"/>
        <w:jc w:val="left"/>
        <w:rPr>
          <w:sz w:val="24"/>
        </w:rPr>
      </w:pPr>
      <w:r>
        <w:rPr>
          <w:noProof/>
          <w:sz w:val="24"/>
        </w:rPr>
        <w:drawing>
          <wp:anchor distT="0" distB="0" distL="114300" distR="114300" simplePos="0" relativeHeight="251656192" behindDoc="1" locked="0" layoutInCell="1" allowOverlap="1">
            <wp:simplePos x="0" y="0"/>
            <wp:positionH relativeFrom="column">
              <wp:posOffset>-2540</wp:posOffset>
            </wp:positionH>
            <wp:positionV relativeFrom="paragraph">
              <wp:posOffset>-90170</wp:posOffset>
            </wp:positionV>
            <wp:extent cx="252730" cy="25273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2730" cy="252730"/>
                    </a:xfrm>
                    <a:prstGeom prst="rect">
                      <a:avLst/>
                    </a:prstGeom>
                    <a:noFill/>
                    <a:ln w="9525" cmpd="sng">
                      <a:noFill/>
                      <a:miter lim="800000"/>
                      <a:headEnd/>
                      <a:tailEnd/>
                    </a:ln>
                  </pic:spPr>
                </pic:pic>
              </a:graphicData>
            </a:graphic>
          </wp:anchor>
        </w:drawing>
      </w:r>
      <w:r>
        <w:rPr>
          <w:noProof/>
          <w:sz w:val="24"/>
        </w:rPr>
        <w:drawing>
          <wp:anchor distT="0" distB="0" distL="114300" distR="114300" simplePos="0" relativeHeight="251657216" behindDoc="1" locked="0" layoutInCell="1" allowOverlap="1">
            <wp:simplePos x="0" y="0"/>
            <wp:positionH relativeFrom="column">
              <wp:posOffset>3270250</wp:posOffset>
            </wp:positionH>
            <wp:positionV relativeFrom="paragraph">
              <wp:posOffset>-90170</wp:posOffset>
            </wp:positionV>
            <wp:extent cx="252730" cy="25273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52730" cy="252730"/>
                    </a:xfrm>
                    <a:prstGeom prst="rect">
                      <a:avLst/>
                    </a:prstGeom>
                    <a:noFill/>
                    <a:ln w="9525" cmpd="sng">
                      <a:noFill/>
                      <a:miter lim="800000"/>
                      <a:headEnd/>
                      <a:tailEnd/>
                    </a:ln>
                  </pic:spPr>
                </pic:pic>
              </a:graphicData>
            </a:graphic>
          </wp:anchor>
        </w:drawing>
      </w:r>
    </w:p>
    <w:p w:rsidR="00000000" w:rsidRDefault="00F431E9">
      <w:pPr>
        <w:tabs>
          <w:tab w:val="left" w:pos="5660"/>
        </w:tabs>
        <w:ind w:left="520"/>
        <w:jc w:val="left"/>
        <w:rPr>
          <w:sz w:val="24"/>
        </w:rPr>
      </w:pPr>
      <w:hyperlink r:id="rId13" w:history="1">
        <w:r>
          <w:rPr>
            <w:rFonts w:ascii="Arial" w:hAnsi="Arial"/>
            <w:color w:val="222222"/>
            <w:sz w:val="13"/>
          </w:rPr>
          <w:t>Universitair Ziekenhuis Leuven</w:t>
        </w:r>
      </w:hyperlink>
      <w:r>
        <w:rPr>
          <w:sz w:val="24"/>
        </w:rPr>
        <w:tab/>
      </w:r>
      <w:hyperlink r:id="rId14" w:history="1">
        <w:r>
          <w:rPr>
            <w:rFonts w:ascii="Arial" w:hAnsi="Arial"/>
            <w:color w:val="222222"/>
            <w:sz w:val="12"/>
          </w:rPr>
          <w:t>Maastro Clinic</w:t>
        </w:r>
      </w:hyperlink>
    </w:p>
    <w:p w:rsidR="00000000" w:rsidRDefault="00F431E9">
      <w:pPr>
        <w:spacing w:line="99" w:lineRule="exact"/>
        <w:jc w:val="left"/>
        <w:rPr>
          <w:sz w:val="24"/>
        </w:rPr>
      </w:pPr>
    </w:p>
    <w:p w:rsidR="00000000" w:rsidRDefault="00F431E9">
      <w:pPr>
        <w:tabs>
          <w:tab w:val="left" w:pos="5660"/>
        </w:tabs>
        <w:ind w:left="520"/>
        <w:jc w:val="left"/>
        <w:rPr>
          <w:sz w:val="24"/>
        </w:rPr>
      </w:pPr>
      <w:r>
        <w:rPr>
          <w:rFonts w:ascii="Arial" w:hAnsi="Arial"/>
          <w:b/>
          <w:sz w:val="12"/>
        </w:rPr>
        <w:t xml:space="preserve">61 </w:t>
      </w:r>
      <w:r>
        <w:rPr>
          <w:rFonts w:ascii="Arial" w:hAnsi="Arial"/>
          <w:color w:val="333333"/>
          <w:sz w:val="10"/>
        </w:rPr>
        <w:t>PUBLICATIONS</w:t>
      </w:r>
      <w:r>
        <w:rPr>
          <w:rFonts w:ascii="Arial" w:hAnsi="Arial"/>
          <w:b/>
          <w:sz w:val="12"/>
        </w:rPr>
        <w:t xml:space="preserve">  924 </w:t>
      </w:r>
      <w:r>
        <w:rPr>
          <w:rFonts w:ascii="Arial" w:hAnsi="Arial"/>
          <w:color w:val="333333"/>
          <w:sz w:val="10"/>
        </w:rPr>
        <w:t>CITATIONS</w:t>
      </w:r>
      <w:r>
        <w:rPr>
          <w:sz w:val="24"/>
        </w:rPr>
        <w:tab/>
      </w:r>
      <w:r>
        <w:rPr>
          <w:rFonts w:ascii="Arial" w:hAnsi="Arial"/>
          <w:b/>
          <w:sz w:val="11"/>
        </w:rPr>
        <w:t xml:space="preserve">42 </w:t>
      </w:r>
      <w:r>
        <w:rPr>
          <w:rFonts w:ascii="Arial" w:hAnsi="Arial"/>
          <w:color w:val="333333"/>
          <w:sz w:val="9"/>
        </w:rPr>
        <w:t>PUBLICATI</w:t>
      </w:r>
      <w:r>
        <w:rPr>
          <w:rFonts w:ascii="Arial" w:hAnsi="Arial"/>
          <w:color w:val="333333"/>
          <w:sz w:val="9"/>
        </w:rPr>
        <w:t>ONS</w:t>
      </w:r>
      <w:r>
        <w:rPr>
          <w:rFonts w:ascii="Arial" w:hAnsi="Arial"/>
          <w:b/>
          <w:sz w:val="11"/>
        </w:rPr>
        <w:t xml:space="preserve">  223 </w:t>
      </w:r>
      <w:r>
        <w:rPr>
          <w:rFonts w:ascii="Arial" w:hAnsi="Arial"/>
          <w:color w:val="333333"/>
          <w:sz w:val="9"/>
        </w:rPr>
        <w:t>CITATIONS</w:t>
      </w:r>
    </w:p>
    <w:p w:rsidR="00000000" w:rsidRDefault="00764E0E">
      <w:pPr>
        <w:spacing w:line="194" w:lineRule="exact"/>
        <w:jc w:val="left"/>
        <w:rPr>
          <w:sz w:val="24"/>
        </w:rPr>
      </w:pPr>
      <w:r>
        <w:rPr>
          <w:noProof/>
          <w:sz w:val="24"/>
        </w:rPr>
        <w:drawing>
          <wp:anchor distT="0" distB="0" distL="114300" distR="114300" simplePos="0" relativeHeight="251658240" behindDoc="1" locked="0" layoutInCell="1" allowOverlap="1">
            <wp:simplePos x="0" y="0"/>
            <wp:positionH relativeFrom="column">
              <wp:posOffset>325120</wp:posOffset>
            </wp:positionH>
            <wp:positionV relativeFrom="paragraph">
              <wp:posOffset>69215</wp:posOffset>
            </wp:positionV>
            <wp:extent cx="563880" cy="193675"/>
            <wp:effectExtent l="1905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63880" cy="193675"/>
                    </a:xfrm>
                    <a:prstGeom prst="rect">
                      <a:avLst/>
                    </a:prstGeom>
                    <a:noFill/>
                    <a:ln w="9525" cmpd="sng">
                      <a:noFill/>
                      <a:miter lim="800000"/>
                      <a:headEnd/>
                      <a:tailEnd/>
                    </a:ln>
                  </pic:spPr>
                </pic:pic>
              </a:graphicData>
            </a:graphic>
          </wp:anchor>
        </w:drawing>
      </w:r>
      <w:r>
        <w:rPr>
          <w:noProof/>
          <w:sz w:val="24"/>
        </w:rPr>
        <w:drawing>
          <wp:anchor distT="0" distB="0" distL="114300" distR="114300" simplePos="0" relativeHeight="251659264" behindDoc="1" locked="0" layoutInCell="1" allowOverlap="1">
            <wp:simplePos x="0" y="0"/>
            <wp:positionH relativeFrom="column">
              <wp:posOffset>3598545</wp:posOffset>
            </wp:positionH>
            <wp:positionV relativeFrom="paragraph">
              <wp:posOffset>69215</wp:posOffset>
            </wp:positionV>
            <wp:extent cx="563880" cy="193675"/>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63880" cy="193675"/>
                    </a:xfrm>
                    <a:prstGeom prst="rect">
                      <a:avLst/>
                    </a:prstGeom>
                    <a:noFill/>
                    <a:ln w="9525" cmpd="sng">
                      <a:noFill/>
                      <a:miter lim="800000"/>
                      <a:headEnd/>
                      <a:tailEnd/>
                    </a:ln>
                  </pic:spPr>
                </pic:pic>
              </a:graphicData>
            </a:graphic>
          </wp:anchor>
        </w:drawing>
      </w:r>
    </w:p>
    <w:p w:rsidR="00000000" w:rsidRDefault="00F431E9">
      <w:pPr>
        <w:tabs>
          <w:tab w:val="left" w:pos="5800"/>
        </w:tabs>
        <w:ind w:left="680"/>
        <w:jc w:val="left"/>
        <w:rPr>
          <w:sz w:val="24"/>
        </w:rPr>
      </w:pPr>
      <w:hyperlink r:id="rId16" w:history="1">
        <w:r>
          <w:rPr>
            <w:rFonts w:ascii="Arial" w:hAnsi="Arial"/>
            <w:color w:val="333333"/>
            <w:sz w:val="11"/>
          </w:rPr>
          <w:t>SEE PROFILE</w:t>
        </w:r>
      </w:hyperlink>
      <w:r>
        <w:rPr>
          <w:sz w:val="24"/>
        </w:rPr>
        <w:tab/>
      </w:r>
      <w:hyperlink r:id="rId17" w:history="1">
        <w:r>
          <w:rPr>
            <w:rFonts w:ascii="Arial" w:hAnsi="Arial"/>
            <w:color w:val="333333"/>
            <w:sz w:val="8"/>
          </w:rPr>
          <w:t>SEE PROFILE</w:t>
        </w:r>
      </w:hyperlink>
    </w:p>
    <w:p w:rsidR="00000000" w:rsidRDefault="00F431E9">
      <w:pPr>
        <w:spacing w:line="339" w:lineRule="exact"/>
        <w:jc w:val="left"/>
        <w:rPr>
          <w:sz w:val="24"/>
        </w:rPr>
      </w:pPr>
    </w:p>
    <w:p w:rsidR="00000000" w:rsidRDefault="00F431E9">
      <w:pPr>
        <w:tabs>
          <w:tab w:val="left" w:pos="5660"/>
        </w:tabs>
        <w:ind w:left="520"/>
        <w:jc w:val="left"/>
        <w:rPr>
          <w:sz w:val="24"/>
        </w:rPr>
      </w:pPr>
      <w:hyperlink r:id="rId18" w:history="1">
        <w:r>
          <w:rPr>
            <w:rFonts w:ascii="Arial" w:hAnsi="Arial"/>
            <w:color w:val="3874A1"/>
            <w:sz w:val="13"/>
          </w:rPr>
          <w:t>Claire Alapetite</w:t>
        </w:r>
      </w:hyperlink>
      <w:r>
        <w:rPr>
          <w:sz w:val="24"/>
        </w:rPr>
        <w:tab/>
      </w:r>
      <w:hyperlink r:id="rId19" w:history="1">
        <w:r>
          <w:rPr>
            <w:rFonts w:ascii="Arial" w:hAnsi="Arial"/>
            <w:color w:val="3874A1"/>
            <w:sz w:val="12"/>
          </w:rPr>
          <w:t>Valentin Calugaru</w:t>
        </w:r>
      </w:hyperlink>
    </w:p>
    <w:p w:rsidR="00000000" w:rsidRDefault="00764E0E">
      <w:pPr>
        <w:spacing w:line="63" w:lineRule="exact"/>
        <w:jc w:val="left"/>
        <w:rPr>
          <w:sz w:val="24"/>
        </w:rPr>
      </w:pPr>
      <w:r>
        <w:rPr>
          <w:noProof/>
          <w:sz w:val="24"/>
        </w:rPr>
        <w:drawing>
          <wp:anchor distT="0" distB="0" distL="114300" distR="114300" simplePos="0" relativeHeight="251660288" behindDoc="1" locked="0" layoutInCell="1" allowOverlap="1">
            <wp:simplePos x="0" y="0"/>
            <wp:positionH relativeFrom="column">
              <wp:posOffset>-2540</wp:posOffset>
            </wp:positionH>
            <wp:positionV relativeFrom="paragraph">
              <wp:posOffset>-90170</wp:posOffset>
            </wp:positionV>
            <wp:extent cx="252730" cy="2527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52730" cy="252730"/>
                    </a:xfrm>
                    <a:prstGeom prst="rect">
                      <a:avLst/>
                    </a:prstGeom>
                    <a:noFill/>
                    <a:ln w="9525" cmpd="sng">
                      <a:noFill/>
                      <a:miter lim="800000"/>
                      <a:headEnd/>
                      <a:tailEnd/>
                    </a:ln>
                  </pic:spPr>
                </pic:pic>
              </a:graphicData>
            </a:graphic>
          </wp:anchor>
        </w:drawing>
      </w:r>
      <w:r>
        <w:rPr>
          <w:noProof/>
          <w:sz w:val="24"/>
        </w:rPr>
        <w:drawing>
          <wp:anchor distT="0" distB="0" distL="114300" distR="114300" simplePos="0" relativeHeight="251661312" behindDoc="1" locked="0" layoutInCell="1" allowOverlap="1">
            <wp:simplePos x="0" y="0"/>
            <wp:positionH relativeFrom="column">
              <wp:posOffset>3270250</wp:posOffset>
            </wp:positionH>
            <wp:positionV relativeFrom="paragraph">
              <wp:posOffset>-90170</wp:posOffset>
            </wp:positionV>
            <wp:extent cx="252730" cy="25273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52730" cy="252730"/>
                    </a:xfrm>
                    <a:prstGeom prst="rect">
                      <a:avLst/>
                    </a:prstGeom>
                    <a:noFill/>
                    <a:ln w="9525" cmpd="sng">
                      <a:noFill/>
                      <a:miter lim="800000"/>
                      <a:headEnd/>
                      <a:tailEnd/>
                    </a:ln>
                  </pic:spPr>
                </pic:pic>
              </a:graphicData>
            </a:graphic>
          </wp:anchor>
        </w:drawing>
      </w:r>
    </w:p>
    <w:p w:rsidR="00000000" w:rsidRDefault="00F431E9">
      <w:pPr>
        <w:tabs>
          <w:tab w:val="left" w:pos="5660"/>
        </w:tabs>
        <w:ind w:left="520"/>
        <w:jc w:val="left"/>
        <w:rPr>
          <w:sz w:val="24"/>
        </w:rPr>
      </w:pPr>
      <w:hyperlink r:id="rId21" w:history="1">
        <w:r>
          <w:rPr>
            <w:rFonts w:ascii="Arial" w:hAnsi="Arial"/>
            <w:color w:val="222222"/>
            <w:sz w:val="13"/>
          </w:rPr>
          <w:t>Institut Curie</w:t>
        </w:r>
      </w:hyperlink>
      <w:r>
        <w:rPr>
          <w:sz w:val="24"/>
        </w:rPr>
        <w:tab/>
      </w:r>
      <w:hyperlink r:id="rId22" w:history="1">
        <w:r>
          <w:rPr>
            <w:rFonts w:ascii="Arial" w:hAnsi="Arial"/>
            <w:color w:val="222222"/>
            <w:sz w:val="12"/>
          </w:rPr>
          <w:t>Institut Curie</w:t>
        </w:r>
      </w:hyperlink>
    </w:p>
    <w:p w:rsidR="00000000" w:rsidRDefault="00F431E9">
      <w:pPr>
        <w:spacing w:line="99" w:lineRule="exact"/>
        <w:jc w:val="left"/>
        <w:rPr>
          <w:sz w:val="24"/>
        </w:rPr>
      </w:pPr>
    </w:p>
    <w:p w:rsidR="00000000" w:rsidRDefault="00F431E9">
      <w:pPr>
        <w:tabs>
          <w:tab w:val="left" w:pos="5660"/>
        </w:tabs>
        <w:ind w:left="520"/>
        <w:jc w:val="left"/>
        <w:rPr>
          <w:sz w:val="24"/>
        </w:rPr>
      </w:pPr>
      <w:r>
        <w:rPr>
          <w:rFonts w:ascii="Arial" w:hAnsi="Arial"/>
          <w:b/>
          <w:sz w:val="12"/>
        </w:rPr>
        <w:t xml:space="preserve">171 </w:t>
      </w:r>
      <w:r>
        <w:rPr>
          <w:rFonts w:ascii="Arial" w:hAnsi="Arial"/>
          <w:color w:val="333333"/>
          <w:sz w:val="10"/>
        </w:rPr>
        <w:t>PUBLICATIONS</w:t>
      </w:r>
      <w:r>
        <w:rPr>
          <w:rFonts w:ascii="Arial" w:hAnsi="Arial"/>
          <w:b/>
          <w:sz w:val="12"/>
        </w:rPr>
        <w:t xml:space="preserve">  2,350 </w:t>
      </w:r>
      <w:r>
        <w:rPr>
          <w:rFonts w:ascii="Arial" w:hAnsi="Arial"/>
          <w:color w:val="333333"/>
          <w:sz w:val="10"/>
        </w:rPr>
        <w:t>CITATIONS</w:t>
      </w:r>
      <w:r>
        <w:rPr>
          <w:sz w:val="24"/>
        </w:rPr>
        <w:tab/>
      </w:r>
      <w:r>
        <w:rPr>
          <w:rFonts w:ascii="Arial" w:hAnsi="Arial"/>
          <w:b/>
          <w:sz w:val="11"/>
        </w:rPr>
        <w:t xml:space="preserve">86 </w:t>
      </w:r>
      <w:r>
        <w:rPr>
          <w:rFonts w:ascii="Arial" w:hAnsi="Arial"/>
          <w:color w:val="333333"/>
          <w:sz w:val="9"/>
        </w:rPr>
        <w:t>PUBLICATIONS</w:t>
      </w:r>
      <w:r>
        <w:rPr>
          <w:rFonts w:ascii="Arial" w:hAnsi="Arial"/>
          <w:b/>
          <w:sz w:val="11"/>
        </w:rPr>
        <w:t xml:space="preserve">  534 </w:t>
      </w:r>
      <w:r>
        <w:rPr>
          <w:rFonts w:ascii="Arial" w:hAnsi="Arial"/>
          <w:color w:val="333333"/>
          <w:sz w:val="9"/>
        </w:rPr>
        <w:t>CITATIONS</w:t>
      </w:r>
    </w:p>
    <w:p w:rsidR="00000000" w:rsidRDefault="00764E0E">
      <w:pPr>
        <w:spacing w:line="194" w:lineRule="exact"/>
        <w:jc w:val="left"/>
        <w:rPr>
          <w:sz w:val="24"/>
        </w:rPr>
      </w:pPr>
      <w:r>
        <w:rPr>
          <w:noProof/>
          <w:sz w:val="24"/>
        </w:rPr>
        <w:drawing>
          <wp:anchor distT="0" distB="0" distL="114300" distR="114300" simplePos="0" relativeHeight="251662336" behindDoc="1" locked="0" layoutInCell="1" allowOverlap="1">
            <wp:simplePos x="0" y="0"/>
            <wp:positionH relativeFrom="column">
              <wp:posOffset>325120</wp:posOffset>
            </wp:positionH>
            <wp:positionV relativeFrom="paragraph">
              <wp:posOffset>69215</wp:posOffset>
            </wp:positionV>
            <wp:extent cx="563880" cy="193675"/>
            <wp:effectExtent l="1905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63880" cy="193675"/>
                    </a:xfrm>
                    <a:prstGeom prst="rect">
                      <a:avLst/>
                    </a:prstGeom>
                    <a:noFill/>
                    <a:ln w="9525" cmpd="sng">
                      <a:noFill/>
                      <a:miter lim="800000"/>
                      <a:headEnd/>
                      <a:tailEnd/>
                    </a:ln>
                  </pic:spPr>
                </pic:pic>
              </a:graphicData>
            </a:graphic>
          </wp:anchor>
        </w:drawing>
      </w:r>
      <w:r>
        <w:rPr>
          <w:noProof/>
          <w:sz w:val="24"/>
        </w:rPr>
        <w:drawing>
          <wp:anchor distT="0" distB="0" distL="114300" distR="114300" simplePos="0" relativeHeight="251663360" behindDoc="1" locked="0" layoutInCell="1" allowOverlap="1">
            <wp:simplePos x="0" y="0"/>
            <wp:positionH relativeFrom="column">
              <wp:posOffset>3598545</wp:posOffset>
            </wp:positionH>
            <wp:positionV relativeFrom="paragraph">
              <wp:posOffset>69215</wp:posOffset>
            </wp:positionV>
            <wp:extent cx="563880" cy="193675"/>
            <wp:effectExtent l="1905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63880" cy="193675"/>
                    </a:xfrm>
                    <a:prstGeom prst="rect">
                      <a:avLst/>
                    </a:prstGeom>
                    <a:noFill/>
                    <a:ln w="9525" cmpd="sng">
                      <a:noFill/>
                      <a:miter lim="800000"/>
                      <a:headEnd/>
                      <a:tailEnd/>
                    </a:ln>
                  </pic:spPr>
                </pic:pic>
              </a:graphicData>
            </a:graphic>
          </wp:anchor>
        </w:drawing>
      </w:r>
    </w:p>
    <w:p w:rsidR="00000000" w:rsidRDefault="00F431E9">
      <w:pPr>
        <w:tabs>
          <w:tab w:val="left" w:pos="5800"/>
        </w:tabs>
        <w:ind w:left="680"/>
        <w:jc w:val="left"/>
        <w:rPr>
          <w:sz w:val="24"/>
        </w:rPr>
      </w:pPr>
      <w:hyperlink r:id="rId23" w:history="1">
        <w:r>
          <w:rPr>
            <w:rFonts w:ascii="Arial" w:hAnsi="Arial"/>
            <w:color w:val="333333"/>
            <w:sz w:val="11"/>
          </w:rPr>
          <w:t>SEE PROFILE</w:t>
        </w:r>
      </w:hyperlink>
      <w:r>
        <w:rPr>
          <w:sz w:val="24"/>
        </w:rPr>
        <w:tab/>
      </w:r>
      <w:hyperlink r:id="rId24" w:history="1">
        <w:r>
          <w:rPr>
            <w:rFonts w:ascii="Arial" w:hAnsi="Arial"/>
            <w:color w:val="333333"/>
            <w:sz w:val="8"/>
          </w:rPr>
          <w:t>SEE PROFILE</w:t>
        </w:r>
      </w:hyperlink>
    </w:p>
    <w:p w:rsidR="00000000" w:rsidRDefault="00F431E9">
      <w:pPr>
        <w:spacing w:line="200" w:lineRule="exact"/>
        <w:jc w:val="left"/>
        <w:rPr>
          <w:sz w:val="24"/>
        </w:rPr>
      </w:pPr>
    </w:p>
    <w:p w:rsidR="00000000" w:rsidRDefault="00F431E9">
      <w:pPr>
        <w:spacing w:line="296" w:lineRule="exact"/>
        <w:jc w:val="left"/>
        <w:rPr>
          <w:sz w:val="24"/>
        </w:rPr>
      </w:pPr>
    </w:p>
    <w:p w:rsidR="00000000" w:rsidRDefault="00F431E9">
      <w:pPr>
        <w:jc w:val="left"/>
        <w:rPr>
          <w:sz w:val="24"/>
        </w:rPr>
      </w:pPr>
      <w:r>
        <w:rPr>
          <w:rFonts w:ascii="Arial" w:hAnsi="Arial"/>
          <w:b/>
          <w:color w:val="222222"/>
          <w:sz w:val="13"/>
        </w:rPr>
        <w:t>Some of the authors of this publication are also working on these related projects:</w:t>
      </w:r>
    </w:p>
    <w:p w:rsidR="00000000" w:rsidRDefault="00764E0E">
      <w:pPr>
        <w:spacing w:line="382" w:lineRule="exact"/>
        <w:jc w:val="left"/>
        <w:rPr>
          <w:sz w:val="24"/>
        </w:rPr>
      </w:pPr>
      <w:r>
        <w:rPr>
          <w:noProof/>
          <w:sz w:val="24"/>
        </w:rPr>
        <w:drawing>
          <wp:anchor distT="0" distB="0" distL="114300" distR="114300" simplePos="0" relativeHeight="251664384" behindDoc="1" locked="0" layoutInCell="1" allowOverlap="1">
            <wp:simplePos x="0" y="0"/>
            <wp:positionH relativeFrom="column">
              <wp:posOffset>-2540</wp:posOffset>
            </wp:positionH>
            <wp:positionV relativeFrom="paragraph">
              <wp:posOffset>112395</wp:posOffset>
            </wp:positionV>
            <wp:extent cx="336550" cy="336550"/>
            <wp:effectExtent l="1905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336550" cy="336550"/>
                    </a:xfrm>
                    <a:prstGeom prst="rect">
                      <a:avLst/>
                    </a:prstGeom>
                    <a:noFill/>
                    <a:ln w="9525" cmpd="sng">
                      <a:noFill/>
                      <a:miter lim="800000"/>
                      <a:headEnd/>
                      <a:tailEnd/>
                    </a:ln>
                  </pic:spPr>
                </pic:pic>
              </a:graphicData>
            </a:graphic>
          </wp:anchor>
        </w:drawing>
      </w:r>
    </w:p>
    <w:p w:rsidR="00000000" w:rsidRDefault="00F431E9">
      <w:pPr>
        <w:ind w:left="680"/>
        <w:jc w:val="left"/>
        <w:rPr>
          <w:sz w:val="24"/>
        </w:rPr>
      </w:pPr>
      <w:r>
        <w:rPr>
          <w:rFonts w:ascii="Arial" w:hAnsi="Arial"/>
          <w:color w:val="333333"/>
          <w:sz w:val="13"/>
        </w:rPr>
        <w:t>Combined stereotactic radiotherapy and tar</w:t>
      </w:r>
      <w:r>
        <w:rPr>
          <w:rFonts w:ascii="Arial" w:hAnsi="Arial"/>
          <w:color w:val="333333"/>
          <w:sz w:val="13"/>
        </w:rPr>
        <w:t xml:space="preserve">geted/immunotherapy: toxicity and efficacy </w:t>
      </w:r>
      <w:hyperlink r:id="rId26" w:history="1">
        <w:r>
          <w:rPr>
            <w:rFonts w:ascii="Arial" w:hAnsi="Arial"/>
            <w:color w:val="3874A1"/>
            <w:sz w:val="13"/>
          </w:rPr>
          <w:t>View project</w:t>
        </w:r>
      </w:hyperlink>
    </w:p>
    <w:p w:rsidR="00000000" w:rsidRDefault="00764E0E">
      <w:pPr>
        <w:spacing w:line="200" w:lineRule="exact"/>
        <w:jc w:val="left"/>
        <w:rPr>
          <w:sz w:val="24"/>
        </w:rPr>
      </w:pPr>
      <w:r>
        <w:rPr>
          <w:noProof/>
          <w:sz w:val="24"/>
        </w:rPr>
        <w:drawing>
          <wp:anchor distT="0" distB="0" distL="114300" distR="114300" simplePos="0" relativeHeight="251665408" behindDoc="1" locked="0" layoutInCell="1" allowOverlap="1">
            <wp:simplePos x="0" y="0"/>
            <wp:positionH relativeFrom="column">
              <wp:posOffset>-2540</wp:posOffset>
            </wp:positionH>
            <wp:positionV relativeFrom="paragraph">
              <wp:posOffset>153670</wp:posOffset>
            </wp:positionV>
            <wp:extent cx="336550" cy="336550"/>
            <wp:effectExtent l="1905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36550" cy="336550"/>
                    </a:xfrm>
                    <a:prstGeom prst="rect">
                      <a:avLst/>
                    </a:prstGeom>
                    <a:noFill/>
                    <a:ln w="9525" cmpd="sng">
                      <a:noFill/>
                      <a:miter lim="800000"/>
                      <a:headEnd/>
                      <a:tailEnd/>
                    </a:ln>
                  </pic:spPr>
                </pic:pic>
              </a:graphicData>
            </a:graphic>
          </wp:anchor>
        </w:drawing>
      </w:r>
    </w:p>
    <w:p w:rsidR="00000000" w:rsidRDefault="00F431E9">
      <w:pPr>
        <w:spacing w:line="247" w:lineRule="exact"/>
        <w:jc w:val="left"/>
        <w:rPr>
          <w:sz w:val="24"/>
        </w:rPr>
      </w:pPr>
    </w:p>
    <w:p w:rsidR="00000000" w:rsidRDefault="00F431E9">
      <w:pPr>
        <w:ind w:left="680"/>
        <w:jc w:val="left"/>
        <w:rPr>
          <w:sz w:val="24"/>
        </w:rPr>
      </w:pPr>
      <w:r>
        <w:rPr>
          <w:rFonts w:ascii="Arial" w:hAnsi="Arial"/>
          <w:color w:val="333333"/>
          <w:sz w:val="13"/>
        </w:rPr>
        <w:t xml:space="preserve">PROTONS </w:t>
      </w:r>
      <w:hyperlink r:id="rId27" w:history="1">
        <w:r>
          <w:rPr>
            <w:rFonts w:ascii="Arial" w:hAnsi="Arial"/>
            <w:color w:val="3874A1"/>
            <w:sz w:val="13"/>
          </w:rPr>
          <w:t>View project</w:t>
        </w:r>
      </w:hyperlink>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386" w:lineRule="exact"/>
        <w:jc w:val="left"/>
        <w:rPr>
          <w:sz w:val="24"/>
        </w:rPr>
      </w:pPr>
    </w:p>
    <w:p w:rsidR="00000000" w:rsidRDefault="00F431E9">
      <w:pPr>
        <w:ind w:left="60"/>
        <w:jc w:val="left"/>
        <w:rPr>
          <w:sz w:val="24"/>
        </w:rPr>
      </w:pPr>
      <w:r>
        <w:rPr>
          <w:rFonts w:ascii="Arial" w:hAnsi="Arial"/>
          <w:sz w:val="9"/>
        </w:rPr>
        <w:t xml:space="preserve">All content following this page was uploaded by </w:t>
      </w:r>
      <w:hyperlink r:id="rId28" w:history="1">
        <w:r>
          <w:rPr>
            <w:rFonts w:ascii="Arial" w:hAnsi="Arial"/>
            <w:color w:val="3874A1"/>
            <w:sz w:val="9"/>
          </w:rPr>
          <w:t>G.A. Whitfield</w:t>
        </w:r>
        <w:r>
          <w:rPr>
            <w:rFonts w:ascii="Arial" w:hAnsi="Arial"/>
            <w:sz w:val="9"/>
          </w:rPr>
          <w:t xml:space="preserve"> </w:t>
        </w:r>
      </w:hyperlink>
      <w:r>
        <w:rPr>
          <w:rFonts w:ascii="Arial" w:hAnsi="Arial"/>
          <w:sz w:val="9"/>
        </w:rPr>
        <w:t>on 11 August 2018.</w:t>
      </w:r>
    </w:p>
    <w:p w:rsidR="00000000" w:rsidRDefault="00F431E9">
      <w:pPr>
        <w:jc w:val="left"/>
        <w:rPr>
          <w:sz w:val="24"/>
        </w:rPr>
        <w:sectPr w:rsidR="00000000">
          <w:pgSz w:w="11900" w:h="16819"/>
          <w:pgMar w:top="1436" w:right="860" w:bottom="40" w:left="800" w:header="720" w:footer="720" w:gutter="0"/>
          <w:cols w:space="720"/>
        </w:sectPr>
      </w:pPr>
    </w:p>
    <w:p w:rsidR="00000000" w:rsidRDefault="00F431E9">
      <w:pPr>
        <w:spacing w:line="149" w:lineRule="exact"/>
        <w:jc w:val="left"/>
        <w:rPr>
          <w:sz w:val="24"/>
        </w:rPr>
      </w:pPr>
    </w:p>
    <w:p w:rsidR="00000000" w:rsidRDefault="00F431E9">
      <w:pPr>
        <w:jc w:val="left"/>
        <w:rPr>
          <w:sz w:val="24"/>
        </w:rPr>
      </w:pPr>
      <w:r>
        <w:rPr>
          <w:rFonts w:ascii="Arial" w:hAnsi="Arial"/>
          <w:sz w:val="8"/>
        </w:rPr>
        <w:t>The user has requested enhanc</w:t>
      </w:r>
      <w:r>
        <w:rPr>
          <w:rFonts w:ascii="Arial" w:hAnsi="Arial"/>
          <w:sz w:val="8"/>
        </w:rPr>
        <w:t>ement of the downloaded file.</w:t>
      </w:r>
    </w:p>
    <w:p w:rsidR="00000000" w:rsidRDefault="00F431E9">
      <w:pPr>
        <w:jc w:val="left"/>
        <w:rPr>
          <w:sz w:val="24"/>
        </w:rPr>
        <w:sectPr w:rsidR="00000000">
          <w:type w:val="continuous"/>
          <w:pgSz w:w="11900" w:h="16819"/>
          <w:pgMar w:top="1436" w:right="8340" w:bottom="40" w:left="860" w:header="720" w:footer="720" w:gutter="0"/>
          <w:cols w:space="720"/>
        </w:sectPr>
      </w:pPr>
    </w:p>
    <w:p w:rsidR="00000000" w:rsidRDefault="00F431E9">
      <w:pPr>
        <w:ind w:left="3780"/>
        <w:jc w:val="left"/>
        <w:rPr>
          <w:sz w:val="24"/>
        </w:rPr>
      </w:pPr>
      <w:bookmarkStart w:id="0" w:name="page2"/>
      <w:bookmarkEnd w:id="0"/>
      <w:r>
        <w:rPr>
          <w:sz w:val="24"/>
        </w:rPr>
        <w:lastRenderedPageBreak/>
        <w:cr/>
      </w:r>
      <w:r>
        <w:rPr>
          <w:sz w:val="24"/>
        </w:rPr>
        <w:cr/>
      </w:r>
      <w:r>
        <w:rPr>
          <w:sz w:val="24"/>
        </w:rPr>
        <w:t xml:space="preserve">
</w:t>
      </w:r>
      <w:hyperlink r:id="rId29" w:history="1">
        <w:r>
          <w:rPr>
            <w:rFonts w:eastAsia="Times New Roman"/>
            <w:color w:val="0080AD"/>
            <w:sz w:val="13"/>
          </w:rPr>
          <w:t>Radiotherapy and Oncology 128 (2018) 26–36</w:t>
        </w:r>
      </w:hyperlink>
    </w:p>
    <w:p w:rsidR="00000000" w:rsidRDefault="00764E0E">
      <w:pPr>
        <w:spacing w:line="371" w:lineRule="exact"/>
        <w:jc w:val="left"/>
        <w:rPr>
          <w:sz w:val="24"/>
        </w:rPr>
      </w:pPr>
      <w:r>
        <w:rPr>
          <w:noProof/>
          <w:sz w:val="24"/>
        </w:rPr>
        <w:drawing>
          <wp:anchor distT="0" distB="0" distL="114300" distR="114300" simplePos="0" relativeHeight="251666432" behindDoc="1" locked="0" layoutInCell="1" allowOverlap="1">
            <wp:simplePos x="0" y="0"/>
            <wp:positionH relativeFrom="column">
              <wp:posOffset>-3175</wp:posOffset>
            </wp:positionH>
            <wp:positionV relativeFrom="paragraph">
              <wp:posOffset>148590</wp:posOffset>
            </wp:positionV>
            <wp:extent cx="6617335" cy="92964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6617335" cy="929640"/>
                    </a:xfrm>
                    <a:prstGeom prst="rect">
                      <a:avLst/>
                    </a:prstGeom>
                    <a:noFill/>
                    <a:ln w="9525" cmpd="sng">
                      <a:noFill/>
                      <a:miter lim="800000"/>
                      <a:headEnd/>
                      <a:tailEnd/>
                    </a:ln>
                  </pic:spPr>
                </pic:pic>
              </a:graphicData>
            </a:graphic>
          </wp:anchor>
        </w:drawing>
      </w:r>
    </w:p>
    <w:p w:rsidR="00000000" w:rsidRDefault="00F431E9">
      <w:pPr>
        <w:ind w:left="3720"/>
        <w:jc w:val="left"/>
        <w:rPr>
          <w:sz w:val="24"/>
        </w:rPr>
      </w:pPr>
      <w:r>
        <w:rPr>
          <w:rFonts w:ascii="Arial" w:hAnsi="Arial"/>
          <w:sz w:val="16"/>
        </w:rPr>
        <w:t xml:space="preserve">Contents lists available at </w:t>
      </w:r>
      <w:hyperlink r:id="rId31" w:history="1">
        <w:r>
          <w:rPr>
            <w:rFonts w:ascii="Arial" w:hAnsi="Arial"/>
            <w:color w:val="0080AD"/>
            <w:sz w:val="16"/>
          </w:rPr>
          <w:t>ScienceDirect</w:t>
        </w:r>
      </w:hyperlink>
    </w:p>
    <w:p w:rsidR="00000000" w:rsidRDefault="00F431E9">
      <w:pPr>
        <w:spacing w:line="260" w:lineRule="exact"/>
        <w:jc w:val="left"/>
        <w:rPr>
          <w:sz w:val="24"/>
        </w:rPr>
      </w:pPr>
    </w:p>
    <w:p w:rsidR="00000000" w:rsidRDefault="00F431E9">
      <w:pPr>
        <w:ind w:left="3360"/>
        <w:jc w:val="left"/>
        <w:rPr>
          <w:sz w:val="24"/>
        </w:rPr>
      </w:pPr>
      <w:r>
        <w:rPr>
          <w:rFonts w:eastAsia="Times New Roman"/>
          <w:sz w:val="28"/>
        </w:rPr>
        <w:t>Radi</w:t>
      </w:r>
      <w:r>
        <w:rPr>
          <w:rFonts w:eastAsia="Times New Roman"/>
          <w:sz w:val="28"/>
        </w:rPr>
        <w:t>otherapy and Oncology</w:t>
      </w:r>
    </w:p>
    <w:p w:rsidR="00000000" w:rsidRDefault="00F431E9">
      <w:pPr>
        <w:spacing w:line="350" w:lineRule="exact"/>
        <w:jc w:val="left"/>
        <w:rPr>
          <w:sz w:val="24"/>
        </w:rPr>
      </w:pPr>
    </w:p>
    <w:p w:rsidR="00000000" w:rsidRDefault="00F431E9">
      <w:pPr>
        <w:ind w:left="3060"/>
        <w:jc w:val="left"/>
        <w:rPr>
          <w:sz w:val="24"/>
        </w:rPr>
      </w:pPr>
      <w:r>
        <w:rPr>
          <w:rFonts w:ascii="Arial" w:hAnsi="Arial"/>
          <w:sz w:val="16"/>
        </w:rPr>
        <w:t xml:space="preserve">j o u r n a l h o m e p a g e : </w:t>
      </w:r>
      <w:hyperlink r:id="rId32" w:history="1">
        <w:r>
          <w:rPr>
            <w:rFonts w:ascii="Arial" w:hAnsi="Arial"/>
            <w:sz w:val="16"/>
          </w:rPr>
          <w:t>w w w . t h e g r e e n j o u r n a l . c o m</w:t>
        </w:r>
      </w:hyperlink>
    </w:p>
    <w:p w:rsidR="00000000" w:rsidRDefault="00F431E9">
      <w:pPr>
        <w:spacing w:line="200" w:lineRule="exact"/>
        <w:jc w:val="left"/>
        <w:rPr>
          <w:sz w:val="24"/>
        </w:rPr>
      </w:pPr>
      <w:r>
        <w:rPr>
          <w:sz w:val="24"/>
        </w:rPr>
        <w:pict>
          <v:line id="Line 15" o:spid="_x0000_s1039" style="position:absolute;z-index:-251670528" from="-.25pt,9.15pt" to="519.75pt,9.15pt" strokeweight="1.06mm"/>
        </w:pict>
      </w:r>
    </w:p>
    <w:p w:rsidR="00000000" w:rsidRDefault="00F431E9">
      <w:pPr>
        <w:spacing w:line="205" w:lineRule="exact"/>
        <w:jc w:val="left"/>
        <w:rPr>
          <w:sz w:val="24"/>
        </w:rPr>
      </w:pPr>
    </w:p>
    <w:p w:rsidR="00000000" w:rsidRDefault="00F431E9">
      <w:pPr>
        <w:jc w:val="left"/>
        <w:rPr>
          <w:sz w:val="24"/>
        </w:rPr>
      </w:pPr>
      <w:r>
        <w:rPr>
          <w:rFonts w:eastAsia="Times New Roman"/>
          <w:sz w:val="19"/>
        </w:rPr>
        <w:t>EPTN consensus</w:t>
      </w:r>
    </w:p>
    <w:p w:rsidR="00000000" w:rsidRDefault="00F431E9">
      <w:pPr>
        <w:spacing w:line="146" w:lineRule="exact"/>
        <w:jc w:val="left"/>
        <w:rPr>
          <w:sz w:val="24"/>
        </w:rPr>
      </w:pPr>
    </w:p>
    <w:p w:rsidR="00000000" w:rsidRDefault="00F431E9">
      <w:pPr>
        <w:overflowPunct w:val="0"/>
        <w:spacing w:line="280" w:lineRule="auto"/>
        <w:ind w:right="1880" w:firstLine="2"/>
        <w:jc w:val="left"/>
        <w:rPr>
          <w:sz w:val="24"/>
        </w:rPr>
      </w:pPr>
      <w:r>
        <w:rPr>
          <w:rFonts w:eastAsia="Times New Roman"/>
          <w:sz w:val="27"/>
        </w:rPr>
        <w:t>Radiation dose constraints for organs at risk in neuro-oncology; the European Particle Th</w:t>
      </w:r>
      <w:r>
        <w:rPr>
          <w:rFonts w:eastAsia="Times New Roman"/>
          <w:sz w:val="27"/>
        </w:rPr>
        <w:t>erapy Network consensus</w:t>
      </w:r>
    </w:p>
    <w:p w:rsidR="00000000" w:rsidRDefault="00764E0E">
      <w:pPr>
        <w:spacing w:line="87" w:lineRule="exact"/>
        <w:jc w:val="left"/>
        <w:rPr>
          <w:sz w:val="24"/>
        </w:rPr>
      </w:pPr>
      <w:r>
        <w:rPr>
          <w:noProof/>
          <w:sz w:val="24"/>
        </w:rPr>
        <w:drawing>
          <wp:anchor distT="0" distB="0" distL="114300" distR="114300" simplePos="0" relativeHeight="251667456" behindDoc="1" locked="0" layoutInCell="1" allowOverlap="1">
            <wp:simplePos x="0" y="0"/>
            <wp:positionH relativeFrom="column">
              <wp:posOffset>5882640</wp:posOffset>
            </wp:positionH>
            <wp:positionV relativeFrom="paragraph">
              <wp:posOffset>-431165</wp:posOffset>
            </wp:positionV>
            <wp:extent cx="363220" cy="36322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363220" cy="363220"/>
                    </a:xfrm>
                    <a:prstGeom prst="rect">
                      <a:avLst/>
                    </a:prstGeom>
                    <a:noFill/>
                    <a:ln w="9525" cmpd="sng">
                      <a:noFill/>
                      <a:miter lim="800000"/>
                      <a:headEnd/>
                      <a:tailEnd/>
                    </a:ln>
                  </pic:spPr>
                </pic:pic>
              </a:graphicData>
            </a:graphic>
          </wp:anchor>
        </w:drawing>
      </w:r>
    </w:p>
    <w:p w:rsidR="00000000" w:rsidRDefault="00F431E9">
      <w:pPr>
        <w:overflowPunct w:val="0"/>
        <w:spacing w:line="235" w:lineRule="auto"/>
        <w:ind w:firstLine="2"/>
        <w:jc w:val="left"/>
        <w:rPr>
          <w:sz w:val="24"/>
        </w:rPr>
      </w:pPr>
      <w:r>
        <w:rPr>
          <w:rFonts w:eastAsia="Times New Roman"/>
        </w:rPr>
        <w:t xml:space="preserve">Maarten Lambrecht </w:t>
      </w:r>
      <w:r>
        <w:rPr>
          <w:rFonts w:eastAsia="Times New Roman"/>
          <w:color w:val="0080AD"/>
          <w:sz w:val="28"/>
          <w:vertAlign w:val="superscript"/>
        </w:rPr>
        <w:t>a</w:t>
      </w:r>
      <w:r>
        <w:rPr>
          <w:rFonts w:eastAsia="Times New Roman"/>
          <w:sz w:val="28"/>
          <w:vertAlign w:val="superscript"/>
        </w:rPr>
        <w:t>,</w:t>
      </w:r>
      <w:r>
        <w:rPr>
          <w:rFonts w:eastAsia="Times New Roman"/>
          <w:color w:val="0080AD"/>
          <w:sz w:val="28"/>
          <w:vertAlign w:val="superscript"/>
        </w:rPr>
        <w:t>b</w:t>
      </w:r>
      <w:r>
        <w:rPr>
          <w:rFonts w:eastAsia="Times New Roman"/>
          <w:sz w:val="28"/>
          <w:vertAlign w:val="superscript"/>
        </w:rPr>
        <w:t>,</w:t>
      </w:r>
      <w:r>
        <w:rPr>
          <w:rFonts w:eastAsia="Times New Roman"/>
        </w:rPr>
        <w:t xml:space="preserve"> , Daniëlle B.P. Eekers </w:t>
      </w:r>
      <w:r>
        <w:rPr>
          <w:rFonts w:eastAsia="Times New Roman"/>
          <w:color w:val="0080AD"/>
          <w:sz w:val="28"/>
          <w:vertAlign w:val="superscript"/>
        </w:rPr>
        <w:t>c</w:t>
      </w:r>
      <w:r>
        <w:rPr>
          <w:rFonts w:eastAsia="Times New Roman"/>
          <w:sz w:val="28"/>
          <w:vertAlign w:val="superscript"/>
        </w:rPr>
        <w:t>,</w:t>
      </w:r>
      <w:r>
        <w:rPr>
          <w:rFonts w:eastAsia="Times New Roman"/>
          <w:color w:val="0080AD"/>
          <w:sz w:val="28"/>
          <w:vertAlign w:val="superscript"/>
        </w:rPr>
        <w:t>d</w:t>
      </w:r>
      <w:r>
        <w:rPr>
          <w:rFonts w:eastAsia="Times New Roman"/>
        </w:rPr>
        <w:t xml:space="preserve">, Claire Alapetite </w:t>
      </w:r>
      <w:r>
        <w:rPr>
          <w:rFonts w:eastAsia="Times New Roman"/>
          <w:color w:val="0080AD"/>
          <w:sz w:val="28"/>
          <w:vertAlign w:val="superscript"/>
        </w:rPr>
        <w:t>e</w:t>
      </w:r>
      <w:r>
        <w:rPr>
          <w:rFonts w:eastAsia="Times New Roman"/>
        </w:rPr>
        <w:t xml:space="preserve">, Neil G. Burnet </w:t>
      </w:r>
      <w:r>
        <w:rPr>
          <w:rFonts w:eastAsia="Times New Roman"/>
          <w:color w:val="0080AD"/>
          <w:sz w:val="28"/>
          <w:vertAlign w:val="superscript"/>
        </w:rPr>
        <w:t>f</w:t>
      </w:r>
      <w:r>
        <w:rPr>
          <w:rFonts w:eastAsia="Times New Roman"/>
        </w:rPr>
        <w:t xml:space="preserve">, Valentin Calugaru </w:t>
      </w:r>
      <w:r>
        <w:rPr>
          <w:rFonts w:eastAsia="Times New Roman"/>
          <w:color w:val="0080AD"/>
          <w:sz w:val="28"/>
          <w:vertAlign w:val="superscript"/>
        </w:rPr>
        <w:t>e</w:t>
      </w:r>
      <w:r>
        <w:rPr>
          <w:rFonts w:eastAsia="Times New Roman"/>
          <w:sz w:val="28"/>
          <w:vertAlign w:val="superscript"/>
        </w:rPr>
        <w:t>,</w:t>
      </w:r>
      <w:r>
        <w:rPr>
          <w:rFonts w:eastAsia="Times New Roman"/>
          <w:color w:val="0080AD"/>
          <w:sz w:val="28"/>
          <w:vertAlign w:val="superscript"/>
        </w:rPr>
        <w:t>g</w:t>
      </w:r>
      <w:r>
        <w:rPr>
          <w:rFonts w:eastAsia="Times New Roman"/>
        </w:rPr>
        <w:t xml:space="preserve">, Ida E.M. Coremans </w:t>
      </w:r>
      <w:r>
        <w:rPr>
          <w:rFonts w:eastAsia="Times New Roman"/>
          <w:color w:val="0080AD"/>
          <w:sz w:val="28"/>
          <w:vertAlign w:val="superscript"/>
        </w:rPr>
        <w:t>h</w:t>
      </w:r>
      <w:r>
        <w:rPr>
          <w:rFonts w:eastAsia="Times New Roman"/>
          <w:sz w:val="28"/>
          <w:vertAlign w:val="superscript"/>
        </w:rPr>
        <w:t>,</w:t>
      </w:r>
      <w:r>
        <w:rPr>
          <w:rFonts w:eastAsia="Times New Roman"/>
          <w:color w:val="0080AD"/>
          <w:sz w:val="28"/>
          <w:vertAlign w:val="superscript"/>
        </w:rPr>
        <w:t>i</w:t>
      </w:r>
      <w:r>
        <w:rPr>
          <w:rFonts w:eastAsia="Times New Roman"/>
        </w:rPr>
        <w:t xml:space="preserve">, Piero Fossati </w:t>
      </w:r>
      <w:r>
        <w:rPr>
          <w:rFonts w:eastAsia="Times New Roman"/>
          <w:color w:val="0080AD"/>
          <w:sz w:val="28"/>
          <w:vertAlign w:val="superscript"/>
        </w:rPr>
        <w:t>j</w:t>
      </w:r>
      <w:r>
        <w:rPr>
          <w:rFonts w:eastAsia="Times New Roman"/>
        </w:rPr>
        <w:t xml:space="preserve">, Morten Høyer </w:t>
      </w:r>
      <w:r>
        <w:rPr>
          <w:rFonts w:eastAsia="Times New Roman"/>
          <w:color w:val="0080AD"/>
          <w:sz w:val="28"/>
          <w:vertAlign w:val="superscript"/>
        </w:rPr>
        <w:t>k</w:t>
      </w:r>
      <w:r>
        <w:rPr>
          <w:rFonts w:eastAsia="Times New Roman"/>
        </w:rPr>
        <w:t xml:space="preserve">, Johannes A. Langendijk </w:t>
      </w:r>
      <w:r>
        <w:rPr>
          <w:rFonts w:eastAsia="Times New Roman"/>
          <w:color w:val="0080AD"/>
          <w:sz w:val="28"/>
          <w:vertAlign w:val="superscript"/>
        </w:rPr>
        <w:t>l</w:t>
      </w:r>
      <w:r>
        <w:rPr>
          <w:rFonts w:eastAsia="Times New Roman"/>
        </w:rPr>
        <w:t xml:space="preserve">, Alejandra Méndez Romero </w:t>
      </w:r>
      <w:r>
        <w:rPr>
          <w:rFonts w:eastAsia="Times New Roman"/>
          <w:color w:val="0080AD"/>
          <w:sz w:val="28"/>
          <w:vertAlign w:val="superscript"/>
        </w:rPr>
        <w:t>i</w:t>
      </w:r>
      <w:r>
        <w:rPr>
          <w:rFonts w:eastAsia="Times New Roman"/>
          <w:sz w:val="28"/>
          <w:vertAlign w:val="superscript"/>
        </w:rPr>
        <w:t>,</w:t>
      </w:r>
      <w:r>
        <w:rPr>
          <w:rFonts w:eastAsia="Times New Roman"/>
          <w:color w:val="0080AD"/>
          <w:sz w:val="28"/>
          <w:vertAlign w:val="superscript"/>
        </w:rPr>
        <w:t>m</w:t>
      </w:r>
      <w:r>
        <w:rPr>
          <w:rFonts w:eastAsia="Times New Roman"/>
        </w:rPr>
        <w:t>, Frank P</w:t>
      </w:r>
      <w:r>
        <w:rPr>
          <w:rFonts w:eastAsia="Times New Roman"/>
        </w:rPr>
        <w:t xml:space="preserve">aulsen </w:t>
      </w:r>
      <w:hyperlink w:anchor="page9" w:history="1">
        <w:r>
          <w:rPr>
            <w:rFonts w:eastAsia="Times New Roman"/>
            <w:color w:val="0080AD"/>
            <w:sz w:val="28"/>
            <w:vertAlign w:val="superscript"/>
          </w:rPr>
          <w:t>n</w:t>
        </w:r>
      </w:hyperlink>
      <w:r>
        <w:rPr>
          <w:rFonts w:eastAsia="Times New Roman"/>
        </w:rPr>
        <w:t xml:space="preserve">, Ana Perpar </w:t>
      </w:r>
      <w:r>
        <w:rPr>
          <w:rFonts w:eastAsia="Times New Roman"/>
          <w:color w:val="0080AD"/>
          <w:sz w:val="28"/>
          <w:vertAlign w:val="superscript"/>
        </w:rPr>
        <w:t>j</w:t>
      </w:r>
      <w:r>
        <w:rPr>
          <w:rFonts w:eastAsia="Times New Roman"/>
        </w:rPr>
        <w:t xml:space="preserve">, Laurette Renard </w:t>
      </w:r>
      <w:hyperlink w:anchor="page9" w:history="1">
        <w:r>
          <w:rPr>
            <w:rFonts w:eastAsia="Times New Roman"/>
            <w:color w:val="0080AD"/>
            <w:sz w:val="28"/>
            <w:vertAlign w:val="superscript"/>
          </w:rPr>
          <w:t>o</w:t>
        </w:r>
      </w:hyperlink>
      <w:r>
        <w:rPr>
          <w:rFonts w:eastAsia="Times New Roman"/>
        </w:rPr>
        <w:t xml:space="preserve">, Dirk de Ruysscher </w:t>
      </w:r>
      <w:hyperlink w:anchor="page9" w:history="1">
        <w:r>
          <w:rPr>
            <w:rFonts w:eastAsia="Times New Roman"/>
            <w:color w:val="0080AD"/>
            <w:sz w:val="28"/>
            <w:vertAlign w:val="superscript"/>
          </w:rPr>
          <w:t>c</w:t>
        </w:r>
      </w:hyperlink>
      <w:r>
        <w:rPr>
          <w:rFonts w:eastAsia="Times New Roman"/>
          <w:sz w:val="28"/>
          <w:vertAlign w:val="superscript"/>
        </w:rPr>
        <w:t>,</w:t>
      </w:r>
      <w:hyperlink w:anchor="page9" w:history="1">
        <w:r>
          <w:rPr>
            <w:rFonts w:eastAsia="Times New Roman"/>
            <w:color w:val="0080AD"/>
            <w:sz w:val="28"/>
            <w:vertAlign w:val="superscript"/>
          </w:rPr>
          <w:t>d</w:t>
        </w:r>
      </w:hyperlink>
      <w:r>
        <w:rPr>
          <w:rFonts w:eastAsia="Times New Roman"/>
        </w:rPr>
        <w:t xml:space="preserve">, Beate Timmermann </w:t>
      </w:r>
      <w:r>
        <w:rPr>
          <w:rFonts w:eastAsia="Times New Roman"/>
          <w:color w:val="0080AD"/>
          <w:sz w:val="28"/>
          <w:vertAlign w:val="superscript"/>
        </w:rPr>
        <w:t>p</w:t>
      </w:r>
      <w:r>
        <w:rPr>
          <w:rFonts w:eastAsia="Times New Roman"/>
          <w:sz w:val="28"/>
          <w:vertAlign w:val="superscript"/>
        </w:rPr>
        <w:t>,</w:t>
      </w:r>
      <w:hyperlink w:anchor="page9" w:history="1">
        <w:r>
          <w:rPr>
            <w:rFonts w:eastAsia="Times New Roman"/>
            <w:color w:val="0080AD"/>
            <w:sz w:val="28"/>
            <w:vertAlign w:val="superscript"/>
          </w:rPr>
          <w:t>q</w:t>
        </w:r>
      </w:hyperlink>
      <w:r>
        <w:rPr>
          <w:rFonts w:eastAsia="Times New Roman"/>
          <w:sz w:val="28"/>
          <w:vertAlign w:val="superscript"/>
        </w:rPr>
        <w:t>,</w:t>
      </w:r>
      <w:r>
        <w:rPr>
          <w:rFonts w:eastAsia="Times New Roman"/>
          <w:color w:val="0080AD"/>
          <w:sz w:val="28"/>
          <w:vertAlign w:val="superscript"/>
        </w:rPr>
        <w:t>r</w:t>
      </w:r>
      <w:r>
        <w:rPr>
          <w:rFonts w:eastAsia="Times New Roman"/>
        </w:rPr>
        <w:t xml:space="preserve">, Pavel Vitek </w:t>
      </w:r>
      <w:hyperlink w:anchor="page9" w:history="1">
        <w:r>
          <w:rPr>
            <w:rFonts w:eastAsia="Times New Roman"/>
            <w:color w:val="0080AD"/>
            <w:sz w:val="28"/>
            <w:vertAlign w:val="superscript"/>
          </w:rPr>
          <w:t>s</w:t>
        </w:r>
      </w:hyperlink>
      <w:r>
        <w:rPr>
          <w:rFonts w:eastAsia="Times New Roman"/>
        </w:rPr>
        <w:t>, D</w:t>
      </w:r>
      <w:r>
        <w:rPr>
          <w:rFonts w:eastAsia="Times New Roman"/>
        </w:rPr>
        <w:t xml:space="preserve">amien C. Weber </w:t>
      </w:r>
      <w:r>
        <w:rPr>
          <w:rFonts w:eastAsia="Times New Roman"/>
          <w:color w:val="0080AD"/>
          <w:sz w:val="28"/>
          <w:vertAlign w:val="superscript"/>
        </w:rPr>
        <w:t>t</w:t>
      </w:r>
      <w:r>
        <w:rPr>
          <w:rFonts w:eastAsia="Times New Roman"/>
        </w:rPr>
        <w:t xml:space="preserve">, Hiske L. van der Weide </w:t>
      </w:r>
      <w:r>
        <w:rPr>
          <w:rFonts w:eastAsia="Times New Roman"/>
          <w:color w:val="0080AD"/>
          <w:sz w:val="28"/>
          <w:vertAlign w:val="superscript"/>
        </w:rPr>
        <w:t>l</w:t>
      </w:r>
      <w:r>
        <w:rPr>
          <w:rFonts w:eastAsia="Times New Roman"/>
        </w:rPr>
        <w:t xml:space="preserve">, Gillian A. Whitfield </w:t>
      </w:r>
      <w:r>
        <w:rPr>
          <w:rFonts w:eastAsia="Times New Roman"/>
          <w:color w:val="0080AD"/>
          <w:sz w:val="28"/>
          <w:vertAlign w:val="superscript"/>
        </w:rPr>
        <w:t>u</w:t>
      </w:r>
      <w:r>
        <w:rPr>
          <w:rFonts w:eastAsia="Times New Roman"/>
          <w:sz w:val="28"/>
          <w:vertAlign w:val="superscript"/>
        </w:rPr>
        <w:t>,</w:t>
      </w:r>
      <w:r>
        <w:rPr>
          <w:rFonts w:eastAsia="Times New Roman"/>
          <w:color w:val="0080AD"/>
          <w:sz w:val="28"/>
          <w:vertAlign w:val="superscript"/>
        </w:rPr>
        <w:t>v</w:t>
      </w:r>
      <w:r>
        <w:rPr>
          <w:rFonts w:eastAsia="Times New Roman"/>
        </w:rPr>
        <w:t xml:space="preserve">, Ruud Wiggenraad </w:t>
      </w:r>
      <w:r>
        <w:rPr>
          <w:rFonts w:eastAsia="Times New Roman"/>
          <w:color w:val="0080AD"/>
          <w:sz w:val="28"/>
          <w:vertAlign w:val="superscript"/>
        </w:rPr>
        <w:t>w</w:t>
      </w:r>
      <w:r>
        <w:rPr>
          <w:rFonts w:eastAsia="Times New Roman"/>
        </w:rPr>
        <w:t xml:space="preserve">, Erik Roelofs </w:t>
      </w:r>
      <w:r>
        <w:rPr>
          <w:rFonts w:eastAsia="Times New Roman"/>
          <w:color w:val="0080AD"/>
          <w:sz w:val="28"/>
          <w:vertAlign w:val="superscript"/>
        </w:rPr>
        <w:t>c</w:t>
      </w:r>
      <w:r>
        <w:rPr>
          <w:rFonts w:eastAsia="Times New Roman"/>
        </w:rPr>
        <w:t xml:space="preserve">, Petra Witt Nyström </w:t>
      </w:r>
      <w:r>
        <w:rPr>
          <w:rFonts w:eastAsia="Times New Roman"/>
          <w:color w:val="0080AD"/>
          <w:sz w:val="28"/>
          <w:vertAlign w:val="superscript"/>
        </w:rPr>
        <w:t>x</w:t>
      </w:r>
      <w:r>
        <w:rPr>
          <w:rFonts w:eastAsia="Times New Roman"/>
          <w:sz w:val="28"/>
          <w:vertAlign w:val="superscript"/>
        </w:rPr>
        <w:t>,</w:t>
      </w:r>
      <w:hyperlink w:anchor="page9" w:history="1">
        <w:r>
          <w:rPr>
            <w:rFonts w:eastAsia="Times New Roman"/>
            <w:color w:val="0080AD"/>
            <w:sz w:val="28"/>
            <w:vertAlign w:val="superscript"/>
          </w:rPr>
          <w:t>k</w:t>
        </w:r>
      </w:hyperlink>
      <w:r>
        <w:rPr>
          <w:rFonts w:eastAsia="Times New Roman"/>
        </w:rPr>
        <w:t xml:space="preserve">, Esther G.C. Troost </w:t>
      </w:r>
      <w:hyperlink w:anchor="page9" w:history="1">
        <w:r>
          <w:rPr>
            <w:rFonts w:eastAsia="Times New Roman"/>
            <w:color w:val="0080AD"/>
            <w:sz w:val="28"/>
            <w:vertAlign w:val="superscript"/>
          </w:rPr>
          <w:t>y</w:t>
        </w:r>
      </w:hyperlink>
      <w:r>
        <w:rPr>
          <w:rFonts w:eastAsia="Times New Roman"/>
          <w:sz w:val="28"/>
          <w:vertAlign w:val="superscript"/>
        </w:rPr>
        <w:t>,</w:t>
      </w:r>
      <w:hyperlink w:anchor="page9" w:history="1">
        <w:r>
          <w:rPr>
            <w:rFonts w:eastAsia="Times New Roman"/>
            <w:color w:val="0080AD"/>
            <w:sz w:val="28"/>
            <w:vertAlign w:val="superscript"/>
          </w:rPr>
          <w:t>z</w:t>
        </w:r>
      </w:hyperlink>
      <w:r>
        <w:rPr>
          <w:rFonts w:eastAsia="Times New Roman"/>
          <w:sz w:val="28"/>
          <w:vertAlign w:val="superscript"/>
        </w:rPr>
        <w:t>,</w:t>
      </w:r>
      <w:hyperlink w:anchor="page9" w:history="1">
        <w:r>
          <w:rPr>
            <w:rFonts w:eastAsia="Times New Roman"/>
            <w:color w:val="0080AD"/>
            <w:sz w:val="28"/>
            <w:vertAlign w:val="superscript"/>
          </w:rPr>
          <w:t>aa</w:t>
        </w:r>
      </w:hyperlink>
      <w:r>
        <w:rPr>
          <w:rFonts w:eastAsia="Times New Roman"/>
          <w:sz w:val="28"/>
          <w:vertAlign w:val="superscript"/>
        </w:rPr>
        <w:t>,</w:t>
      </w:r>
      <w:r>
        <w:rPr>
          <w:rFonts w:eastAsia="Times New Roman"/>
          <w:color w:val="0080AD"/>
          <w:sz w:val="28"/>
          <w:vertAlign w:val="superscript"/>
        </w:rPr>
        <w:t>a</w:t>
      </w:r>
      <w:r>
        <w:rPr>
          <w:rFonts w:eastAsia="Times New Roman"/>
          <w:color w:val="0080AD"/>
          <w:sz w:val="28"/>
          <w:vertAlign w:val="superscript"/>
        </w:rPr>
        <w:t>b</w:t>
      </w:r>
      <w:r>
        <w:rPr>
          <w:rFonts w:eastAsia="Times New Roman"/>
          <w:sz w:val="28"/>
          <w:vertAlign w:val="superscript"/>
        </w:rPr>
        <w:t>,</w:t>
      </w:r>
      <w:hyperlink w:anchor="page9" w:history="1">
        <w:r>
          <w:rPr>
            <w:rFonts w:eastAsia="Times New Roman"/>
            <w:color w:val="0080AD"/>
            <w:sz w:val="28"/>
            <w:vertAlign w:val="superscript"/>
          </w:rPr>
          <w:t>ac</w:t>
        </w:r>
      </w:hyperlink>
      <w:r>
        <w:rPr>
          <w:rFonts w:eastAsia="Times New Roman"/>
        </w:rPr>
        <w:t>, on behalf of work package 1 of the taskforce ‘‘European Particle Therapy Network” of ESTRO</w:t>
      </w:r>
    </w:p>
    <w:p w:rsidR="00000000" w:rsidRDefault="00F431E9">
      <w:pPr>
        <w:spacing w:line="127" w:lineRule="exact"/>
        <w:jc w:val="left"/>
        <w:rPr>
          <w:sz w:val="24"/>
        </w:rPr>
      </w:pPr>
    </w:p>
    <w:p w:rsidR="00000000" w:rsidRDefault="00F431E9">
      <w:pPr>
        <w:overflowPunct w:val="0"/>
        <w:spacing w:line="228" w:lineRule="auto"/>
        <w:ind w:firstLine="1"/>
        <w:rPr>
          <w:sz w:val="24"/>
        </w:rPr>
      </w:pPr>
      <w:r>
        <w:rPr>
          <w:rFonts w:eastAsia="Times New Roman"/>
          <w:sz w:val="17"/>
          <w:vertAlign w:val="superscript"/>
        </w:rPr>
        <w:t>a</w:t>
      </w:r>
      <w:r>
        <w:rPr>
          <w:rFonts w:eastAsia="Times New Roman"/>
          <w:sz w:val="13"/>
        </w:rPr>
        <w:t xml:space="preserve"> Department of Radiotherapy-Oncology, Leuven Kanker Instituut, UZ Gasthuisberg; </w:t>
      </w:r>
      <w:r>
        <w:rPr>
          <w:rFonts w:eastAsia="Times New Roman"/>
          <w:sz w:val="17"/>
          <w:vertAlign w:val="superscript"/>
        </w:rPr>
        <w:t>b</w:t>
      </w:r>
      <w:r>
        <w:rPr>
          <w:rFonts w:eastAsia="Times New Roman"/>
          <w:sz w:val="13"/>
        </w:rPr>
        <w:t xml:space="preserve"> Particle Therapy Interuniversitary Center Leuven (</w:t>
      </w:r>
      <w:r>
        <w:rPr>
          <w:rFonts w:eastAsia="Times New Roman"/>
          <w:sz w:val="13"/>
        </w:rPr>
        <w:t xml:space="preserve">PartICLe), Belgium; </w:t>
      </w:r>
      <w:r>
        <w:rPr>
          <w:rFonts w:eastAsia="Times New Roman"/>
          <w:sz w:val="17"/>
          <w:vertAlign w:val="superscript"/>
        </w:rPr>
        <w:t>c</w:t>
      </w:r>
      <w:r>
        <w:rPr>
          <w:rFonts w:eastAsia="Times New Roman"/>
          <w:sz w:val="13"/>
        </w:rPr>
        <w:t xml:space="preserve"> Department of Radiation Oncology (MAASTRO), GROW – School for Oncology and Developmental Biology, Maastricht University Medical Centre; </w:t>
      </w:r>
      <w:r>
        <w:rPr>
          <w:rFonts w:eastAsia="Times New Roman"/>
          <w:sz w:val="17"/>
          <w:vertAlign w:val="superscript"/>
        </w:rPr>
        <w:t>d</w:t>
      </w:r>
      <w:r>
        <w:rPr>
          <w:rFonts w:eastAsia="Times New Roman"/>
          <w:sz w:val="13"/>
        </w:rPr>
        <w:t xml:space="preserve"> Proton Therapy Department South-East Netherlands (ZON-PTC), Maastricht, The Netherlands; </w:t>
      </w:r>
      <w:r>
        <w:rPr>
          <w:rFonts w:eastAsia="Times New Roman"/>
          <w:sz w:val="17"/>
          <w:vertAlign w:val="superscript"/>
        </w:rPr>
        <w:t>e</w:t>
      </w:r>
      <w:r>
        <w:rPr>
          <w:rFonts w:eastAsia="Times New Roman"/>
          <w:sz w:val="13"/>
        </w:rPr>
        <w:t xml:space="preserve"> Insti</w:t>
      </w:r>
      <w:r>
        <w:rPr>
          <w:rFonts w:eastAsia="Times New Roman"/>
          <w:sz w:val="13"/>
        </w:rPr>
        <w:t xml:space="preserve">tut Curie, Radiation Oncology Department, Paris &amp; Proton Center, Orsay, France; </w:t>
      </w:r>
      <w:r>
        <w:rPr>
          <w:rFonts w:eastAsia="Times New Roman"/>
          <w:sz w:val="17"/>
          <w:vertAlign w:val="superscript"/>
        </w:rPr>
        <w:t>f</w:t>
      </w:r>
      <w:r>
        <w:rPr>
          <w:rFonts w:eastAsia="Times New Roman"/>
          <w:sz w:val="13"/>
        </w:rPr>
        <w:t xml:space="preserve"> University of Cambridge Department of Oncology, Cambridge Biomedical Campus, Addenbrooke’s Hospital, United Kingdom; </w:t>
      </w:r>
      <w:r>
        <w:rPr>
          <w:rFonts w:eastAsia="Times New Roman"/>
          <w:sz w:val="17"/>
          <w:vertAlign w:val="superscript"/>
        </w:rPr>
        <w:t>g</w:t>
      </w:r>
      <w:r>
        <w:rPr>
          <w:rFonts w:eastAsia="Times New Roman"/>
          <w:sz w:val="13"/>
        </w:rPr>
        <w:t xml:space="preserve"> Institute Curie, Centre de Protonthérapie d’Orsay, Fran</w:t>
      </w:r>
      <w:r>
        <w:rPr>
          <w:rFonts w:eastAsia="Times New Roman"/>
          <w:sz w:val="13"/>
        </w:rPr>
        <w:t xml:space="preserve">ce; </w:t>
      </w:r>
      <w:r>
        <w:rPr>
          <w:rFonts w:eastAsia="Times New Roman"/>
          <w:sz w:val="17"/>
          <w:vertAlign w:val="superscript"/>
        </w:rPr>
        <w:t>h</w:t>
      </w:r>
      <w:r>
        <w:rPr>
          <w:rFonts w:eastAsia="Times New Roman"/>
          <w:sz w:val="13"/>
        </w:rPr>
        <w:t xml:space="preserve"> Leiden University Medical Centre, Department of Radiotherapy; </w:t>
      </w:r>
      <w:r>
        <w:rPr>
          <w:rFonts w:eastAsia="Times New Roman"/>
          <w:sz w:val="17"/>
          <w:vertAlign w:val="superscript"/>
        </w:rPr>
        <w:t>i</w:t>
      </w:r>
      <w:r>
        <w:rPr>
          <w:rFonts w:eastAsia="Times New Roman"/>
          <w:sz w:val="13"/>
        </w:rPr>
        <w:t xml:space="preserve"> Holland Proton Therapy Centre, Delft, The Netherlands; </w:t>
      </w:r>
      <w:r>
        <w:rPr>
          <w:rFonts w:eastAsia="Times New Roman"/>
          <w:sz w:val="17"/>
          <w:vertAlign w:val="superscript"/>
        </w:rPr>
        <w:t>j</w:t>
      </w:r>
      <w:r>
        <w:rPr>
          <w:rFonts w:eastAsia="Times New Roman"/>
          <w:sz w:val="13"/>
        </w:rPr>
        <w:t xml:space="preserve"> EBG MedAustron GmbH, Wiener Neustadt, Austria; </w:t>
      </w:r>
      <w:r>
        <w:rPr>
          <w:rFonts w:eastAsia="Times New Roman"/>
          <w:sz w:val="17"/>
          <w:vertAlign w:val="superscript"/>
        </w:rPr>
        <w:t>k</w:t>
      </w:r>
      <w:r>
        <w:rPr>
          <w:rFonts w:eastAsia="Times New Roman"/>
          <w:sz w:val="13"/>
        </w:rPr>
        <w:t xml:space="preserve"> Danish Centre for Particle Therapy, Aarhus, Denmark; </w:t>
      </w:r>
      <w:r>
        <w:rPr>
          <w:rFonts w:eastAsia="Times New Roman"/>
          <w:sz w:val="17"/>
          <w:vertAlign w:val="superscript"/>
        </w:rPr>
        <w:t>l</w:t>
      </w:r>
      <w:r>
        <w:rPr>
          <w:rFonts w:eastAsia="Times New Roman"/>
          <w:sz w:val="13"/>
        </w:rPr>
        <w:t xml:space="preserve"> Department of Radiation O</w:t>
      </w:r>
      <w:r>
        <w:rPr>
          <w:rFonts w:eastAsia="Times New Roman"/>
          <w:sz w:val="13"/>
        </w:rPr>
        <w:t xml:space="preserve">ncology, University Medical Center Groningen, University of Groningen; </w:t>
      </w:r>
      <w:r>
        <w:rPr>
          <w:rFonts w:eastAsia="Times New Roman"/>
          <w:sz w:val="17"/>
          <w:vertAlign w:val="superscript"/>
        </w:rPr>
        <w:t>m</w:t>
      </w:r>
      <w:r>
        <w:rPr>
          <w:rFonts w:eastAsia="Times New Roman"/>
          <w:sz w:val="13"/>
        </w:rPr>
        <w:t xml:space="preserve"> Erasmus Medical Centre, Rotterdam, The Netherlands; </w:t>
      </w:r>
      <w:r>
        <w:rPr>
          <w:rFonts w:eastAsia="Times New Roman"/>
          <w:sz w:val="17"/>
          <w:vertAlign w:val="superscript"/>
        </w:rPr>
        <w:t>n</w:t>
      </w:r>
      <w:r>
        <w:rPr>
          <w:rFonts w:eastAsia="Times New Roman"/>
          <w:sz w:val="13"/>
        </w:rPr>
        <w:t xml:space="preserve"> Department of Radiation Oncology, Eberhard-Carls-Universität Tübingen, Germany; </w:t>
      </w:r>
      <w:r>
        <w:rPr>
          <w:rFonts w:eastAsia="Times New Roman"/>
          <w:sz w:val="17"/>
          <w:vertAlign w:val="superscript"/>
        </w:rPr>
        <w:t>o</w:t>
      </w:r>
      <w:r>
        <w:rPr>
          <w:rFonts w:eastAsia="Times New Roman"/>
          <w:sz w:val="13"/>
        </w:rPr>
        <w:t xml:space="preserve"> Service de Radiothérapie Oncologique Cliniques </w:t>
      </w:r>
      <w:r>
        <w:rPr>
          <w:rFonts w:eastAsia="Times New Roman"/>
          <w:sz w:val="13"/>
        </w:rPr>
        <w:t xml:space="preserve">universitaires St Luc, Brussels, Belgium; </w:t>
      </w:r>
      <w:r>
        <w:rPr>
          <w:rFonts w:eastAsia="Times New Roman"/>
          <w:sz w:val="17"/>
          <w:vertAlign w:val="superscript"/>
        </w:rPr>
        <w:t>p</w:t>
      </w:r>
      <w:r>
        <w:rPr>
          <w:rFonts w:eastAsia="Times New Roman"/>
          <w:sz w:val="13"/>
        </w:rPr>
        <w:t xml:space="preserve"> Clinic for Particle Therapy, University Hospital Essen, West German Cancer Center (WTZ); </w:t>
      </w:r>
      <w:r>
        <w:rPr>
          <w:rFonts w:eastAsia="Times New Roman"/>
          <w:sz w:val="17"/>
          <w:vertAlign w:val="superscript"/>
        </w:rPr>
        <w:t>q</w:t>
      </w:r>
      <w:r>
        <w:rPr>
          <w:rFonts w:eastAsia="Times New Roman"/>
          <w:sz w:val="13"/>
        </w:rPr>
        <w:t xml:space="preserve"> West German Proton Therapy Center Essen (WPE); </w:t>
      </w:r>
      <w:r>
        <w:rPr>
          <w:rFonts w:eastAsia="Times New Roman"/>
          <w:sz w:val="17"/>
          <w:vertAlign w:val="superscript"/>
        </w:rPr>
        <w:t>r</w:t>
      </w:r>
      <w:r>
        <w:rPr>
          <w:rFonts w:eastAsia="Times New Roman"/>
          <w:sz w:val="13"/>
        </w:rPr>
        <w:t xml:space="preserve"> German Cancer Consortium (DKTK), Partner Site Essen, Germany; </w:t>
      </w:r>
      <w:r>
        <w:rPr>
          <w:rFonts w:eastAsia="Times New Roman"/>
          <w:sz w:val="17"/>
          <w:vertAlign w:val="superscript"/>
        </w:rPr>
        <w:t>s</w:t>
      </w:r>
      <w:r>
        <w:rPr>
          <w:rFonts w:eastAsia="Times New Roman"/>
          <w:sz w:val="13"/>
        </w:rPr>
        <w:t xml:space="preserve"> Proton T</w:t>
      </w:r>
      <w:r>
        <w:rPr>
          <w:rFonts w:eastAsia="Times New Roman"/>
          <w:sz w:val="13"/>
        </w:rPr>
        <w:t xml:space="preserve">herapy Center Czech, Prague, Czech Republic; </w:t>
      </w:r>
      <w:r>
        <w:rPr>
          <w:rFonts w:eastAsia="Times New Roman"/>
          <w:sz w:val="17"/>
          <w:vertAlign w:val="superscript"/>
        </w:rPr>
        <w:t>t</w:t>
      </w:r>
      <w:r>
        <w:rPr>
          <w:rFonts w:eastAsia="Times New Roman"/>
          <w:sz w:val="13"/>
        </w:rPr>
        <w:t xml:space="preserve"> Paul Scherrer Institut Med. Center for Proton Therapy, Switzerland; </w:t>
      </w:r>
      <w:r>
        <w:rPr>
          <w:rFonts w:eastAsia="Times New Roman"/>
          <w:sz w:val="17"/>
          <w:vertAlign w:val="superscript"/>
        </w:rPr>
        <w:t>u</w:t>
      </w:r>
      <w:r>
        <w:rPr>
          <w:rFonts w:eastAsia="Times New Roman"/>
          <w:sz w:val="13"/>
        </w:rPr>
        <w:t xml:space="preserve"> The University of Manchester, Manchester Academic Health Science Centre, The Christie NHS Foundation Trust; </w:t>
      </w:r>
      <w:r>
        <w:rPr>
          <w:rFonts w:eastAsia="Times New Roman"/>
          <w:sz w:val="17"/>
          <w:vertAlign w:val="superscript"/>
        </w:rPr>
        <w:t>v</w:t>
      </w:r>
      <w:r>
        <w:rPr>
          <w:rFonts w:eastAsia="Times New Roman"/>
          <w:sz w:val="13"/>
        </w:rPr>
        <w:t xml:space="preserve"> The Children’s Brain Tumour R</w:t>
      </w:r>
      <w:r>
        <w:rPr>
          <w:rFonts w:eastAsia="Times New Roman"/>
          <w:sz w:val="13"/>
        </w:rPr>
        <w:t xml:space="preserve">esearch Network, University of Manchester, Royal Manchester Children’s Hospital, United Kingdom; </w:t>
      </w:r>
      <w:r>
        <w:rPr>
          <w:rFonts w:eastAsia="Times New Roman"/>
          <w:sz w:val="17"/>
          <w:vertAlign w:val="superscript"/>
        </w:rPr>
        <w:t>w</w:t>
      </w:r>
      <w:r>
        <w:rPr>
          <w:rFonts w:eastAsia="Times New Roman"/>
          <w:sz w:val="13"/>
        </w:rPr>
        <w:t xml:space="preserve"> Haaglanden Medisch Centrum, Department of Radiotherapy, Leidschendam, The Netherlands; </w:t>
      </w:r>
      <w:r>
        <w:rPr>
          <w:rFonts w:eastAsia="Times New Roman"/>
          <w:sz w:val="17"/>
          <w:vertAlign w:val="superscript"/>
        </w:rPr>
        <w:t>x</w:t>
      </w:r>
      <w:r>
        <w:rPr>
          <w:rFonts w:eastAsia="Times New Roman"/>
          <w:sz w:val="13"/>
        </w:rPr>
        <w:t xml:space="preserve"> The Skandion Clinic, Uppsala, Sweden; </w:t>
      </w:r>
      <w:r>
        <w:rPr>
          <w:rFonts w:eastAsia="Times New Roman"/>
          <w:sz w:val="17"/>
          <w:vertAlign w:val="superscript"/>
        </w:rPr>
        <w:t>y</w:t>
      </w:r>
      <w:r>
        <w:rPr>
          <w:rFonts w:eastAsia="Times New Roman"/>
          <w:sz w:val="13"/>
        </w:rPr>
        <w:t xml:space="preserve"> Department of Radiotherapy a</w:t>
      </w:r>
      <w:r>
        <w:rPr>
          <w:rFonts w:eastAsia="Times New Roman"/>
          <w:sz w:val="13"/>
        </w:rPr>
        <w:t xml:space="preserve">nd Radiation Oncology, Faculty of Medicine and University Hospital Carl Gustav Carus, Technische Universität Dresden; </w:t>
      </w:r>
      <w:r>
        <w:rPr>
          <w:rFonts w:eastAsia="Times New Roman"/>
          <w:sz w:val="17"/>
          <w:vertAlign w:val="superscript"/>
        </w:rPr>
        <w:t>z</w:t>
      </w:r>
      <w:r>
        <w:rPr>
          <w:rFonts w:eastAsia="Times New Roman"/>
          <w:sz w:val="13"/>
        </w:rPr>
        <w:t xml:space="preserve"> Helmholtz-Zentrum Dresden – Rossendorf, Institute of Radiooncology – OncoRay; </w:t>
      </w:r>
      <w:r>
        <w:rPr>
          <w:rFonts w:eastAsia="Times New Roman"/>
          <w:sz w:val="17"/>
          <w:vertAlign w:val="superscript"/>
        </w:rPr>
        <w:t>aa</w:t>
      </w:r>
      <w:r>
        <w:rPr>
          <w:rFonts w:eastAsia="Times New Roman"/>
          <w:sz w:val="13"/>
        </w:rPr>
        <w:t xml:space="preserve"> OncoRay – National Center for Radiation Research in Onc</w:t>
      </w:r>
      <w:r>
        <w:rPr>
          <w:rFonts w:eastAsia="Times New Roman"/>
          <w:sz w:val="13"/>
        </w:rPr>
        <w:t xml:space="preserve">ology, Faculty of Medicine and University Hospital Carl Gustav Carus, Technische Universität Dresden, Helmholtz-Zentrum Dresden – Rossendorf; </w:t>
      </w:r>
      <w:r>
        <w:rPr>
          <w:rFonts w:eastAsia="Times New Roman"/>
          <w:sz w:val="17"/>
          <w:vertAlign w:val="superscript"/>
        </w:rPr>
        <w:t>ab</w:t>
      </w:r>
      <w:r>
        <w:rPr>
          <w:rFonts w:eastAsia="Times New Roman"/>
          <w:sz w:val="13"/>
        </w:rPr>
        <w:t xml:space="preserve"> German Cancer Consortium (DKTK), Partner Site Dresden, and German Cancer Research Center (DKFZ), Heidelberg; an</w:t>
      </w:r>
      <w:r>
        <w:rPr>
          <w:rFonts w:eastAsia="Times New Roman"/>
          <w:sz w:val="13"/>
        </w:rPr>
        <w:t xml:space="preserve">d </w:t>
      </w:r>
      <w:r>
        <w:rPr>
          <w:rFonts w:eastAsia="Times New Roman"/>
          <w:sz w:val="17"/>
          <w:vertAlign w:val="superscript"/>
        </w:rPr>
        <w:t>ac</w:t>
      </w:r>
      <w:r>
        <w:rPr>
          <w:rFonts w:eastAsia="Times New Roman"/>
          <w:sz w:val="13"/>
        </w:rPr>
        <w:t xml:space="preserve"> National Center for Tumor Diseases (NCT), Partner Site Dresden</w:t>
      </w:r>
    </w:p>
    <w:p w:rsidR="00000000" w:rsidRDefault="00F431E9">
      <w:pPr>
        <w:jc w:val="left"/>
        <w:rPr>
          <w:sz w:val="24"/>
        </w:rPr>
        <w:sectPr w:rsidR="00000000">
          <w:pgSz w:w="11900" w:h="15874"/>
          <w:pgMar w:top="928" w:right="840" w:bottom="637" w:left="660" w:header="720" w:footer="720" w:gutter="0"/>
          <w:cols w:space="720"/>
        </w:sectPr>
      </w:pPr>
      <w:r>
        <w:rPr>
          <w:sz w:val="24"/>
        </w:rPr>
        <w:pict>
          <v:line id="Line 17" o:spid="_x0000_s1041" style="position:absolute;z-index:-251669504" from="-.25pt,8.1pt" to="519.75pt,8.1pt" strokeweight=".08mm"/>
        </w:pict>
      </w:r>
    </w:p>
    <w:p w:rsidR="00000000" w:rsidRDefault="00F431E9">
      <w:pPr>
        <w:spacing w:line="200" w:lineRule="exact"/>
        <w:jc w:val="left"/>
        <w:rPr>
          <w:sz w:val="24"/>
        </w:rPr>
      </w:pPr>
    </w:p>
    <w:p w:rsidR="00000000" w:rsidRDefault="00F431E9">
      <w:pPr>
        <w:spacing w:line="229" w:lineRule="exact"/>
        <w:jc w:val="left"/>
        <w:rPr>
          <w:sz w:val="24"/>
        </w:rPr>
      </w:pPr>
    </w:p>
    <w:p w:rsidR="00000000" w:rsidRDefault="00F431E9">
      <w:pPr>
        <w:tabs>
          <w:tab w:val="left" w:pos="1260"/>
        </w:tabs>
        <w:jc w:val="left"/>
        <w:rPr>
          <w:sz w:val="24"/>
        </w:rPr>
      </w:pPr>
      <w:r>
        <w:rPr>
          <w:rFonts w:eastAsia="Times New Roman"/>
          <w:sz w:val="18"/>
        </w:rPr>
        <w:t>a r t i c l e</w:t>
      </w:r>
      <w:r>
        <w:rPr>
          <w:sz w:val="24"/>
        </w:rPr>
        <w:tab/>
      </w:r>
      <w:r>
        <w:rPr>
          <w:rFonts w:eastAsia="Times New Roman"/>
          <w:sz w:val="18"/>
        </w:rPr>
        <w:t>i n f o</w:t>
      </w:r>
    </w:p>
    <w:p w:rsidR="00000000" w:rsidRDefault="00F431E9">
      <w:pPr>
        <w:spacing w:line="225" w:lineRule="exact"/>
        <w:jc w:val="left"/>
        <w:rPr>
          <w:sz w:val="24"/>
        </w:rPr>
      </w:pPr>
      <w:r>
        <w:rPr>
          <w:sz w:val="24"/>
        </w:rPr>
        <w:pict>
          <v:line id="Line 18" o:spid="_x0000_s1042" style="position:absolute;z-index:-251668480" from="-.25pt,8.65pt" to="132.9pt,8.65pt" strokeweight=".07997mm"/>
        </w:pict>
      </w:r>
    </w:p>
    <w:p w:rsidR="00000000" w:rsidRDefault="00F431E9">
      <w:pPr>
        <w:jc w:val="left"/>
        <w:rPr>
          <w:sz w:val="24"/>
        </w:rPr>
      </w:pPr>
      <w:r>
        <w:rPr>
          <w:rFonts w:eastAsia="Times New Roman"/>
          <w:sz w:val="13"/>
        </w:rPr>
        <w:t>Article history:</w:t>
      </w:r>
    </w:p>
    <w:p w:rsidR="00000000" w:rsidRDefault="00F431E9">
      <w:pPr>
        <w:spacing w:line="21" w:lineRule="exact"/>
        <w:jc w:val="left"/>
        <w:rPr>
          <w:sz w:val="24"/>
        </w:rPr>
      </w:pPr>
    </w:p>
    <w:p w:rsidR="00000000" w:rsidRDefault="00F431E9">
      <w:pPr>
        <w:jc w:val="left"/>
        <w:rPr>
          <w:sz w:val="24"/>
        </w:rPr>
      </w:pPr>
      <w:r>
        <w:rPr>
          <w:rFonts w:eastAsia="Times New Roman"/>
          <w:sz w:val="13"/>
        </w:rPr>
        <w:t>Received 7 February 2018</w:t>
      </w:r>
    </w:p>
    <w:p w:rsidR="00000000" w:rsidRDefault="00F431E9">
      <w:pPr>
        <w:spacing w:line="22" w:lineRule="exact"/>
        <w:jc w:val="left"/>
        <w:rPr>
          <w:sz w:val="24"/>
        </w:rPr>
      </w:pPr>
    </w:p>
    <w:p w:rsidR="00000000" w:rsidRDefault="00F431E9">
      <w:pPr>
        <w:overflowPunct w:val="0"/>
        <w:spacing w:line="274" w:lineRule="auto"/>
        <w:jc w:val="left"/>
        <w:rPr>
          <w:sz w:val="24"/>
        </w:rPr>
      </w:pPr>
      <w:r>
        <w:rPr>
          <w:rFonts w:eastAsia="Times New Roman"/>
          <w:sz w:val="13"/>
        </w:rPr>
        <w:t>Received in revised form 16 April 2018 Accepted 1 May 2018</w:t>
      </w:r>
    </w:p>
    <w:p w:rsidR="00000000" w:rsidRDefault="00F431E9">
      <w:pPr>
        <w:spacing w:line="1" w:lineRule="exact"/>
        <w:jc w:val="left"/>
        <w:rPr>
          <w:sz w:val="24"/>
        </w:rPr>
      </w:pPr>
    </w:p>
    <w:p w:rsidR="00000000" w:rsidRDefault="00F431E9">
      <w:pPr>
        <w:jc w:val="left"/>
        <w:rPr>
          <w:sz w:val="24"/>
        </w:rPr>
      </w:pPr>
      <w:r>
        <w:rPr>
          <w:rFonts w:eastAsia="Times New Roman"/>
          <w:sz w:val="13"/>
        </w:rPr>
        <w:t>Available online 17 May 2018</w:t>
      </w:r>
    </w:p>
    <w:p w:rsidR="00000000" w:rsidRDefault="00F431E9">
      <w:pPr>
        <w:spacing w:line="254" w:lineRule="exact"/>
        <w:jc w:val="left"/>
        <w:rPr>
          <w:sz w:val="24"/>
        </w:rPr>
      </w:pPr>
      <w:r>
        <w:rPr>
          <w:sz w:val="24"/>
        </w:rPr>
        <w:pict>
          <v:line id="Line 19" o:spid="_x0000_s1043" style="position:absolute;z-index:-251667456" from="-.25pt,10.05pt" to="132.9pt,10.05pt" strokeweight=".08mm"/>
        </w:pict>
      </w:r>
    </w:p>
    <w:p w:rsidR="00000000" w:rsidRDefault="00F431E9">
      <w:pPr>
        <w:jc w:val="left"/>
        <w:rPr>
          <w:sz w:val="24"/>
        </w:rPr>
      </w:pPr>
      <w:r>
        <w:rPr>
          <w:rFonts w:eastAsia="Times New Roman"/>
          <w:sz w:val="13"/>
        </w:rPr>
        <w:t>Keywords:</w:t>
      </w:r>
    </w:p>
    <w:p w:rsidR="00000000" w:rsidRDefault="00F431E9">
      <w:pPr>
        <w:spacing w:line="20" w:lineRule="exact"/>
        <w:jc w:val="left"/>
        <w:rPr>
          <w:sz w:val="24"/>
        </w:rPr>
      </w:pPr>
    </w:p>
    <w:p w:rsidR="00000000" w:rsidRDefault="00F431E9">
      <w:pPr>
        <w:overflowPunct w:val="0"/>
        <w:spacing w:line="274" w:lineRule="auto"/>
        <w:ind w:right="1380"/>
        <w:jc w:val="left"/>
        <w:rPr>
          <w:sz w:val="24"/>
        </w:rPr>
      </w:pPr>
      <w:r>
        <w:rPr>
          <w:rFonts w:eastAsia="Times New Roman"/>
          <w:sz w:val="13"/>
        </w:rPr>
        <w:t>Dose constrain</w:t>
      </w:r>
      <w:r>
        <w:rPr>
          <w:rFonts w:eastAsia="Times New Roman"/>
          <w:sz w:val="13"/>
        </w:rPr>
        <w:t>ts Organs at risk Particle therapy</w:t>
      </w:r>
    </w:p>
    <w:p w:rsidR="00000000" w:rsidRDefault="00F431E9">
      <w:pPr>
        <w:spacing w:line="2" w:lineRule="exact"/>
        <w:jc w:val="left"/>
        <w:rPr>
          <w:sz w:val="24"/>
        </w:rPr>
      </w:pPr>
    </w:p>
    <w:p w:rsidR="00000000" w:rsidRDefault="00F431E9">
      <w:pPr>
        <w:jc w:val="left"/>
        <w:rPr>
          <w:sz w:val="24"/>
        </w:rPr>
      </w:pPr>
      <w:r>
        <w:rPr>
          <w:rFonts w:eastAsia="Times New Roman"/>
          <w:sz w:val="13"/>
        </w:rPr>
        <w:t>European Particle Therapy Network</w:t>
      </w:r>
    </w:p>
    <w:p w:rsidR="00000000" w:rsidRDefault="00F431E9">
      <w:pPr>
        <w:spacing w:line="200" w:lineRule="exact"/>
        <w:jc w:val="left"/>
        <w:rPr>
          <w:sz w:val="24"/>
        </w:rPr>
      </w:pPr>
      <w:r>
        <w:rPr>
          <w:sz w:val="24"/>
        </w:rPr>
        <w:br w:type="column"/>
      </w:r>
    </w:p>
    <w:p w:rsidR="00000000" w:rsidRDefault="00F431E9">
      <w:pPr>
        <w:spacing w:line="235" w:lineRule="exact"/>
        <w:jc w:val="left"/>
        <w:rPr>
          <w:sz w:val="24"/>
        </w:rPr>
      </w:pPr>
    </w:p>
    <w:p w:rsidR="00000000" w:rsidRDefault="00F431E9">
      <w:pPr>
        <w:jc w:val="left"/>
        <w:rPr>
          <w:sz w:val="24"/>
        </w:rPr>
      </w:pPr>
      <w:r>
        <w:rPr>
          <w:rFonts w:eastAsia="Times New Roman"/>
          <w:sz w:val="18"/>
        </w:rPr>
        <w:t>a b s t r a c t</w:t>
      </w:r>
    </w:p>
    <w:p w:rsidR="00000000" w:rsidRDefault="00F431E9">
      <w:pPr>
        <w:spacing w:line="223" w:lineRule="exact"/>
        <w:jc w:val="left"/>
        <w:rPr>
          <w:sz w:val="24"/>
        </w:rPr>
      </w:pPr>
      <w:r>
        <w:rPr>
          <w:sz w:val="24"/>
        </w:rPr>
        <w:pict>
          <v:line id="Line 20" o:spid="_x0000_s1044" style="position:absolute;z-index:-251666432" from=".2pt,8.4pt" to="355.75pt,8.4pt" strokeweight=".07997mm"/>
        </w:pict>
      </w:r>
    </w:p>
    <w:p w:rsidR="00000000" w:rsidRDefault="00F431E9">
      <w:pPr>
        <w:overflowPunct w:val="0"/>
        <w:spacing w:line="297" w:lineRule="auto"/>
        <w:rPr>
          <w:sz w:val="24"/>
        </w:rPr>
      </w:pPr>
      <w:r>
        <w:rPr>
          <w:rFonts w:eastAsia="Times New Roman"/>
          <w:sz w:val="14"/>
        </w:rPr>
        <w:t>Purpose: For unbiased comparison of different radiation modalities and techniques, consensus on delin-eation of radiation sensitive organs at risk (OARs) and on thei</w:t>
      </w:r>
      <w:r>
        <w:rPr>
          <w:rFonts w:eastAsia="Times New Roman"/>
          <w:sz w:val="14"/>
        </w:rPr>
        <w:t>r dose constraints is warranted. Following the publication of a digital, online atlas for OAR delineation in neuro-oncology by the same group, we assessed the brain OAR-dose constraints in a follow-up study.</w:t>
      </w:r>
    </w:p>
    <w:p w:rsidR="00000000" w:rsidRDefault="00F431E9">
      <w:pPr>
        <w:spacing w:line="168" w:lineRule="exact"/>
        <w:jc w:val="left"/>
        <w:rPr>
          <w:sz w:val="24"/>
        </w:rPr>
      </w:pPr>
    </w:p>
    <w:p w:rsidR="00000000" w:rsidRDefault="00F431E9">
      <w:pPr>
        <w:overflowPunct w:val="0"/>
        <w:spacing w:line="293" w:lineRule="auto"/>
        <w:rPr>
          <w:sz w:val="24"/>
        </w:rPr>
      </w:pPr>
      <w:r>
        <w:rPr>
          <w:rFonts w:eastAsia="Times New Roman"/>
          <w:sz w:val="14"/>
        </w:rPr>
        <w:t>Methods: We performed a comprehensive search to</w:t>
      </w:r>
      <w:r>
        <w:rPr>
          <w:rFonts w:eastAsia="Times New Roman"/>
          <w:sz w:val="14"/>
        </w:rPr>
        <w:t xml:space="preserve"> identify the current papers on OAR dose constraints for normofractionated photon and particle therapy in PubMed, Ovid Medline, Cochrane Library, Embase and Web of Science. Moreover, the included articles’ reference lists were cross-checked for potential s</w:t>
      </w:r>
      <w:r>
        <w:rPr>
          <w:rFonts w:eastAsia="Times New Roman"/>
          <w:sz w:val="14"/>
        </w:rPr>
        <w:t>tudies that met the inclusion criteria. Consensus was reached among 20 radiation oncology experts in the field of neuro-oncology.</w:t>
      </w:r>
    </w:p>
    <w:p w:rsidR="00000000" w:rsidRDefault="00F431E9">
      <w:pPr>
        <w:spacing w:line="171" w:lineRule="exact"/>
        <w:jc w:val="left"/>
        <w:rPr>
          <w:sz w:val="24"/>
        </w:rPr>
      </w:pPr>
    </w:p>
    <w:p w:rsidR="00000000" w:rsidRDefault="00F431E9">
      <w:pPr>
        <w:overflowPunct w:val="0"/>
        <w:spacing w:line="284" w:lineRule="auto"/>
        <w:rPr>
          <w:sz w:val="24"/>
        </w:rPr>
      </w:pPr>
      <w:r>
        <w:rPr>
          <w:rFonts w:eastAsia="Times New Roman"/>
          <w:sz w:val="14"/>
        </w:rPr>
        <w:t xml:space="preserve">Results: For the OARs published in the neuro-oncology literature, we summarized </w:t>
      </w:r>
      <w:r>
        <w:rPr>
          <w:rFonts w:eastAsia="Times New Roman"/>
          <w:sz w:val="14"/>
        </w:rPr>
        <w:lastRenderedPageBreak/>
        <w:t>the available literature and recommended dose</w:t>
      </w:r>
      <w:r>
        <w:rPr>
          <w:rFonts w:eastAsia="Times New Roman"/>
          <w:sz w:val="14"/>
        </w:rPr>
        <w:t xml:space="preserve"> constraints associated with certain levels of normal tissue complication proba-bility (NTCP) according to the recent ICRU recommendations. For those OARs with lacking or insufficient NTCP data, a proposal for effective and efficient data collection is giv</w:t>
      </w:r>
      <w:r>
        <w:rPr>
          <w:rFonts w:eastAsia="Times New Roman"/>
          <w:sz w:val="14"/>
        </w:rPr>
        <w:t>en.</w:t>
      </w:r>
    </w:p>
    <w:p w:rsidR="00000000" w:rsidRDefault="00F431E9">
      <w:pPr>
        <w:spacing w:line="2" w:lineRule="exact"/>
        <w:jc w:val="left"/>
        <w:rPr>
          <w:sz w:val="24"/>
        </w:rPr>
      </w:pPr>
    </w:p>
    <w:p w:rsidR="00000000" w:rsidRDefault="00F431E9">
      <w:pPr>
        <w:overflowPunct w:val="0"/>
        <w:spacing w:line="297" w:lineRule="auto"/>
        <w:rPr>
          <w:sz w:val="24"/>
        </w:rPr>
      </w:pPr>
      <w:r>
        <w:rPr>
          <w:rFonts w:eastAsia="Times New Roman"/>
          <w:sz w:val="14"/>
        </w:rPr>
        <w:t>Conclusion: The use of the European Particle Therapy Network-consensus OAR dose constraints summa-rized in this article is recommended for the model-based approach comparing photon and proton beam irradiation as well as for prospective clinical trials</w:t>
      </w:r>
      <w:r>
        <w:rPr>
          <w:rFonts w:eastAsia="Times New Roman"/>
          <w:sz w:val="14"/>
        </w:rPr>
        <w:t xml:space="preserve"> including novel radiation techniques and/or modalities.</w:t>
      </w:r>
    </w:p>
    <w:p w:rsidR="00000000" w:rsidRDefault="00F431E9">
      <w:pPr>
        <w:spacing w:line="162" w:lineRule="exact"/>
        <w:jc w:val="left"/>
        <w:rPr>
          <w:sz w:val="24"/>
        </w:rPr>
      </w:pPr>
    </w:p>
    <w:p w:rsidR="00000000" w:rsidRDefault="00F431E9">
      <w:pPr>
        <w:overflowPunct w:val="0"/>
        <w:jc w:val="right"/>
        <w:rPr>
          <w:sz w:val="24"/>
        </w:rPr>
      </w:pPr>
      <w:r>
        <w:rPr>
          <w:rFonts w:eastAsia="Times New Roman"/>
          <w:sz w:val="14"/>
        </w:rPr>
        <w:t>2018 Elsevier B.V. All rights reserved. Radiotherapy and Oncology 128 (2018) 26–36</w:t>
      </w:r>
    </w:p>
    <w:p w:rsidR="00000000" w:rsidRDefault="00F431E9">
      <w:pPr>
        <w:jc w:val="left"/>
        <w:rPr>
          <w:sz w:val="24"/>
        </w:rPr>
        <w:sectPr w:rsidR="00000000">
          <w:type w:val="continuous"/>
          <w:pgSz w:w="11900" w:h="15874"/>
          <w:pgMar w:top="928" w:right="840" w:bottom="637" w:left="660" w:header="720" w:footer="720" w:gutter="0"/>
          <w:cols w:num="2" w:space="900" w:equalWidth="0">
            <w:col w:w="10400" w:space="900"/>
            <w:col w:w="2380"/>
          </w:cols>
        </w:sectPr>
      </w:pPr>
      <w:r>
        <w:rPr>
          <w:sz w:val="24"/>
        </w:rPr>
        <w:pict>
          <v:line id="Line 21" o:spid="_x0000_s1045" style="position:absolute;z-index:-251665408" from="-164.25pt,17.2pt" to="355.75pt,17.2pt" strokeweight=".07997mm"/>
        </w:pict>
      </w: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350" w:lineRule="exact"/>
        <w:jc w:val="left"/>
        <w:rPr>
          <w:sz w:val="24"/>
        </w:rPr>
      </w:pPr>
    </w:p>
    <w:p w:rsidR="00000000" w:rsidRDefault="00F431E9">
      <w:pPr>
        <w:overflowPunct w:val="0"/>
        <w:spacing w:line="283" w:lineRule="auto"/>
        <w:ind w:firstLine="237"/>
        <w:jc w:val="left"/>
        <w:rPr>
          <w:sz w:val="24"/>
        </w:rPr>
      </w:pPr>
      <w:r>
        <w:rPr>
          <w:rFonts w:eastAsia="Times New Roman"/>
          <w:sz w:val="13"/>
        </w:rPr>
        <w:t>Corresponding author at: Department of Radiotherapy-Oncology, UZ Gasthuis-berg, Herestraat 49, 3000 Leuven, B</w:t>
      </w:r>
      <w:r>
        <w:rPr>
          <w:rFonts w:eastAsia="Times New Roman"/>
          <w:sz w:val="13"/>
        </w:rPr>
        <w:t>elgium.</w:t>
      </w:r>
    </w:p>
    <w:p w:rsidR="00000000" w:rsidRDefault="00764E0E">
      <w:pPr>
        <w:spacing w:line="40" w:lineRule="exact"/>
        <w:jc w:val="left"/>
        <w:rPr>
          <w:sz w:val="24"/>
        </w:rPr>
      </w:pPr>
      <w:r>
        <w:rPr>
          <w:noProof/>
          <w:sz w:val="24"/>
        </w:rPr>
        <w:drawing>
          <wp:anchor distT="0" distB="0" distL="114300" distR="114300" simplePos="0" relativeHeight="251668480" behindDoc="1" locked="0" layoutInCell="1" allowOverlap="1">
            <wp:simplePos x="0" y="0"/>
            <wp:positionH relativeFrom="column">
              <wp:posOffset>-3175</wp:posOffset>
            </wp:positionH>
            <wp:positionV relativeFrom="paragraph">
              <wp:posOffset>-231775</wp:posOffset>
            </wp:positionV>
            <wp:extent cx="455930" cy="31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455930" cy="3175"/>
                    </a:xfrm>
                    <a:prstGeom prst="rect">
                      <a:avLst/>
                    </a:prstGeom>
                    <a:noFill/>
                    <a:ln w="9525" cmpd="sng">
                      <a:noFill/>
                      <a:miter lim="800000"/>
                      <a:headEnd/>
                      <a:tailEnd/>
                    </a:ln>
                  </pic:spPr>
                </pic:pic>
              </a:graphicData>
            </a:graphic>
          </wp:anchor>
        </w:drawing>
      </w:r>
    </w:p>
    <w:p w:rsidR="00000000" w:rsidRDefault="00F431E9">
      <w:pPr>
        <w:ind w:left="240"/>
        <w:jc w:val="left"/>
        <w:rPr>
          <w:sz w:val="24"/>
        </w:rPr>
      </w:pPr>
      <w:r>
        <w:rPr>
          <w:rFonts w:eastAsia="Times New Roman"/>
          <w:sz w:val="13"/>
        </w:rPr>
        <w:t xml:space="preserve">E-mail address: </w:t>
      </w:r>
      <w:hyperlink r:id="rId35" w:history="1">
        <w:r>
          <w:rPr>
            <w:rFonts w:eastAsia="Times New Roman"/>
            <w:color w:val="0080AD"/>
            <w:sz w:val="13"/>
          </w:rPr>
          <w:t>maarten.lambrecht@uzleuven.be</w:t>
        </w:r>
        <w:r>
          <w:rPr>
            <w:rFonts w:eastAsia="Times New Roman"/>
            <w:sz w:val="13"/>
          </w:rPr>
          <w:t xml:space="preserve"> </w:t>
        </w:r>
      </w:hyperlink>
      <w:r>
        <w:rPr>
          <w:rFonts w:eastAsia="Times New Roman"/>
          <w:sz w:val="13"/>
        </w:rPr>
        <w:t>(M. Lambrecht).</w:t>
      </w:r>
    </w:p>
    <w:p w:rsidR="00000000" w:rsidRDefault="00F431E9">
      <w:pPr>
        <w:spacing w:line="210" w:lineRule="exact"/>
        <w:jc w:val="left"/>
        <w:rPr>
          <w:sz w:val="24"/>
        </w:rPr>
      </w:pPr>
    </w:p>
    <w:p w:rsidR="00000000" w:rsidRDefault="00F431E9">
      <w:pPr>
        <w:overflowPunct w:val="0"/>
        <w:spacing w:line="283" w:lineRule="auto"/>
        <w:ind w:right="1900"/>
        <w:jc w:val="left"/>
        <w:rPr>
          <w:sz w:val="24"/>
        </w:rPr>
      </w:pPr>
      <w:hyperlink r:id="rId36" w:history="1">
        <w:r>
          <w:rPr>
            <w:rFonts w:eastAsia="Times New Roman"/>
            <w:color w:val="0080AD"/>
            <w:sz w:val="13"/>
          </w:rPr>
          <w:t>https://doi.org/10.1016/j.radonc.2018.05.001</w:t>
        </w:r>
      </w:hyperlink>
      <w:r>
        <w:rPr>
          <w:rFonts w:eastAsia="Times New Roman"/>
          <w:color w:val="0080AD"/>
          <w:sz w:val="13"/>
        </w:rPr>
        <w:t xml:space="preserve"> </w:t>
      </w:r>
      <w:r>
        <w:rPr>
          <w:rFonts w:eastAsia="Times New Roman"/>
          <w:sz w:val="13"/>
        </w:rPr>
        <w:t xml:space="preserve">0167-8140/ 2018 Elsevier </w:t>
      </w:r>
      <w:r>
        <w:rPr>
          <w:rFonts w:eastAsia="Times New Roman"/>
          <w:sz w:val="13"/>
        </w:rPr>
        <w:t>B.V. All rights reserved.</w:t>
      </w:r>
    </w:p>
    <w:p w:rsidR="00000000" w:rsidRDefault="00F431E9">
      <w:pPr>
        <w:spacing w:line="200" w:lineRule="exact"/>
        <w:jc w:val="left"/>
        <w:rPr>
          <w:sz w:val="24"/>
        </w:rPr>
      </w:pPr>
      <w:r>
        <w:rPr>
          <w:sz w:val="24"/>
        </w:rPr>
        <w:br w:type="column"/>
      </w:r>
    </w:p>
    <w:p w:rsidR="00000000" w:rsidRDefault="00F431E9">
      <w:pPr>
        <w:spacing w:line="200" w:lineRule="exact"/>
        <w:jc w:val="left"/>
        <w:rPr>
          <w:sz w:val="24"/>
        </w:rPr>
      </w:pPr>
    </w:p>
    <w:p w:rsidR="00000000" w:rsidRDefault="00F431E9">
      <w:pPr>
        <w:spacing w:line="212" w:lineRule="exact"/>
        <w:jc w:val="left"/>
        <w:rPr>
          <w:sz w:val="24"/>
        </w:rPr>
      </w:pPr>
    </w:p>
    <w:p w:rsidR="00000000" w:rsidRDefault="00F431E9">
      <w:pPr>
        <w:overflowPunct w:val="0"/>
        <w:spacing w:line="277" w:lineRule="auto"/>
        <w:ind w:firstLine="234"/>
        <w:rPr>
          <w:sz w:val="24"/>
        </w:rPr>
      </w:pPr>
      <w:r>
        <w:rPr>
          <w:rFonts w:eastAsia="Times New Roman"/>
          <w:sz w:val="16"/>
        </w:rPr>
        <w:t>The field of radiotherapy is rapidly evolving with new tech-niques, e.g., MR-linac, and beam modalities, i.e., protons and carbon ions, entering the scene of image-guided high precision treatment. These innovations aim at incr</w:t>
      </w:r>
      <w:r>
        <w:rPr>
          <w:rFonts w:eastAsia="Times New Roman"/>
          <w:sz w:val="16"/>
        </w:rPr>
        <w:t>easing the tumour control probability</w:t>
      </w:r>
    </w:p>
    <w:p w:rsidR="00000000" w:rsidRDefault="00F431E9">
      <w:pPr>
        <w:jc w:val="left"/>
        <w:rPr>
          <w:sz w:val="24"/>
        </w:rPr>
        <w:sectPr w:rsidR="00000000">
          <w:type w:val="continuous"/>
          <w:pgSz w:w="11900" w:h="15874"/>
          <w:pgMar w:top="928" w:right="840" w:bottom="637" w:left="660" w:header="720" w:footer="720" w:gutter="0"/>
          <w:cols w:num="2" w:space="900" w:equalWidth="0">
            <w:col w:w="10400" w:space="900"/>
            <w:col w:w="2380"/>
          </w:cols>
        </w:sectPr>
      </w:pPr>
    </w:p>
    <w:tbl>
      <w:tblPr>
        <w:tblW w:w="0" w:type="auto"/>
        <w:tblInd w:w="0" w:type="dxa"/>
        <w:tblLayout w:type="fixed"/>
        <w:tblCellMar>
          <w:left w:w="0" w:type="dxa"/>
          <w:right w:w="0" w:type="dxa"/>
        </w:tblCellMar>
        <w:tblLook w:val="0000"/>
      </w:tblPr>
      <w:tblGrid>
        <w:gridCol w:w="5460"/>
        <w:gridCol w:w="1700"/>
      </w:tblGrid>
      <w:tr w:rsidR="00000000">
        <w:trPr>
          <w:trHeight w:val="155"/>
        </w:trPr>
        <w:tc>
          <w:tcPr>
            <w:tcW w:w="5460" w:type="dxa"/>
            <w:tcBorders>
              <w:top w:val="nil"/>
              <w:left w:val="nil"/>
              <w:bottom w:val="nil"/>
              <w:right w:val="nil"/>
              <w:tl2br w:val="nil"/>
              <w:tr2bl w:val="nil"/>
            </w:tcBorders>
            <w:vAlign w:val="bottom"/>
          </w:tcPr>
          <w:p w:rsidR="00000000" w:rsidRDefault="00F431E9">
            <w:pPr>
              <w:jc w:val="left"/>
              <w:rPr>
                <w:sz w:val="24"/>
              </w:rPr>
            </w:pPr>
            <w:bookmarkStart w:id="1" w:name="page3"/>
            <w:bookmarkEnd w:id="1"/>
            <w:r>
              <w:rPr>
                <w:sz w:val="24"/>
              </w:rPr>
              <w:lastRenderedPageBreak/>
              <w:cr/>
            </w:r>
            <w:r>
              <w:rPr>
                <w:sz w:val="24"/>
              </w:rPr>
              <w:cr/>
            </w:r>
            <w:r>
              <w:rPr>
                <w:sz w:val="24"/>
              </w:rPr>
              <w:t xml:space="preserve">
</w:t>
            </w:r>
            <w:r>
              <w:rPr>
                <w:rFonts w:eastAsia="Times New Roman"/>
                <w:sz w:val="13"/>
              </w:rPr>
              <w:t>M. Lambrecht et al. / Radiotherapy and Oncology 128 (2018) 26–36</w:t>
            </w:r>
          </w:p>
        </w:tc>
        <w:tc>
          <w:tcPr>
            <w:tcW w:w="1700" w:type="dxa"/>
            <w:tcBorders>
              <w:top w:val="nil"/>
              <w:left w:val="nil"/>
              <w:bottom w:val="nil"/>
              <w:right w:val="nil"/>
              <w:tl2br w:val="nil"/>
              <w:tr2bl w:val="nil"/>
            </w:tcBorders>
            <w:vAlign w:val="bottom"/>
          </w:tcPr>
          <w:p w:rsidR="00000000" w:rsidRDefault="00F431E9">
            <w:pPr>
              <w:jc w:val="right"/>
              <w:rPr>
                <w:sz w:val="24"/>
              </w:rPr>
            </w:pPr>
            <w:r>
              <w:rPr>
                <w:rFonts w:eastAsia="Times New Roman"/>
                <w:sz w:val="13"/>
              </w:rPr>
              <w:t>27</w:t>
            </w:r>
          </w:p>
        </w:tc>
      </w:tr>
    </w:tbl>
    <w:p w:rsidR="00000000" w:rsidRDefault="00F431E9">
      <w:pPr>
        <w:jc w:val="left"/>
        <w:rPr>
          <w:sz w:val="24"/>
        </w:rPr>
        <w:sectPr w:rsidR="00000000">
          <w:pgSz w:w="11900" w:h="15874"/>
          <w:pgMar w:top="932" w:right="640" w:bottom="469" w:left="4100" w:header="720" w:footer="720" w:gutter="0"/>
          <w:cols w:space="720"/>
        </w:sectPr>
      </w:pPr>
    </w:p>
    <w:p w:rsidR="00000000" w:rsidRDefault="00F431E9">
      <w:pPr>
        <w:spacing w:line="234" w:lineRule="exact"/>
        <w:jc w:val="left"/>
        <w:rPr>
          <w:sz w:val="24"/>
        </w:rPr>
      </w:pPr>
    </w:p>
    <w:p w:rsidR="00000000" w:rsidRDefault="00F431E9">
      <w:pPr>
        <w:overflowPunct w:val="0"/>
        <w:spacing w:line="276" w:lineRule="auto"/>
        <w:rPr>
          <w:sz w:val="24"/>
        </w:rPr>
      </w:pPr>
      <w:r>
        <w:rPr>
          <w:rFonts w:eastAsia="Times New Roman"/>
          <w:sz w:val="16"/>
        </w:rPr>
        <w:t>(TCP) while maintaining or reducing the normal tissue complica-tion probability (NTCP). For comparison of the latter, ideally, con-sensus on (1</w:t>
      </w:r>
      <w:r>
        <w:rPr>
          <w:rFonts w:eastAsia="Times New Roman"/>
          <w:sz w:val="16"/>
        </w:rPr>
        <w:t>) the delineation of the organs at risk (OARs), on (2) the tolerable radiation dose to be administered to the OARs, and on (3) the outcome reporting measure, i.e., uniform follow-up tim-ing, patient questionnaires and content of the follow-up, should exist</w:t>
      </w:r>
      <w:r>
        <w:rPr>
          <w:rFonts w:eastAsia="Times New Roman"/>
          <w:sz w:val="16"/>
        </w:rPr>
        <w:t>.</w:t>
      </w:r>
    </w:p>
    <w:p w:rsidR="00000000" w:rsidRDefault="00F431E9">
      <w:pPr>
        <w:spacing w:line="194" w:lineRule="exact"/>
        <w:jc w:val="left"/>
        <w:rPr>
          <w:sz w:val="24"/>
        </w:rPr>
      </w:pPr>
    </w:p>
    <w:p w:rsidR="00000000" w:rsidRDefault="00F431E9">
      <w:pPr>
        <w:overflowPunct w:val="0"/>
        <w:spacing w:line="275" w:lineRule="auto"/>
        <w:ind w:firstLine="235"/>
        <w:rPr>
          <w:sz w:val="24"/>
        </w:rPr>
      </w:pPr>
      <w:r>
        <w:rPr>
          <w:rFonts w:eastAsia="Times New Roman"/>
          <w:sz w:val="16"/>
        </w:rPr>
        <w:t xml:space="preserve">Regarding the first pre-requisite, Eekers et al. </w:t>
      </w:r>
      <w:hyperlink w:anchor="page9" w:history="1">
        <w:r>
          <w:rPr>
            <w:rFonts w:eastAsia="Times New Roman"/>
            <w:color w:val="0080AD"/>
            <w:sz w:val="16"/>
          </w:rPr>
          <w:t>[1,2]</w:t>
        </w:r>
        <w:r>
          <w:rPr>
            <w:rFonts w:eastAsia="Times New Roman"/>
            <w:sz w:val="16"/>
          </w:rPr>
          <w:t xml:space="preserve"> </w:t>
        </w:r>
      </w:hyperlink>
      <w:r>
        <w:rPr>
          <w:rFonts w:eastAsia="Times New Roman"/>
          <w:sz w:val="16"/>
        </w:rPr>
        <w:t>recently published a digital, online atlas for OAR delineation in neuro-oncology on behalf of the task group ‘‘European Particle Therapy Network” (EPTN) of ESTRO. Addressing</w:t>
      </w:r>
      <w:r>
        <w:rPr>
          <w:rFonts w:eastAsia="Times New Roman"/>
          <w:sz w:val="16"/>
        </w:rPr>
        <w:t xml:space="preserve"> the second required condi-tion, it has been a while since the recommendations by Emami et al. </w:t>
      </w:r>
      <w:hyperlink w:anchor="page9" w:history="1">
        <w:r>
          <w:rPr>
            <w:rFonts w:eastAsia="Times New Roman"/>
            <w:color w:val="0080AD"/>
            <w:sz w:val="16"/>
          </w:rPr>
          <w:t>[3]</w:t>
        </w:r>
        <w:r>
          <w:rPr>
            <w:rFonts w:eastAsia="Times New Roman"/>
            <w:sz w:val="16"/>
          </w:rPr>
          <w:t xml:space="preserve"> </w:t>
        </w:r>
      </w:hyperlink>
      <w:r>
        <w:rPr>
          <w:rFonts w:eastAsia="Times New Roman"/>
          <w:sz w:val="16"/>
        </w:rPr>
        <w:t xml:space="preserve">and the QUANTEC series </w:t>
      </w:r>
      <w:hyperlink w:anchor="page9" w:history="1">
        <w:r>
          <w:rPr>
            <w:rFonts w:eastAsia="Times New Roman"/>
            <w:color w:val="0080AD"/>
            <w:sz w:val="16"/>
          </w:rPr>
          <w:t>[4–7]</w:t>
        </w:r>
        <w:r>
          <w:rPr>
            <w:rFonts w:eastAsia="Times New Roman"/>
            <w:sz w:val="16"/>
          </w:rPr>
          <w:t xml:space="preserve"> </w:t>
        </w:r>
      </w:hyperlink>
      <w:r>
        <w:rPr>
          <w:rFonts w:eastAsia="Times New Roman"/>
          <w:sz w:val="16"/>
        </w:rPr>
        <w:t>were published. In an attempt to reach the ideal conditions for comparison, we</w:t>
      </w:r>
      <w:r>
        <w:rPr>
          <w:rFonts w:eastAsia="Times New Roman"/>
          <w:sz w:val="16"/>
        </w:rPr>
        <w:t xml:space="preserve"> therefore summarize the OAR’s distinct radiation induced toxicities and the recommended dose constraints for conventionally fractionated radiotherapy.</w:t>
      </w:r>
    </w:p>
    <w:p w:rsidR="00000000" w:rsidRDefault="00F431E9">
      <w:pPr>
        <w:spacing w:line="200" w:lineRule="exact"/>
        <w:jc w:val="left"/>
        <w:rPr>
          <w:sz w:val="24"/>
        </w:rPr>
      </w:pPr>
    </w:p>
    <w:p w:rsidR="00000000" w:rsidRDefault="00F431E9">
      <w:pPr>
        <w:spacing w:line="207" w:lineRule="exact"/>
        <w:jc w:val="left"/>
        <w:rPr>
          <w:sz w:val="24"/>
        </w:rPr>
      </w:pPr>
    </w:p>
    <w:p w:rsidR="00000000" w:rsidRDefault="00F431E9">
      <w:pPr>
        <w:overflowPunct w:val="0"/>
        <w:spacing w:line="276" w:lineRule="auto"/>
        <w:ind w:firstLine="235"/>
        <w:rPr>
          <w:sz w:val="24"/>
        </w:rPr>
      </w:pPr>
      <w:r>
        <w:rPr>
          <w:rFonts w:eastAsia="Times New Roman"/>
          <w:sz w:val="16"/>
        </w:rPr>
        <w:t>Moreover, we identified gaps of knowledge that need to be filled, preferably in a prospective multi-ce</w:t>
      </w:r>
      <w:r>
        <w:rPr>
          <w:rFonts w:eastAsia="Times New Roman"/>
          <w:sz w:val="16"/>
        </w:rPr>
        <w:t>ntre effort, to fully exploit the potential of highly conformal radiotherapy. Of note, this summary of the literature does not explicitly cover hypofraction-ated / ablative regimens, carbon ion radiotherapy, re-irradiation, or paediatric data.</w:t>
      </w:r>
    </w:p>
    <w:p w:rsidR="00000000" w:rsidRDefault="00F431E9">
      <w:pPr>
        <w:spacing w:line="200" w:lineRule="exact"/>
        <w:jc w:val="left"/>
        <w:rPr>
          <w:sz w:val="24"/>
        </w:rPr>
      </w:pPr>
    </w:p>
    <w:p w:rsidR="00000000" w:rsidRDefault="00F431E9">
      <w:pPr>
        <w:spacing w:line="377" w:lineRule="exact"/>
        <w:jc w:val="left"/>
        <w:rPr>
          <w:sz w:val="24"/>
        </w:rPr>
      </w:pPr>
    </w:p>
    <w:p w:rsidR="00000000" w:rsidRDefault="00F431E9">
      <w:pPr>
        <w:jc w:val="left"/>
        <w:rPr>
          <w:sz w:val="24"/>
        </w:rPr>
      </w:pPr>
      <w:r>
        <w:rPr>
          <w:rFonts w:eastAsia="Times New Roman"/>
          <w:sz w:val="16"/>
        </w:rPr>
        <w:t>Material a</w:t>
      </w:r>
      <w:r>
        <w:rPr>
          <w:rFonts w:eastAsia="Times New Roman"/>
          <w:sz w:val="16"/>
        </w:rPr>
        <w:t>nd methods</w:t>
      </w:r>
    </w:p>
    <w:p w:rsidR="00000000" w:rsidRDefault="00F431E9">
      <w:pPr>
        <w:spacing w:line="234" w:lineRule="exact"/>
        <w:jc w:val="left"/>
        <w:rPr>
          <w:sz w:val="24"/>
        </w:rPr>
      </w:pPr>
    </w:p>
    <w:p w:rsidR="00000000" w:rsidRDefault="00F431E9">
      <w:pPr>
        <w:overflowPunct w:val="0"/>
        <w:spacing w:line="274" w:lineRule="auto"/>
        <w:ind w:firstLine="235"/>
        <w:rPr>
          <w:sz w:val="24"/>
        </w:rPr>
      </w:pPr>
      <w:r>
        <w:rPr>
          <w:rFonts w:eastAsia="Times New Roman"/>
          <w:sz w:val="16"/>
        </w:rPr>
        <w:t xml:space="preserve">For each of the OAR described in the EPTN delineation consen-sus paper a dose constraint was sought for and the available data summarized </w:t>
      </w:r>
      <w:hyperlink w:anchor="page9" w:history="1">
        <w:r>
          <w:rPr>
            <w:rFonts w:eastAsia="Times New Roman"/>
            <w:color w:val="0080AD"/>
            <w:sz w:val="16"/>
          </w:rPr>
          <w:t>[1]</w:t>
        </w:r>
      </w:hyperlink>
      <w:r>
        <w:rPr>
          <w:rFonts w:eastAsia="Times New Roman"/>
          <w:sz w:val="16"/>
        </w:rPr>
        <w:t>. Published manuscripts were identified through a PubMed search using combinat</w:t>
      </w:r>
      <w:r>
        <w:rPr>
          <w:rFonts w:eastAsia="Times New Roman"/>
          <w:sz w:val="16"/>
        </w:rPr>
        <w:t xml:space="preserve">ions of (‘‘radiotherapy” or ‘‘radia-tion therapy” or ‘‘radiation-induced”) and ‘‘xerophthalmia”; ‘‘dry eye syndrome”; ‘‘keratoconjunctivitis”; ‘‘retinopathy”; ‘‘cataracts”; ‘‘optic neuropathy”; ‘‘vision loss”; ‘‘hemianopsia”; ‘‘hearing loss”; ‘‘tinnitus”; </w:t>
      </w:r>
      <w:r>
        <w:rPr>
          <w:rFonts w:eastAsia="Times New Roman"/>
          <w:sz w:val="16"/>
        </w:rPr>
        <w:t>‘‘vertigo”; ‘‘hypopituitarism”; ‘‘neurocognition”; ‘‘ra-dionecrosis”; ‘‘Temporal lobe necrosis”; ‘‘brain stem toxicity”; ‘‘hippocampus”; ‘‘cerebellum”; ‘‘alopecia”. Those manuscripts available in English or French, containing data on adult patients obtaine</w:t>
      </w:r>
      <w:r>
        <w:rPr>
          <w:rFonts w:eastAsia="Times New Roman"/>
          <w:sz w:val="16"/>
        </w:rPr>
        <w:t>d from primary conventionally fractionated photon and proton radiotherapy, and describing a dose–toxicity relationship were included in this recommendation. Papers on re-irradiation, hypofractionation, carbon ion therapy and stereotactic ablative radiother</w:t>
      </w:r>
      <w:r>
        <w:rPr>
          <w:rFonts w:eastAsia="Times New Roman"/>
          <w:sz w:val="16"/>
        </w:rPr>
        <w:t>apy were omitted.</w:t>
      </w:r>
    </w:p>
    <w:p w:rsidR="00000000" w:rsidRDefault="00F431E9">
      <w:pPr>
        <w:spacing w:line="200" w:lineRule="exact"/>
        <w:jc w:val="left"/>
        <w:rPr>
          <w:sz w:val="24"/>
        </w:rPr>
      </w:pPr>
    </w:p>
    <w:p w:rsidR="00000000" w:rsidRDefault="00F431E9">
      <w:pPr>
        <w:spacing w:line="206" w:lineRule="exact"/>
        <w:jc w:val="left"/>
        <w:rPr>
          <w:sz w:val="24"/>
        </w:rPr>
      </w:pPr>
    </w:p>
    <w:p w:rsidR="00000000" w:rsidRDefault="00F431E9">
      <w:pPr>
        <w:overflowPunct w:val="0"/>
        <w:spacing w:line="273" w:lineRule="auto"/>
        <w:ind w:firstLine="235"/>
        <w:rPr>
          <w:sz w:val="24"/>
        </w:rPr>
      </w:pPr>
      <w:r>
        <w:rPr>
          <w:rFonts w:eastAsia="Times New Roman"/>
          <w:sz w:val="16"/>
        </w:rPr>
        <w:t xml:space="preserve">Relevant papers were summarized and put into </w:t>
      </w:r>
      <w:hyperlink w:anchor="page9" w:history="1">
        <w:r>
          <w:rPr>
            <w:rFonts w:eastAsia="Times New Roman"/>
            <w:color w:val="0080AD"/>
            <w:sz w:val="16"/>
          </w:rPr>
          <w:t>Supplementary</w:t>
        </w:r>
      </w:hyperlink>
      <w:r>
        <w:rPr>
          <w:rFonts w:eastAsia="Times New Roman"/>
          <w:sz w:val="16"/>
        </w:rPr>
        <w:t xml:space="preserve"> </w:t>
      </w:r>
      <w:hyperlink w:anchor="page9" w:history="1">
        <w:r>
          <w:rPr>
            <w:rFonts w:eastAsia="Times New Roman"/>
            <w:color w:val="0080AD"/>
            <w:sz w:val="16"/>
          </w:rPr>
          <w:t>Tables (I-X)</w:t>
        </w:r>
      </w:hyperlink>
      <w:r>
        <w:rPr>
          <w:rFonts w:eastAsia="Times New Roman"/>
          <w:sz w:val="16"/>
        </w:rPr>
        <w:t>.</w:t>
      </w:r>
    </w:p>
    <w:p w:rsidR="00000000" w:rsidRDefault="00F431E9">
      <w:pPr>
        <w:spacing w:line="1" w:lineRule="exact"/>
        <w:jc w:val="left"/>
        <w:rPr>
          <w:sz w:val="24"/>
        </w:rPr>
      </w:pPr>
    </w:p>
    <w:p w:rsidR="00000000" w:rsidRDefault="00F431E9">
      <w:pPr>
        <w:overflowPunct w:val="0"/>
        <w:spacing w:line="279" w:lineRule="auto"/>
        <w:ind w:firstLine="235"/>
        <w:rPr>
          <w:sz w:val="24"/>
        </w:rPr>
      </w:pPr>
      <w:r>
        <w:rPr>
          <w:rFonts w:eastAsia="Times New Roman"/>
          <w:sz w:val="16"/>
        </w:rPr>
        <w:t>The relevant quantitative analyses of normal tissue effect in the clinic (QUANTEC) papers were used for referenc</w:t>
      </w:r>
      <w:r>
        <w:rPr>
          <w:rFonts w:eastAsia="Times New Roman"/>
          <w:sz w:val="16"/>
        </w:rPr>
        <w:t xml:space="preserve">e when applicable as was the paper by Emami et al. </w:t>
      </w:r>
      <w:hyperlink w:anchor="page9" w:history="1">
        <w:r>
          <w:rPr>
            <w:rFonts w:eastAsia="Times New Roman"/>
            <w:color w:val="0080AD"/>
            <w:sz w:val="16"/>
          </w:rPr>
          <w:t>[3–7]</w:t>
        </w:r>
      </w:hyperlink>
      <w:r>
        <w:rPr>
          <w:rFonts w:eastAsia="Times New Roman"/>
          <w:sz w:val="16"/>
        </w:rPr>
        <w:t>.</w:t>
      </w:r>
    </w:p>
    <w:p w:rsidR="00000000" w:rsidRDefault="00F431E9">
      <w:pPr>
        <w:spacing w:line="184" w:lineRule="exact"/>
        <w:jc w:val="left"/>
        <w:rPr>
          <w:sz w:val="24"/>
        </w:rPr>
      </w:pPr>
    </w:p>
    <w:p w:rsidR="00000000" w:rsidRDefault="00F431E9">
      <w:pPr>
        <w:jc w:val="left"/>
        <w:rPr>
          <w:sz w:val="24"/>
        </w:rPr>
      </w:pPr>
      <w:r>
        <w:rPr>
          <w:rFonts w:eastAsia="Times New Roman"/>
          <w:sz w:val="13"/>
        </w:rPr>
        <w:t>Table 1</w:t>
      </w:r>
    </w:p>
    <w:p w:rsidR="00000000" w:rsidRDefault="00F431E9">
      <w:pPr>
        <w:spacing w:line="234" w:lineRule="exact"/>
        <w:jc w:val="left"/>
        <w:rPr>
          <w:sz w:val="24"/>
        </w:rPr>
      </w:pPr>
      <w:r>
        <w:rPr>
          <w:sz w:val="24"/>
        </w:rPr>
        <w:br w:type="column"/>
      </w:r>
    </w:p>
    <w:p w:rsidR="00000000" w:rsidRDefault="00F431E9">
      <w:pPr>
        <w:overflowPunct w:val="0"/>
        <w:spacing w:line="276" w:lineRule="auto"/>
        <w:ind w:firstLine="234"/>
        <w:rPr>
          <w:sz w:val="24"/>
        </w:rPr>
      </w:pPr>
      <w:r>
        <w:rPr>
          <w:rFonts w:eastAsia="Times New Roman"/>
          <w:sz w:val="16"/>
        </w:rPr>
        <w:t xml:space="preserve">The literature was then reviewed by 20 Radiation Oncology experts in the field of neuro oncology and a consensus was reached as depicted in </w:t>
      </w:r>
      <w:hyperlink w:anchor="page9" w:history="1">
        <w:r>
          <w:rPr>
            <w:rFonts w:eastAsia="Times New Roman"/>
            <w:color w:val="0080AD"/>
            <w:sz w:val="16"/>
          </w:rPr>
          <w:t>Table 1</w:t>
        </w:r>
        <w:r>
          <w:rPr>
            <w:rFonts w:eastAsia="Times New Roman"/>
            <w:sz w:val="16"/>
          </w:rPr>
          <w:t xml:space="preserve"> </w:t>
        </w:r>
      </w:hyperlink>
      <w:r>
        <w:rPr>
          <w:rFonts w:eastAsia="Times New Roman"/>
          <w:sz w:val="16"/>
        </w:rPr>
        <w:t xml:space="preserve">(see </w:t>
      </w:r>
      <w:hyperlink w:anchor="page9" w:history="1">
        <w:r>
          <w:rPr>
            <w:rFonts w:eastAsia="Times New Roman"/>
            <w:color w:val="0080AD"/>
            <w:sz w:val="16"/>
          </w:rPr>
          <w:t>Fig. 1</w:t>
        </w:r>
      </w:hyperlink>
      <w:r>
        <w:rPr>
          <w:rFonts w:eastAsia="Times New Roman"/>
          <w:sz w:val="16"/>
        </w:rPr>
        <w:t>). The units of all dose constraints are given in Gy regardless of the reported unit in the analysed data. Doses were recalculated to equivalent dose in 2 Gy-fractions (EQD2) using the formula:</w:t>
      </w:r>
    </w:p>
    <w:p w:rsidR="00000000" w:rsidRDefault="00F431E9">
      <w:pPr>
        <w:spacing w:line="136" w:lineRule="exact"/>
        <w:jc w:val="left"/>
        <w:rPr>
          <w:sz w:val="24"/>
        </w:rPr>
      </w:pPr>
    </w:p>
    <w:p w:rsidR="00000000" w:rsidRDefault="00F431E9">
      <w:pPr>
        <w:jc w:val="left"/>
        <w:rPr>
          <w:sz w:val="24"/>
        </w:rPr>
      </w:pPr>
      <w:r>
        <w:rPr>
          <w:rFonts w:eastAsia="Times New Roman"/>
          <w:sz w:val="16"/>
        </w:rPr>
        <w:t xml:space="preserve">EQD2 </w:t>
      </w:r>
      <w:r>
        <w:rPr>
          <w:rFonts w:ascii="Arial" w:eastAsia="Times New Roman" w:hAnsi="Arial"/>
          <w:sz w:val="16"/>
        </w:rPr>
        <w:t>¼</w:t>
      </w:r>
      <w:r>
        <w:rPr>
          <w:rFonts w:eastAsia="Times New Roman"/>
          <w:sz w:val="16"/>
        </w:rPr>
        <w:t xml:space="preserve"> </w:t>
      </w:r>
      <w:r>
        <w:rPr>
          <w:rFonts w:eastAsia="Times New Roman"/>
          <w:sz w:val="32"/>
          <w:vertAlign w:val="superscript"/>
        </w:rPr>
        <w:t>D</w:t>
      </w:r>
      <w:r>
        <w:rPr>
          <w:rFonts w:ascii="Arial" w:eastAsia="Times New Roman" w:hAnsi="Arial"/>
          <w:sz w:val="32"/>
          <w:vertAlign w:val="superscript"/>
        </w:rPr>
        <w:t>ð</w:t>
      </w:r>
      <w:r>
        <w:rPr>
          <w:rFonts w:eastAsia="Times New Roman"/>
          <w:sz w:val="32"/>
          <w:vertAlign w:val="superscript"/>
        </w:rPr>
        <w:t>d</w:t>
      </w:r>
      <w:r>
        <w:rPr>
          <w:rFonts w:eastAsia="Times New Roman"/>
          <w:sz w:val="16"/>
        </w:rPr>
        <w:t xml:space="preserve"> </w:t>
      </w:r>
      <w:r>
        <w:rPr>
          <w:rFonts w:ascii="Arial" w:eastAsia="Times New Roman" w:hAnsi="Arial"/>
          <w:sz w:val="32"/>
          <w:vertAlign w:val="superscript"/>
        </w:rPr>
        <w:t>þ</w:t>
      </w:r>
      <w:r>
        <w:rPr>
          <w:rFonts w:eastAsia="Times New Roman"/>
          <w:sz w:val="16"/>
        </w:rPr>
        <w:t xml:space="preserve"> </w:t>
      </w:r>
      <w:r>
        <w:rPr>
          <w:rFonts w:ascii="Arial" w:eastAsia="Times New Roman" w:hAnsi="Arial"/>
          <w:sz w:val="38"/>
          <w:vertAlign w:val="superscript"/>
        </w:rPr>
        <w:t>a</w:t>
      </w:r>
      <w:r>
        <w:rPr>
          <w:rFonts w:ascii="Arial" w:eastAsia="Times New Roman" w:hAnsi="Arial"/>
          <w:sz w:val="32"/>
          <w:vertAlign w:val="superscript"/>
        </w:rPr>
        <w:t>=bÞ</w:t>
      </w:r>
      <w:r>
        <w:rPr>
          <w:rFonts w:eastAsia="Times New Roman"/>
          <w:sz w:val="16"/>
        </w:rPr>
        <w:t xml:space="preserve"> with D : the total dose and d : the dose per fraction</w:t>
      </w:r>
    </w:p>
    <w:p w:rsidR="00000000" w:rsidRDefault="00F431E9">
      <w:pPr>
        <w:ind w:left="620"/>
        <w:jc w:val="left"/>
        <w:rPr>
          <w:sz w:val="24"/>
        </w:rPr>
      </w:pPr>
      <w:r>
        <w:rPr>
          <w:sz w:val="24"/>
        </w:rPr>
        <w:pict>
          <v:line id="Line 23" o:spid="_x0000_s1047" style="position:absolute;left:0;text-align:left;z-index:-251664384" from="28pt,-1.15pt" to="65.3pt,-1.15pt" strokeweight=".09981mm"/>
        </w:pict>
      </w:r>
      <w:r>
        <w:rPr>
          <w:sz w:val="24"/>
        </w:rPr>
        <w:cr/>
      </w:r>
      <w:r>
        <w:rPr>
          <w:sz w:val="24"/>
        </w:rPr>
        <w:cr/>
      </w:r>
      <w:r>
        <w:rPr>
          <w:sz w:val="24"/>
        </w:rPr>
        <w:t xml:space="preserve">
</w:t>
      </w:r>
      <w:r>
        <w:rPr>
          <w:rFonts w:ascii="Arial" w:hAnsi="Arial"/>
          <w:sz w:val="16"/>
        </w:rPr>
        <w:t>ð</w:t>
      </w:r>
      <w:r>
        <w:rPr>
          <w:rFonts w:eastAsia="Times New Roman"/>
          <w:sz w:val="16"/>
        </w:rPr>
        <w:t>2</w:t>
      </w:r>
      <w:r>
        <w:rPr>
          <w:rFonts w:ascii="Arial" w:hAnsi="Arial"/>
          <w:sz w:val="16"/>
        </w:rPr>
        <w:t xml:space="preserve"> þ </w:t>
      </w:r>
      <w:r>
        <w:rPr>
          <w:rFonts w:ascii="Arial" w:hAnsi="Arial"/>
          <w:sz w:val="19"/>
        </w:rPr>
        <w:t>a</w:t>
      </w:r>
      <w:r>
        <w:rPr>
          <w:rFonts w:ascii="Arial" w:hAnsi="Arial"/>
          <w:sz w:val="16"/>
        </w:rPr>
        <w:t>=bÞ</w:t>
      </w:r>
    </w:p>
    <w:p w:rsidR="00000000" w:rsidRDefault="00F431E9">
      <w:pPr>
        <w:spacing w:line="200" w:lineRule="exact"/>
        <w:jc w:val="left"/>
        <w:rPr>
          <w:sz w:val="24"/>
        </w:rPr>
      </w:pPr>
    </w:p>
    <w:p w:rsidR="00000000" w:rsidRDefault="00F431E9">
      <w:pPr>
        <w:spacing w:line="254" w:lineRule="exact"/>
        <w:jc w:val="left"/>
        <w:rPr>
          <w:sz w:val="24"/>
        </w:rPr>
      </w:pPr>
    </w:p>
    <w:p w:rsidR="00000000" w:rsidRDefault="00F431E9">
      <w:pPr>
        <w:jc w:val="left"/>
        <w:rPr>
          <w:sz w:val="24"/>
        </w:rPr>
      </w:pPr>
      <w:r>
        <w:rPr>
          <w:rFonts w:eastAsia="Times New Roman"/>
          <w:sz w:val="16"/>
        </w:rPr>
        <w:t>Results</w:t>
      </w:r>
    </w:p>
    <w:p w:rsidR="00000000" w:rsidRDefault="00F431E9">
      <w:pPr>
        <w:spacing w:line="236" w:lineRule="exact"/>
        <w:jc w:val="left"/>
        <w:rPr>
          <w:sz w:val="24"/>
        </w:rPr>
      </w:pPr>
    </w:p>
    <w:p w:rsidR="00000000" w:rsidRDefault="00F431E9">
      <w:pPr>
        <w:jc w:val="left"/>
        <w:rPr>
          <w:sz w:val="24"/>
        </w:rPr>
      </w:pPr>
      <w:r>
        <w:rPr>
          <w:rFonts w:eastAsia="Times New Roman"/>
          <w:sz w:val="16"/>
        </w:rPr>
        <w:t>Orbital structures</w:t>
      </w:r>
    </w:p>
    <w:p w:rsidR="00000000" w:rsidRDefault="00F431E9">
      <w:pPr>
        <w:spacing w:line="128" w:lineRule="exact"/>
        <w:jc w:val="left"/>
        <w:rPr>
          <w:sz w:val="24"/>
        </w:rPr>
      </w:pPr>
    </w:p>
    <w:p w:rsidR="00000000" w:rsidRDefault="00F431E9">
      <w:pPr>
        <w:overflowPunct w:val="0"/>
        <w:spacing w:line="275" w:lineRule="auto"/>
        <w:ind w:firstLine="234"/>
        <w:rPr>
          <w:sz w:val="24"/>
        </w:rPr>
      </w:pPr>
      <w:r>
        <w:rPr>
          <w:rFonts w:eastAsia="Times New Roman"/>
          <w:sz w:val="16"/>
        </w:rPr>
        <w:t>Radiotherapy of central nervous system (CNS) tumours often results in intentional or incidental irradiation of the different orbi-tal structures. This gi</w:t>
      </w:r>
      <w:r>
        <w:rPr>
          <w:rFonts w:eastAsia="Times New Roman"/>
          <w:sz w:val="16"/>
        </w:rPr>
        <w:t>ves rise to a wide variety of acute and late tox-icities ranging from transient erythema of the peri-orbital skin to permanent blindness. The complex anatomy and physiology of the eye make it a challenging task to give a full and detailed description of al</w:t>
      </w:r>
      <w:r>
        <w:rPr>
          <w:rFonts w:eastAsia="Times New Roman"/>
          <w:sz w:val="16"/>
        </w:rPr>
        <w:t>l toxicities, and literature on many of them is scarce.</w:t>
      </w:r>
    </w:p>
    <w:p w:rsidR="00000000" w:rsidRDefault="00F431E9">
      <w:pPr>
        <w:spacing w:line="200" w:lineRule="exact"/>
        <w:jc w:val="left"/>
        <w:rPr>
          <w:sz w:val="24"/>
        </w:rPr>
      </w:pPr>
    </w:p>
    <w:p w:rsidR="00000000" w:rsidRDefault="00F431E9">
      <w:pPr>
        <w:spacing w:line="272" w:lineRule="exact"/>
        <w:jc w:val="left"/>
        <w:rPr>
          <w:sz w:val="24"/>
        </w:rPr>
      </w:pPr>
    </w:p>
    <w:p w:rsidR="00000000" w:rsidRDefault="00F431E9">
      <w:pPr>
        <w:jc w:val="left"/>
        <w:rPr>
          <w:sz w:val="24"/>
        </w:rPr>
      </w:pPr>
      <w:r>
        <w:rPr>
          <w:rFonts w:eastAsia="Times New Roman"/>
          <w:sz w:val="16"/>
        </w:rPr>
        <w:t>Lacrimal gland</w:t>
      </w:r>
    </w:p>
    <w:p w:rsidR="00000000" w:rsidRDefault="00F431E9">
      <w:pPr>
        <w:spacing w:line="23" w:lineRule="exact"/>
        <w:jc w:val="left"/>
        <w:rPr>
          <w:sz w:val="24"/>
        </w:rPr>
      </w:pPr>
    </w:p>
    <w:p w:rsidR="00000000" w:rsidRDefault="00F431E9">
      <w:pPr>
        <w:overflowPunct w:val="0"/>
        <w:spacing w:line="274" w:lineRule="auto"/>
        <w:ind w:firstLine="234"/>
        <w:rPr>
          <w:sz w:val="24"/>
        </w:rPr>
      </w:pPr>
      <w:r>
        <w:rPr>
          <w:rFonts w:eastAsia="Times New Roman"/>
          <w:sz w:val="16"/>
        </w:rPr>
        <w:t>The lacrimal gland system includes the main lacrimal gland, accessory lacrimal glands and the lacrimal duct system. This sys-tem is crucial for the production of tears, however, othe</w:t>
      </w:r>
      <w:r>
        <w:rPr>
          <w:rFonts w:eastAsia="Times New Roman"/>
          <w:sz w:val="16"/>
        </w:rPr>
        <w:t xml:space="preserve">r struc-tures, such as Meibomian glands or the conjunctival goblet cells also contribute to the production of an adequate tear film. Radia-tion injury to any of these structures might result in xerophthalmia or the so-called dry eye syndrome (DES) and the </w:t>
      </w:r>
      <w:r>
        <w:rPr>
          <w:rFonts w:eastAsia="Times New Roman"/>
          <w:sz w:val="16"/>
        </w:rPr>
        <w:t xml:space="preserve">exact contribution of the individual components is difficult to establish </w:t>
      </w:r>
      <w:hyperlink w:anchor="page9" w:history="1">
        <w:r>
          <w:rPr>
            <w:rFonts w:eastAsia="Times New Roman"/>
            <w:color w:val="0080AD"/>
            <w:sz w:val="16"/>
          </w:rPr>
          <w:t>[8–10]</w:t>
        </w:r>
      </w:hyperlink>
      <w:r>
        <w:rPr>
          <w:rFonts w:eastAsia="Times New Roman"/>
          <w:sz w:val="16"/>
        </w:rPr>
        <w:t xml:space="preserve">. DES typically develops between 1 month and 3 years after irradiation, depending on the total dose and fractionation </w:t>
      </w:r>
      <w:hyperlink w:anchor="page9" w:history="1">
        <w:r>
          <w:rPr>
            <w:rFonts w:eastAsia="Times New Roman"/>
            <w:color w:val="0080AD"/>
            <w:sz w:val="16"/>
          </w:rPr>
          <w:t>[9,11]</w:t>
        </w:r>
      </w:hyperlink>
      <w:r>
        <w:rPr>
          <w:rFonts w:eastAsia="Times New Roman"/>
          <w:sz w:val="16"/>
        </w:rPr>
        <w:t>.</w:t>
      </w:r>
    </w:p>
    <w:p w:rsidR="00000000" w:rsidRDefault="00F431E9">
      <w:pPr>
        <w:spacing w:line="201" w:lineRule="exact"/>
        <w:jc w:val="left"/>
        <w:rPr>
          <w:sz w:val="24"/>
        </w:rPr>
      </w:pPr>
    </w:p>
    <w:p w:rsidR="00000000" w:rsidRDefault="00F431E9">
      <w:pPr>
        <w:overflowPunct w:val="0"/>
        <w:spacing w:line="276" w:lineRule="auto"/>
        <w:ind w:firstLine="234"/>
        <w:rPr>
          <w:sz w:val="24"/>
        </w:rPr>
      </w:pPr>
      <w:r>
        <w:rPr>
          <w:rFonts w:eastAsia="Times New Roman"/>
          <w:sz w:val="16"/>
        </w:rPr>
        <w:t xml:space="preserve">In the common terminology criteria for adverse events (CTCAE) version 4.0 three grades of xerophthalmia are identified ranging from mild symptoms up to a decrease in visual acuity (&lt;20/40); limiting self-care activities of daily life (ADL) </w:t>
      </w:r>
      <w:hyperlink w:anchor="page9" w:history="1">
        <w:r>
          <w:rPr>
            <w:rFonts w:eastAsia="Times New Roman"/>
            <w:color w:val="0080AD"/>
            <w:sz w:val="16"/>
          </w:rPr>
          <w:t>[12]</w:t>
        </w:r>
      </w:hyperlink>
      <w:r>
        <w:rPr>
          <w:rFonts w:eastAsia="Times New Roman"/>
          <w:sz w:val="16"/>
        </w:rPr>
        <w:t xml:space="preserve">. DES can lead to damage of the conjunctival and corneal epithelium (keratocon-junctivitis sicca), which causes pain, foreign body sensation, photo-phobia, corneal ulceration, and even perforation </w:t>
      </w:r>
      <w:hyperlink w:anchor="page9" w:history="1">
        <w:r>
          <w:rPr>
            <w:rFonts w:eastAsia="Times New Roman"/>
            <w:color w:val="0080AD"/>
            <w:sz w:val="16"/>
          </w:rPr>
          <w:t>[13]</w:t>
        </w:r>
      </w:hyperlink>
      <w:r>
        <w:rPr>
          <w:rFonts w:eastAsia="Times New Roman"/>
          <w:sz w:val="16"/>
        </w:rPr>
        <w:t>.</w:t>
      </w:r>
    </w:p>
    <w:p w:rsidR="00000000" w:rsidRDefault="00F431E9">
      <w:pPr>
        <w:spacing w:line="195" w:lineRule="exact"/>
        <w:jc w:val="left"/>
        <w:rPr>
          <w:sz w:val="24"/>
        </w:rPr>
      </w:pPr>
    </w:p>
    <w:p w:rsidR="00000000" w:rsidRDefault="00F431E9">
      <w:pPr>
        <w:overflowPunct w:val="0"/>
        <w:spacing w:line="262" w:lineRule="auto"/>
        <w:ind w:firstLine="234"/>
        <w:rPr>
          <w:sz w:val="24"/>
        </w:rPr>
      </w:pPr>
      <w:r>
        <w:rPr>
          <w:rFonts w:eastAsia="Times New Roman"/>
          <w:sz w:val="16"/>
        </w:rPr>
        <w:t>Several retro</w:t>
      </w:r>
      <w:r>
        <w:rPr>
          <w:rFonts w:eastAsia="Times New Roman"/>
          <w:sz w:val="16"/>
        </w:rPr>
        <w:t>spective series have demonstrated that the risk of atrophy and fibrosis of the lacrimal gland increases sharply with the delivered dose (</w:t>
      </w:r>
      <w:hyperlink w:anchor="page9" w:history="1">
        <w:r>
          <w:rPr>
            <w:rFonts w:eastAsia="Times New Roman"/>
            <w:color w:val="0080AD"/>
            <w:sz w:val="16"/>
          </w:rPr>
          <w:t>Supplementary Table I</w:t>
        </w:r>
      </w:hyperlink>
      <w:r>
        <w:rPr>
          <w:rFonts w:eastAsia="Times New Roman"/>
          <w:sz w:val="16"/>
        </w:rPr>
        <w:t xml:space="preserve">) </w:t>
      </w:r>
      <w:hyperlink w:anchor="page9" w:history="1">
        <w:r>
          <w:rPr>
            <w:rFonts w:eastAsia="Times New Roman"/>
            <w:color w:val="0080AD"/>
            <w:sz w:val="16"/>
          </w:rPr>
          <w:t>[9,11,14–16]</w:t>
        </w:r>
      </w:hyperlink>
      <w:r>
        <w:rPr>
          <w:rFonts w:eastAsia="Times New Roman"/>
          <w:sz w:val="16"/>
        </w:rPr>
        <w:t>. Although the exact clinical endp</w:t>
      </w:r>
      <w:r>
        <w:rPr>
          <w:rFonts w:eastAsia="Times New Roman"/>
          <w:sz w:val="16"/>
        </w:rPr>
        <w:t>oints in these series are not always clearly defined, they agree on a sigmoidal dose–response curve for DES with a negligible risk at absolute maximum doses (D</w:t>
      </w:r>
      <w:r>
        <w:rPr>
          <w:rFonts w:eastAsia="Times New Roman"/>
          <w:vertAlign w:val="subscript"/>
        </w:rPr>
        <w:t>max</w:t>
      </w:r>
      <w:r>
        <w:rPr>
          <w:rFonts w:eastAsia="Times New Roman"/>
          <w:sz w:val="16"/>
        </w:rPr>
        <w:t>) &lt; 30 Gy,</w:t>
      </w:r>
    </w:p>
    <w:p w:rsidR="00000000" w:rsidRDefault="00F431E9">
      <w:pPr>
        <w:jc w:val="left"/>
        <w:rPr>
          <w:sz w:val="24"/>
        </w:rPr>
        <w:sectPr w:rsidR="00000000">
          <w:type w:val="continuous"/>
          <w:pgSz w:w="11900" w:h="15874"/>
          <w:pgMar w:top="932" w:right="640" w:bottom="469" w:left="860" w:header="720" w:footer="720" w:gutter="0"/>
          <w:cols w:num="2" w:space="360" w:equalWidth="0">
            <w:col w:w="7160" w:space="360"/>
            <w:col w:w="5020"/>
          </w:cols>
        </w:sectPr>
      </w:pPr>
    </w:p>
    <w:p w:rsidR="00000000" w:rsidRDefault="00F431E9">
      <w:pPr>
        <w:spacing w:line="189" w:lineRule="exact"/>
        <w:jc w:val="left"/>
        <w:rPr>
          <w:sz w:val="24"/>
        </w:rPr>
      </w:pPr>
    </w:p>
    <w:tbl>
      <w:tblPr>
        <w:tblW w:w="0" w:type="auto"/>
        <w:tblInd w:w="0" w:type="dxa"/>
        <w:tblLayout w:type="fixed"/>
        <w:tblCellMar>
          <w:left w:w="0" w:type="dxa"/>
          <w:right w:w="0" w:type="dxa"/>
        </w:tblCellMar>
        <w:tblLook w:val="0000"/>
      </w:tblPr>
      <w:tblGrid>
        <w:gridCol w:w="2780"/>
        <w:gridCol w:w="1680"/>
        <w:gridCol w:w="2620"/>
        <w:gridCol w:w="3320"/>
        <w:gridCol w:w="860"/>
      </w:tblGrid>
      <w:tr w:rsidR="00000000">
        <w:trPr>
          <w:trHeight w:val="65"/>
        </w:trPr>
        <w:tc>
          <w:tcPr>
            <w:tcW w:w="2780" w:type="dxa"/>
            <w:tcBorders>
              <w:top w:val="nil"/>
              <w:left w:val="nil"/>
              <w:bottom w:val="single" w:sz="8" w:space="0" w:color="auto"/>
              <w:right w:val="nil"/>
              <w:tl2br w:val="nil"/>
              <w:tr2bl w:val="nil"/>
            </w:tcBorders>
            <w:shd w:val="clear" w:color="auto" w:fill="F2F2F2"/>
            <w:vAlign w:val="bottom"/>
          </w:tcPr>
          <w:p w:rsidR="00000000" w:rsidRDefault="00F431E9">
            <w:pPr>
              <w:jc w:val="left"/>
              <w:rPr>
                <w:sz w:val="5"/>
              </w:rPr>
            </w:pPr>
          </w:p>
        </w:tc>
        <w:tc>
          <w:tcPr>
            <w:tcW w:w="1680" w:type="dxa"/>
            <w:tcBorders>
              <w:top w:val="nil"/>
              <w:left w:val="nil"/>
              <w:bottom w:val="single" w:sz="8" w:space="0" w:color="auto"/>
              <w:right w:val="nil"/>
              <w:tl2br w:val="nil"/>
              <w:tr2bl w:val="nil"/>
            </w:tcBorders>
            <w:shd w:val="clear" w:color="auto" w:fill="F2F2F2"/>
            <w:vAlign w:val="bottom"/>
          </w:tcPr>
          <w:p w:rsidR="00000000" w:rsidRDefault="00F431E9">
            <w:pPr>
              <w:jc w:val="left"/>
              <w:rPr>
                <w:sz w:val="5"/>
              </w:rPr>
            </w:pPr>
          </w:p>
        </w:tc>
        <w:tc>
          <w:tcPr>
            <w:tcW w:w="2620" w:type="dxa"/>
            <w:tcBorders>
              <w:top w:val="nil"/>
              <w:left w:val="nil"/>
              <w:bottom w:val="single" w:sz="8" w:space="0" w:color="auto"/>
              <w:right w:val="nil"/>
              <w:tl2br w:val="nil"/>
              <w:tr2bl w:val="nil"/>
            </w:tcBorders>
            <w:shd w:val="clear" w:color="auto" w:fill="F2F2F2"/>
            <w:vAlign w:val="bottom"/>
          </w:tcPr>
          <w:p w:rsidR="00000000" w:rsidRDefault="00F431E9">
            <w:pPr>
              <w:jc w:val="left"/>
              <w:rPr>
                <w:sz w:val="5"/>
              </w:rPr>
            </w:pPr>
          </w:p>
        </w:tc>
        <w:tc>
          <w:tcPr>
            <w:tcW w:w="3320" w:type="dxa"/>
            <w:tcBorders>
              <w:top w:val="nil"/>
              <w:left w:val="nil"/>
              <w:bottom w:val="single" w:sz="8" w:space="0" w:color="auto"/>
              <w:right w:val="nil"/>
              <w:tl2br w:val="nil"/>
              <w:tr2bl w:val="nil"/>
            </w:tcBorders>
            <w:shd w:val="clear" w:color="auto" w:fill="F2F2F2"/>
            <w:vAlign w:val="bottom"/>
          </w:tcPr>
          <w:p w:rsidR="00000000" w:rsidRDefault="00F431E9">
            <w:pPr>
              <w:jc w:val="left"/>
              <w:rPr>
                <w:sz w:val="5"/>
              </w:rPr>
            </w:pP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232"/>
        </w:trPr>
        <w:tc>
          <w:tcPr>
            <w:tcW w:w="2780" w:type="dxa"/>
            <w:tcBorders>
              <w:top w:val="nil"/>
              <w:left w:val="nil"/>
              <w:bottom w:val="single" w:sz="8" w:space="0" w:color="F2F2F2"/>
              <w:right w:val="nil"/>
              <w:tl2br w:val="nil"/>
              <w:tr2bl w:val="nil"/>
            </w:tcBorders>
            <w:shd w:val="clear" w:color="auto" w:fill="F2F2F2"/>
            <w:vAlign w:val="bottom"/>
          </w:tcPr>
          <w:p w:rsidR="00000000" w:rsidRDefault="00F431E9">
            <w:pPr>
              <w:ind w:left="160"/>
              <w:jc w:val="left"/>
              <w:rPr>
                <w:sz w:val="24"/>
              </w:rPr>
            </w:pPr>
            <w:r>
              <w:rPr>
                <w:rFonts w:eastAsia="Times New Roman"/>
                <w:sz w:val="13"/>
              </w:rPr>
              <w:t>Organ</w:t>
            </w:r>
          </w:p>
        </w:tc>
        <w:tc>
          <w:tcPr>
            <w:tcW w:w="1680" w:type="dxa"/>
            <w:tcBorders>
              <w:top w:val="nil"/>
              <w:left w:val="nil"/>
              <w:bottom w:val="single" w:sz="8" w:space="0" w:color="F2F2F2"/>
              <w:right w:val="nil"/>
              <w:tl2br w:val="nil"/>
              <w:tr2bl w:val="nil"/>
            </w:tcBorders>
            <w:shd w:val="clear" w:color="auto" w:fill="F2F2F2"/>
            <w:vAlign w:val="bottom"/>
          </w:tcPr>
          <w:p w:rsidR="00000000" w:rsidRDefault="00F431E9">
            <w:pPr>
              <w:spacing w:line="172" w:lineRule="exact"/>
              <w:ind w:left="600"/>
              <w:jc w:val="left"/>
              <w:rPr>
                <w:sz w:val="24"/>
              </w:rPr>
            </w:pPr>
            <w:r>
              <w:rPr>
                <w:rFonts w:ascii="Arial" w:hAnsi="Arial"/>
                <w:sz w:val="15"/>
              </w:rPr>
              <w:t>a</w:t>
            </w:r>
            <w:r>
              <w:rPr>
                <w:rFonts w:eastAsia="Times New Roman"/>
                <w:sz w:val="12"/>
              </w:rPr>
              <w:t>/</w:t>
            </w:r>
            <w:r>
              <w:rPr>
                <w:rFonts w:ascii="Arial" w:hAnsi="Arial"/>
                <w:sz w:val="12"/>
              </w:rPr>
              <w:t>b</w:t>
            </w:r>
            <w:r>
              <w:rPr>
                <w:rFonts w:ascii="Arial" w:hAnsi="Arial"/>
                <w:sz w:val="15"/>
              </w:rPr>
              <w:t xml:space="preserve"> </w:t>
            </w:r>
            <w:r>
              <w:rPr>
                <w:rFonts w:eastAsia="Times New Roman"/>
                <w:sz w:val="12"/>
              </w:rPr>
              <w:t>(Gy)</w:t>
            </w:r>
          </w:p>
        </w:tc>
        <w:tc>
          <w:tcPr>
            <w:tcW w:w="2620" w:type="dxa"/>
            <w:tcBorders>
              <w:top w:val="nil"/>
              <w:left w:val="nil"/>
              <w:bottom w:val="single" w:sz="8" w:space="0" w:color="F2F2F2"/>
              <w:right w:val="nil"/>
              <w:tl2br w:val="nil"/>
              <w:tr2bl w:val="nil"/>
            </w:tcBorders>
            <w:shd w:val="clear" w:color="auto" w:fill="F2F2F2"/>
            <w:vAlign w:val="bottom"/>
          </w:tcPr>
          <w:p w:rsidR="00000000" w:rsidRDefault="00F431E9">
            <w:pPr>
              <w:ind w:left="600"/>
              <w:jc w:val="left"/>
              <w:rPr>
                <w:sz w:val="24"/>
              </w:rPr>
            </w:pPr>
            <w:r>
              <w:rPr>
                <w:rFonts w:eastAsia="Times New Roman"/>
                <w:sz w:val="13"/>
              </w:rPr>
              <w:t>Dose constraint EQD2</w:t>
            </w:r>
          </w:p>
        </w:tc>
        <w:tc>
          <w:tcPr>
            <w:tcW w:w="3320" w:type="dxa"/>
            <w:tcBorders>
              <w:top w:val="nil"/>
              <w:left w:val="nil"/>
              <w:bottom w:val="single" w:sz="8" w:space="0" w:color="F2F2F2"/>
              <w:right w:val="nil"/>
              <w:tl2br w:val="nil"/>
              <w:tr2bl w:val="nil"/>
            </w:tcBorders>
            <w:shd w:val="clear" w:color="auto" w:fill="F2F2F2"/>
            <w:vAlign w:val="bottom"/>
          </w:tcPr>
          <w:p w:rsidR="00000000" w:rsidRDefault="00F431E9">
            <w:pPr>
              <w:ind w:left="580"/>
              <w:jc w:val="left"/>
              <w:rPr>
                <w:sz w:val="24"/>
              </w:rPr>
            </w:pPr>
            <w:r>
              <w:rPr>
                <w:rFonts w:eastAsia="Times New Roman"/>
                <w:sz w:val="13"/>
              </w:rPr>
              <w:t>Toxicity</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211"/>
        </w:trPr>
        <w:tc>
          <w:tcPr>
            <w:tcW w:w="2780" w:type="dxa"/>
            <w:tcBorders>
              <w:top w:val="single" w:sz="8" w:space="0" w:color="auto"/>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Brain </w:t>
            </w:r>
            <w:hyperlink w:anchor="page9" w:history="1">
              <w:r>
                <w:rPr>
                  <w:rFonts w:eastAsia="Times New Roman"/>
                  <w:color w:val="0080AD"/>
                  <w:sz w:val="13"/>
                </w:rPr>
                <w:t>[7,86–89]</w:t>
              </w:r>
            </w:hyperlink>
          </w:p>
        </w:tc>
        <w:tc>
          <w:tcPr>
            <w:tcW w:w="1680" w:type="dxa"/>
            <w:tcBorders>
              <w:top w:val="single" w:sz="8" w:space="0" w:color="auto"/>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2</w:t>
            </w:r>
          </w:p>
        </w:tc>
        <w:tc>
          <w:tcPr>
            <w:tcW w:w="2620" w:type="dxa"/>
            <w:tcBorders>
              <w:top w:val="single" w:sz="8" w:space="0" w:color="auto"/>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V</w:t>
            </w:r>
            <w:r>
              <w:rPr>
                <w:rFonts w:eastAsia="Times New Roman"/>
                <w:sz w:val="17"/>
                <w:vertAlign w:val="subscript"/>
              </w:rPr>
              <w:t>60 Gy</w:t>
            </w:r>
            <w:r>
              <w:rPr>
                <w:rFonts w:eastAsia="Times New Roman"/>
                <w:sz w:val="13"/>
              </w:rPr>
              <w:t xml:space="preserve">    3 cc</w:t>
            </w:r>
          </w:p>
        </w:tc>
        <w:tc>
          <w:tcPr>
            <w:tcW w:w="3320" w:type="dxa"/>
            <w:tcBorders>
              <w:top w:val="single" w:sz="8" w:space="0" w:color="auto"/>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Symptomatic brain necrosis</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Brainstem </w:t>
            </w:r>
            <w:hyperlink w:anchor="page9" w:history="1">
              <w:r>
                <w:rPr>
                  <w:rFonts w:eastAsia="Times New Roman"/>
                  <w:color w:val="0080AD"/>
                  <w:sz w:val="13"/>
                </w:rPr>
                <w:t>[52,92–100]</w:t>
              </w:r>
            </w:hyperlink>
          </w:p>
        </w:tc>
        <w:tc>
          <w:tcPr>
            <w:tcW w:w="1680" w:type="dxa"/>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2</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Surface D</w:t>
            </w:r>
            <w:r>
              <w:rPr>
                <w:rFonts w:eastAsia="Times New Roman"/>
                <w:sz w:val="17"/>
                <w:vertAlign w:val="subscript"/>
              </w:rPr>
              <w:t>0.03 cc</w:t>
            </w:r>
            <w:r>
              <w:rPr>
                <w:rFonts w:eastAsia="Times New Roman"/>
                <w:sz w:val="13"/>
              </w:rPr>
              <w:t xml:space="preserve">    60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Permanent cranial neuropathy or necrosis</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jc w:val="left"/>
              <w:rPr>
                <w:sz w:val="14"/>
              </w:rPr>
            </w:pPr>
          </w:p>
        </w:tc>
        <w:tc>
          <w:tcPr>
            <w:tcW w:w="1680" w:type="dxa"/>
            <w:tcBorders>
              <w:top w:val="nil"/>
              <w:left w:val="nil"/>
              <w:bottom w:val="nil"/>
              <w:right w:val="nil"/>
              <w:tl2br w:val="nil"/>
              <w:tr2bl w:val="nil"/>
            </w:tcBorders>
            <w:shd w:val="clear" w:color="auto" w:fill="F2F2F2"/>
            <w:vAlign w:val="bottom"/>
          </w:tcPr>
          <w:p w:rsidR="00000000" w:rsidRDefault="00F431E9">
            <w:pPr>
              <w:jc w:val="left"/>
              <w:rPr>
                <w:sz w:val="14"/>
              </w:rPr>
            </w:pP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Interior D</w:t>
            </w:r>
            <w:r>
              <w:rPr>
                <w:rFonts w:eastAsia="Times New Roman"/>
                <w:sz w:val="17"/>
                <w:vertAlign w:val="subscript"/>
              </w:rPr>
              <w:t>0.03 cc</w:t>
            </w:r>
            <w:r>
              <w:rPr>
                <w:rFonts w:eastAsia="Times New Roman"/>
                <w:sz w:val="13"/>
              </w:rPr>
              <w:t xml:space="preserve">    54 Gy</w:t>
            </w:r>
          </w:p>
        </w:tc>
        <w:tc>
          <w:tcPr>
            <w:tcW w:w="3320" w:type="dxa"/>
            <w:tcBorders>
              <w:top w:val="nil"/>
              <w:left w:val="nil"/>
              <w:bottom w:val="nil"/>
              <w:right w:val="nil"/>
              <w:tl2br w:val="nil"/>
              <w:tr2bl w:val="nil"/>
            </w:tcBorders>
            <w:shd w:val="clear" w:color="auto" w:fill="F2F2F2"/>
            <w:vAlign w:val="bottom"/>
          </w:tcPr>
          <w:p w:rsidR="00000000" w:rsidRDefault="00F431E9">
            <w:pPr>
              <w:jc w:val="left"/>
              <w:rPr>
                <w:sz w:val="14"/>
              </w:rPr>
            </w:pP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Chiasm &amp; Optic nerve </w:t>
            </w:r>
            <w:hyperlink w:anchor="page9" w:history="1">
              <w:r>
                <w:rPr>
                  <w:rFonts w:eastAsia="Times New Roman"/>
                  <w:color w:val="0080AD"/>
                  <w:sz w:val="13"/>
                </w:rPr>
                <w:t>[2</w:t>
              </w:r>
              <w:r>
                <w:rPr>
                  <w:rFonts w:eastAsia="Times New Roman"/>
                  <w:color w:val="0080AD"/>
                  <w:sz w:val="13"/>
                </w:rPr>
                <w:t>3,48–54]</w:t>
              </w:r>
            </w:hyperlink>
          </w:p>
        </w:tc>
        <w:tc>
          <w:tcPr>
            <w:tcW w:w="1680" w:type="dxa"/>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2</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0.03 cc</w:t>
            </w:r>
            <w:r>
              <w:rPr>
                <w:rFonts w:eastAsia="Times New Roman"/>
                <w:sz w:val="13"/>
              </w:rPr>
              <w:t xml:space="preserve">    55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Optic neuropathy</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Cochlea </w:t>
            </w:r>
            <w:hyperlink w:anchor="page9" w:history="1">
              <w:r>
                <w:rPr>
                  <w:rFonts w:eastAsia="Times New Roman"/>
                  <w:color w:val="0080AD"/>
                  <w:sz w:val="13"/>
                </w:rPr>
                <w:t>[57–60,64–66]</w:t>
              </w:r>
            </w:hyperlink>
          </w:p>
        </w:tc>
        <w:tc>
          <w:tcPr>
            <w:tcW w:w="1680" w:type="dxa"/>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3</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mean</w:t>
            </w:r>
            <w:r>
              <w:rPr>
                <w:rFonts w:eastAsia="Times New Roman"/>
                <w:sz w:val="13"/>
              </w:rPr>
              <w:t xml:space="preserve">    45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Hearing loss</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vMerge w:val="restart"/>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Cornea </w:t>
            </w:r>
            <w:hyperlink w:anchor="page9" w:history="1">
              <w:r>
                <w:rPr>
                  <w:rFonts w:eastAsia="Times New Roman"/>
                  <w:color w:val="0080AD"/>
                  <w:sz w:val="13"/>
                </w:rPr>
                <w:t>[13,21]</w:t>
              </w:r>
            </w:hyperlink>
          </w:p>
        </w:tc>
        <w:tc>
          <w:tcPr>
            <w:tcW w:w="1680" w:type="dxa"/>
            <w:vMerge w:val="restart"/>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3</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mean</w:t>
            </w:r>
            <w:r>
              <w:rPr>
                <w:rFonts w:eastAsia="Times New Roman"/>
                <w:sz w:val="13"/>
              </w:rPr>
              <w:t xml:space="preserve">    32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Tinnitus</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2"/>
        </w:trPr>
        <w:tc>
          <w:tcPr>
            <w:tcW w:w="2780" w:type="dxa"/>
            <w:vMerge/>
            <w:tcBorders>
              <w:top w:val="nil"/>
              <w:left w:val="nil"/>
              <w:bottom w:val="nil"/>
              <w:right w:val="nil"/>
              <w:tl2br w:val="nil"/>
              <w:tr2bl w:val="nil"/>
            </w:tcBorders>
            <w:shd w:val="clear" w:color="auto" w:fill="F2F2F2"/>
            <w:vAlign w:val="bottom"/>
          </w:tcPr>
          <w:p w:rsidR="00000000" w:rsidRDefault="00F431E9">
            <w:pPr>
              <w:jc w:val="left"/>
              <w:rPr>
                <w:sz w:val="14"/>
              </w:rPr>
            </w:pPr>
          </w:p>
        </w:tc>
        <w:tc>
          <w:tcPr>
            <w:tcW w:w="1680" w:type="dxa"/>
            <w:vMerge/>
            <w:tcBorders>
              <w:top w:val="nil"/>
              <w:left w:val="nil"/>
              <w:bottom w:val="nil"/>
              <w:right w:val="nil"/>
              <w:tl2br w:val="nil"/>
              <w:tr2bl w:val="nil"/>
            </w:tcBorders>
            <w:shd w:val="clear" w:color="auto" w:fill="F2F2F2"/>
            <w:vAlign w:val="bottom"/>
          </w:tcPr>
          <w:p w:rsidR="00000000" w:rsidRDefault="00F431E9">
            <w:pPr>
              <w:jc w:val="left"/>
              <w:rPr>
                <w:sz w:val="14"/>
              </w:rPr>
            </w:pPr>
          </w:p>
        </w:tc>
        <w:tc>
          <w:tcPr>
            <w:tcW w:w="2620" w:type="dxa"/>
            <w:tcBorders>
              <w:top w:val="nil"/>
              <w:left w:val="nil"/>
              <w:bottom w:val="nil"/>
              <w:right w:val="nil"/>
              <w:tl2br w:val="nil"/>
              <w:tr2bl w:val="nil"/>
            </w:tcBorders>
            <w:shd w:val="clear" w:color="auto" w:fill="F2F2F2"/>
            <w:vAlign w:val="bottom"/>
          </w:tcPr>
          <w:p w:rsidR="00000000" w:rsidRDefault="00F431E9">
            <w:pPr>
              <w:spacing w:line="172" w:lineRule="exact"/>
              <w:ind w:left="600"/>
              <w:jc w:val="left"/>
              <w:rPr>
                <w:sz w:val="24"/>
              </w:rPr>
            </w:pPr>
            <w:r>
              <w:rPr>
                <w:rFonts w:eastAsia="Times New Roman"/>
                <w:sz w:val="13"/>
              </w:rPr>
              <w:t>D</w:t>
            </w:r>
            <w:r>
              <w:rPr>
                <w:rFonts w:eastAsia="Times New Roman"/>
                <w:sz w:val="17"/>
                <w:vertAlign w:val="subscript"/>
              </w:rPr>
              <w:t>0.03 cc</w:t>
            </w:r>
            <w:r>
              <w:rPr>
                <w:rFonts w:eastAsia="Times New Roman"/>
                <w:sz w:val="13"/>
              </w:rPr>
              <w:t xml:space="preserve">    50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Erosion/ulceration</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Hippocampus </w:t>
            </w:r>
            <w:hyperlink w:anchor="page9" w:history="1">
              <w:r>
                <w:rPr>
                  <w:rFonts w:eastAsia="Times New Roman"/>
                  <w:color w:val="0080AD"/>
                  <w:sz w:val="13"/>
                </w:rPr>
                <w:t>[107,108]</w:t>
              </w:r>
            </w:hyperlink>
          </w:p>
        </w:tc>
        <w:tc>
          <w:tcPr>
            <w:tcW w:w="1680" w:type="dxa"/>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2</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40%</w:t>
            </w:r>
            <w:r>
              <w:rPr>
                <w:rFonts w:eastAsia="Times New Roman"/>
                <w:sz w:val="13"/>
              </w:rPr>
              <w:t xml:space="preserve">    7.3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Memory loss</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Lacrimal gland </w:t>
            </w:r>
            <w:hyperlink w:anchor="page9" w:history="1">
              <w:r>
                <w:rPr>
                  <w:rFonts w:eastAsia="Times New Roman"/>
                  <w:color w:val="0080AD"/>
                  <w:sz w:val="13"/>
                </w:rPr>
                <w:t>[9,11,14–16]</w:t>
              </w:r>
            </w:hyperlink>
          </w:p>
        </w:tc>
        <w:tc>
          <w:tcPr>
            <w:tcW w:w="1680" w:type="dxa"/>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3</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mean</w:t>
            </w:r>
            <w:r>
              <w:rPr>
                <w:rFonts w:eastAsia="Times New Roman"/>
                <w:sz w:val="13"/>
              </w:rPr>
              <w:t xml:space="preserve">    25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Keratoconjunctivitis sicca</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Lens </w:t>
            </w:r>
            <w:hyperlink w:anchor="page9" w:history="1">
              <w:r>
                <w:rPr>
                  <w:rFonts w:eastAsia="Times New Roman"/>
                  <w:color w:val="0080AD"/>
                  <w:sz w:val="13"/>
                </w:rPr>
                <w:t>[36,37]</w:t>
              </w:r>
            </w:hyperlink>
          </w:p>
        </w:tc>
        <w:tc>
          <w:tcPr>
            <w:tcW w:w="1680" w:type="dxa"/>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1</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0.03 cc</w:t>
            </w:r>
            <w:r>
              <w:rPr>
                <w:rFonts w:eastAsia="Times New Roman"/>
                <w:sz w:val="13"/>
              </w:rPr>
              <w:t xml:space="preserve">    10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Cataract</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Pituitary </w:t>
            </w:r>
            <w:hyperlink w:anchor="page9" w:history="1">
              <w:r>
                <w:rPr>
                  <w:rFonts w:eastAsia="Times New Roman"/>
                  <w:color w:val="0080AD"/>
                  <w:sz w:val="13"/>
                </w:rPr>
                <w:t>[66,76,79,80]</w:t>
              </w:r>
            </w:hyperlink>
          </w:p>
        </w:tc>
        <w:tc>
          <w:tcPr>
            <w:tcW w:w="1680" w:type="dxa"/>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2</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mean</w:t>
            </w:r>
            <w:r>
              <w:rPr>
                <w:rFonts w:eastAsia="Times New Roman"/>
                <w:sz w:val="13"/>
              </w:rPr>
              <w:t xml:space="preserve">    45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Panhypopituitarism</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vMerge w:val="restart"/>
            <w:tcBorders>
              <w:top w:val="nil"/>
              <w:left w:val="nil"/>
              <w:bottom w:val="nil"/>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Retina </w:t>
            </w:r>
            <w:hyperlink w:anchor="page9" w:history="1">
              <w:r>
                <w:rPr>
                  <w:rFonts w:eastAsia="Times New Roman"/>
                  <w:color w:val="0080AD"/>
                  <w:sz w:val="13"/>
                </w:rPr>
                <w:t>[13,23,26,31]</w:t>
              </w:r>
            </w:hyperlink>
          </w:p>
        </w:tc>
        <w:tc>
          <w:tcPr>
            <w:tcW w:w="1680" w:type="dxa"/>
            <w:vMerge w:val="restart"/>
            <w:tcBorders>
              <w:top w:val="nil"/>
              <w:left w:val="nil"/>
              <w:bottom w:val="nil"/>
              <w:right w:val="nil"/>
              <w:tl2br w:val="nil"/>
              <w:tr2bl w:val="nil"/>
            </w:tcBorders>
            <w:shd w:val="clear" w:color="auto" w:fill="F2F2F2"/>
            <w:vAlign w:val="bottom"/>
          </w:tcPr>
          <w:p w:rsidR="00000000" w:rsidRDefault="00F431E9">
            <w:pPr>
              <w:ind w:left="600"/>
              <w:jc w:val="left"/>
              <w:rPr>
                <w:sz w:val="24"/>
              </w:rPr>
            </w:pPr>
            <w:r>
              <w:rPr>
                <w:rFonts w:eastAsia="Times New Roman"/>
                <w:sz w:val="13"/>
              </w:rPr>
              <w:t>3</w:t>
            </w: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mean</w:t>
            </w:r>
            <w:r>
              <w:rPr>
                <w:rFonts w:eastAsia="Times New Roman"/>
                <w:sz w:val="13"/>
              </w:rPr>
              <w:t xml:space="preserve">    20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Growth hormone deficiency</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171"/>
        </w:trPr>
        <w:tc>
          <w:tcPr>
            <w:tcW w:w="2780" w:type="dxa"/>
            <w:vMerge/>
            <w:tcBorders>
              <w:top w:val="nil"/>
              <w:left w:val="nil"/>
              <w:bottom w:val="nil"/>
              <w:right w:val="nil"/>
              <w:tl2br w:val="nil"/>
              <w:tr2bl w:val="nil"/>
            </w:tcBorders>
            <w:shd w:val="clear" w:color="auto" w:fill="F2F2F2"/>
            <w:vAlign w:val="bottom"/>
          </w:tcPr>
          <w:p w:rsidR="00000000" w:rsidRDefault="00F431E9">
            <w:pPr>
              <w:jc w:val="left"/>
              <w:rPr>
                <w:sz w:val="14"/>
              </w:rPr>
            </w:pPr>
          </w:p>
        </w:tc>
        <w:tc>
          <w:tcPr>
            <w:tcW w:w="1680" w:type="dxa"/>
            <w:vMerge/>
            <w:tcBorders>
              <w:top w:val="nil"/>
              <w:left w:val="nil"/>
              <w:bottom w:val="nil"/>
              <w:right w:val="nil"/>
              <w:tl2br w:val="nil"/>
              <w:tr2bl w:val="nil"/>
            </w:tcBorders>
            <w:shd w:val="clear" w:color="auto" w:fill="F2F2F2"/>
            <w:vAlign w:val="bottom"/>
          </w:tcPr>
          <w:p w:rsidR="00000000" w:rsidRDefault="00F431E9">
            <w:pPr>
              <w:jc w:val="left"/>
              <w:rPr>
                <w:sz w:val="14"/>
              </w:rPr>
            </w:pPr>
          </w:p>
        </w:tc>
        <w:tc>
          <w:tcPr>
            <w:tcW w:w="2620" w:type="dxa"/>
            <w:tcBorders>
              <w:top w:val="nil"/>
              <w:left w:val="nil"/>
              <w:bottom w:val="nil"/>
              <w:right w:val="nil"/>
              <w:tl2br w:val="nil"/>
              <w:tr2bl w:val="nil"/>
            </w:tcBorders>
            <w:shd w:val="clear" w:color="auto" w:fill="F2F2F2"/>
            <w:vAlign w:val="bottom"/>
          </w:tcPr>
          <w:p w:rsidR="00000000" w:rsidRDefault="00F431E9">
            <w:pPr>
              <w:spacing w:line="171" w:lineRule="exact"/>
              <w:ind w:left="600"/>
              <w:jc w:val="left"/>
              <w:rPr>
                <w:sz w:val="24"/>
              </w:rPr>
            </w:pPr>
            <w:r>
              <w:rPr>
                <w:rFonts w:eastAsia="Times New Roman"/>
                <w:sz w:val="13"/>
              </w:rPr>
              <w:t>D</w:t>
            </w:r>
            <w:r>
              <w:rPr>
                <w:rFonts w:eastAsia="Times New Roman"/>
                <w:sz w:val="17"/>
                <w:vertAlign w:val="subscript"/>
              </w:rPr>
              <w:t>0.03 cc</w:t>
            </w:r>
            <w:r>
              <w:rPr>
                <w:rFonts w:eastAsia="Times New Roman"/>
                <w:sz w:val="13"/>
              </w:rPr>
              <w:t xml:space="preserve">    45 Gy</w:t>
            </w:r>
          </w:p>
        </w:tc>
        <w:tc>
          <w:tcPr>
            <w:tcW w:w="3320" w:type="dxa"/>
            <w:tcBorders>
              <w:top w:val="nil"/>
              <w:left w:val="nil"/>
              <w:bottom w:val="nil"/>
              <w:right w:val="nil"/>
              <w:tl2br w:val="nil"/>
              <w:tr2bl w:val="nil"/>
            </w:tcBorders>
            <w:shd w:val="clear" w:color="auto" w:fill="F2F2F2"/>
            <w:vAlign w:val="bottom"/>
          </w:tcPr>
          <w:p w:rsidR="00000000" w:rsidRDefault="00F431E9">
            <w:pPr>
              <w:ind w:left="580"/>
              <w:jc w:val="left"/>
              <w:rPr>
                <w:sz w:val="24"/>
              </w:rPr>
            </w:pPr>
            <w:r>
              <w:rPr>
                <w:rFonts w:eastAsia="Times New Roman"/>
                <w:sz w:val="13"/>
              </w:rPr>
              <w:t>Loss of vision</w:t>
            </w:r>
          </w:p>
        </w:tc>
        <w:tc>
          <w:tcPr>
            <w:tcW w:w="860" w:type="dxa"/>
            <w:tcBorders>
              <w:top w:val="nil"/>
              <w:left w:val="nil"/>
              <w:bottom w:val="nil"/>
              <w:right w:val="nil"/>
              <w:tl2br w:val="nil"/>
              <w:tr2bl w:val="nil"/>
            </w:tcBorders>
            <w:vAlign w:val="bottom"/>
          </w:tcPr>
          <w:p w:rsidR="00000000" w:rsidRDefault="00F431E9">
            <w:pPr>
              <w:jc w:val="left"/>
              <w:rPr>
                <w:sz w:val="1"/>
              </w:rPr>
            </w:pPr>
          </w:p>
        </w:tc>
      </w:tr>
      <w:tr w:rsidR="00000000">
        <w:trPr>
          <w:trHeight w:val="231"/>
        </w:trPr>
        <w:tc>
          <w:tcPr>
            <w:tcW w:w="2780" w:type="dxa"/>
            <w:tcBorders>
              <w:top w:val="nil"/>
              <w:left w:val="nil"/>
              <w:bottom w:val="single" w:sz="8" w:space="0" w:color="auto"/>
              <w:right w:val="nil"/>
              <w:tl2br w:val="nil"/>
              <w:tr2bl w:val="nil"/>
            </w:tcBorders>
            <w:shd w:val="clear" w:color="auto" w:fill="F2F2F2"/>
            <w:vAlign w:val="bottom"/>
          </w:tcPr>
          <w:p w:rsidR="00000000" w:rsidRDefault="00F431E9">
            <w:pPr>
              <w:ind w:left="160"/>
              <w:jc w:val="left"/>
              <w:rPr>
                <w:sz w:val="24"/>
              </w:rPr>
            </w:pPr>
            <w:r>
              <w:rPr>
                <w:rFonts w:eastAsia="Times New Roman"/>
                <w:sz w:val="13"/>
              </w:rPr>
              <w:t xml:space="preserve">Skin </w:t>
            </w:r>
            <w:hyperlink w:anchor="page9" w:history="1">
              <w:r>
                <w:rPr>
                  <w:rFonts w:eastAsia="Times New Roman"/>
                  <w:color w:val="0080AD"/>
                  <w:sz w:val="13"/>
                </w:rPr>
                <w:t>[113]</w:t>
              </w:r>
            </w:hyperlink>
          </w:p>
        </w:tc>
        <w:tc>
          <w:tcPr>
            <w:tcW w:w="1680" w:type="dxa"/>
            <w:tcBorders>
              <w:top w:val="nil"/>
              <w:left w:val="nil"/>
              <w:bottom w:val="single" w:sz="8" w:space="0" w:color="auto"/>
              <w:right w:val="nil"/>
              <w:tl2br w:val="nil"/>
              <w:tr2bl w:val="nil"/>
            </w:tcBorders>
            <w:shd w:val="clear" w:color="auto" w:fill="F2F2F2"/>
            <w:vAlign w:val="bottom"/>
          </w:tcPr>
          <w:p w:rsidR="00000000" w:rsidRDefault="00F431E9">
            <w:pPr>
              <w:ind w:left="600"/>
              <w:jc w:val="left"/>
              <w:rPr>
                <w:sz w:val="24"/>
              </w:rPr>
            </w:pPr>
            <w:r>
              <w:rPr>
                <w:rFonts w:eastAsia="Times New Roman"/>
                <w:sz w:val="13"/>
              </w:rPr>
              <w:t>2</w:t>
            </w:r>
          </w:p>
        </w:tc>
        <w:tc>
          <w:tcPr>
            <w:tcW w:w="2620" w:type="dxa"/>
            <w:tcBorders>
              <w:top w:val="nil"/>
              <w:left w:val="nil"/>
              <w:bottom w:val="single" w:sz="8" w:space="0" w:color="auto"/>
              <w:right w:val="nil"/>
              <w:tl2br w:val="nil"/>
              <w:tr2bl w:val="nil"/>
            </w:tcBorders>
            <w:shd w:val="clear" w:color="auto" w:fill="F2F2F2"/>
            <w:vAlign w:val="bottom"/>
          </w:tcPr>
          <w:p w:rsidR="00000000" w:rsidRDefault="00F431E9">
            <w:pPr>
              <w:ind w:left="600"/>
              <w:jc w:val="left"/>
              <w:rPr>
                <w:sz w:val="24"/>
              </w:rPr>
            </w:pPr>
            <w:r>
              <w:rPr>
                <w:rFonts w:eastAsia="Times New Roman"/>
                <w:sz w:val="13"/>
              </w:rPr>
              <w:t>D</w:t>
            </w:r>
            <w:r>
              <w:rPr>
                <w:rFonts w:eastAsia="Times New Roman"/>
                <w:sz w:val="17"/>
                <w:vertAlign w:val="subscript"/>
              </w:rPr>
              <w:t>0.03 cc</w:t>
            </w:r>
            <w:r>
              <w:rPr>
                <w:rFonts w:eastAsia="Times New Roman"/>
                <w:sz w:val="13"/>
              </w:rPr>
              <w:t xml:space="preserve">    25 Gy</w:t>
            </w:r>
          </w:p>
        </w:tc>
        <w:tc>
          <w:tcPr>
            <w:tcW w:w="3320" w:type="dxa"/>
            <w:tcBorders>
              <w:top w:val="nil"/>
              <w:left w:val="nil"/>
              <w:bottom w:val="single" w:sz="8" w:space="0" w:color="auto"/>
              <w:right w:val="nil"/>
              <w:tl2br w:val="nil"/>
              <w:tr2bl w:val="nil"/>
            </w:tcBorders>
            <w:shd w:val="clear" w:color="auto" w:fill="F2F2F2"/>
            <w:vAlign w:val="bottom"/>
          </w:tcPr>
          <w:p w:rsidR="00000000" w:rsidRDefault="00F431E9">
            <w:pPr>
              <w:ind w:left="580"/>
              <w:jc w:val="left"/>
              <w:rPr>
                <w:sz w:val="24"/>
              </w:rPr>
            </w:pPr>
            <w:r>
              <w:rPr>
                <w:rFonts w:eastAsia="Times New Roman"/>
                <w:sz w:val="13"/>
              </w:rPr>
              <w:t>Permanent alop</w:t>
            </w:r>
            <w:r>
              <w:rPr>
                <w:rFonts w:eastAsia="Times New Roman"/>
                <w:sz w:val="13"/>
              </w:rPr>
              <w:t>ecia</w:t>
            </w:r>
          </w:p>
        </w:tc>
        <w:tc>
          <w:tcPr>
            <w:tcW w:w="860" w:type="dxa"/>
            <w:tcBorders>
              <w:top w:val="nil"/>
              <w:left w:val="nil"/>
              <w:bottom w:val="nil"/>
              <w:right w:val="nil"/>
              <w:tl2br w:val="nil"/>
              <w:tr2bl w:val="nil"/>
            </w:tcBorders>
            <w:vAlign w:val="bottom"/>
          </w:tcPr>
          <w:p w:rsidR="00000000" w:rsidRDefault="00F431E9">
            <w:pPr>
              <w:jc w:val="left"/>
              <w:rPr>
                <w:sz w:val="1"/>
              </w:rPr>
            </w:pPr>
          </w:p>
        </w:tc>
      </w:tr>
    </w:tbl>
    <w:p w:rsidR="00000000" w:rsidRDefault="00F431E9">
      <w:pPr>
        <w:spacing w:line="11" w:lineRule="exact"/>
        <w:jc w:val="left"/>
        <w:rPr>
          <w:sz w:val="24"/>
        </w:rPr>
      </w:pPr>
      <w:r>
        <w:rPr>
          <w:sz w:val="24"/>
        </w:rPr>
        <w:pict>
          <v:line id="Line 24" o:spid="_x0000_s1048" style="position:absolute;z-index:-251663360;mso-position-horizontal-relative:text;mso-position-vertical-relative:text" from="-.45pt,-140.35pt" to="519.55pt,-140.35pt" strokecolor="white" strokeweight="1.14mm"/>
        </w:pict>
      </w:r>
    </w:p>
    <w:p w:rsidR="00000000" w:rsidRDefault="00F431E9">
      <w:pPr>
        <w:overflowPunct w:val="0"/>
        <w:spacing w:line="288" w:lineRule="auto"/>
        <w:rPr>
          <w:sz w:val="24"/>
        </w:rPr>
      </w:pPr>
      <w:r>
        <w:rPr>
          <w:rFonts w:eastAsia="Times New Roman"/>
          <w:sz w:val="13"/>
        </w:rPr>
        <w:lastRenderedPageBreak/>
        <w:t>Abbreviations: EQD2 = equivalent dose in 2 Gy per fraction; D</w:t>
      </w:r>
      <w:r>
        <w:rPr>
          <w:rFonts w:eastAsia="Times New Roman"/>
          <w:sz w:val="17"/>
          <w:vertAlign w:val="subscript"/>
        </w:rPr>
        <w:t>3 cc</w:t>
      </w:r>
      <w:r>
        <w:rPr>
          <w:rFonts w:eastAsia="Times New Roman"/>
          <w:sz w:val="13"/>
        </w:rPr>
        <w:t xml:space="preserve"> = dose to 3 cc of structure/organ; D</w:t>
      </w:r>
      <w:r>
        <w:rPr>
          <w:rFonts w:eastAsia="Times New Roman"/>
          <w:sz w:val="17"/>
          <w:vertAlign w:val="subscript"/>
        </w:rPr>
        <w:t>0.03 cc</w:t>
      </w:r>
      <w:r>
        <w:rPr>
          <w:rFonts w:eastAsia="Times New Roman"/>
          <w:sz w:val="13"/>
        </w:rPr>
        <w:t xml:space="preserve"> = near maximum dose to 0.3 cc of structure/organ; D</w:t>
      </w:r>
      <w:r>
        <w:rPr>
          <w:rFonts w:eastAsia="Times New Roman"/>
          <w:sz w:val="17"/>
          <w:vertAlign w:val="subscript"/>
        </w:rPr>
        <w:t>mean</w:t>
      </w:r>
      <w:r>
        <w:rPr>
          <w:rFonts w:eastAsia="Times New Roman"/>
          <w:sz w:val="13"/>
        </w:rPr>
        <w:t xml:space="preserve"> = mean dose; D</w:t>
      </w:r>
      <w:r>
        <w:rPr>
          <w:rFonts w:eastAsia="Times New Roman"/>
          <w:sz w:val="17"/>
          <w:vertAlign w:val="subscript"/>
        </w:rPr>
        <w:t>40%</w:t>
      </w:r>
      <w:r>
        <w:rPr>
          <w:rFonts w:eastAsia="Times New Roman"/>
          <w:sz w:val="13"/>
        </w:rPr>
        <w:t xml:space="preserve"> = mean dose to 40% of the volume of both hippocampi.</w:t>
      </w:r>
    </w:p>
    <w:p w:rsidR="00000000" w:rsidRDefault="00F431E9">
      <w:pPr>
        <w:jc w:val="left"/>
        <w:rPr>
          <w:sz w:val="24"/>
        </w:rPr>
        <w:sectPr w:rsidR="00000000">
          <w:type w:val="continuous"/>
          <w:pgSz w:w="11900" w:h="15874"/>
          <w:pgMar w:top="932" w:right="640" w:bottom="469" w:left="860" w:header="720" w:footer="720" w:gutter="0"/>
          <w:cols w:space="720"/>
        </w:sectPr>
      </w:pPr>
    </w:p>
    <w:p w:rsidR="00000000" w:rsidRDefault="00F431E9">
      <w:pPr>
        <w:tabs>
          <w:tab w:val="left" w:pos="3800"/>
        </w:tabs>
        <w:jc w:val="left"/>
        <w:rPr>
          <w:sz w:val="24"/>
        </w:rPr>
      </w:pPr>
      <w:bookmarkStart w:id="2" w:name="page4"/>
      <w:bookmarkEnd w:id="2"/>
      <w:r>
        <w:rPr>
          <w:sz w:val="24"/>
        </w:rPr>
        <w:lastRenderedPageBreak/>
        <w:cr/>
      </w:r>
      <w:r>
        <w:rPr>
          <w:sz w:val="24"/>
        </w:rPr>
        <w:cr/>
      </w:r>
      <w:r>
        <w:rPr>
          <w:sz w:val="24"/>
        </w:rPr>
        <w:t xml:space="preserve">
</w:t>
      </w:r>
      <w:r>
        <w:rPr>
          <w:rFonts w:eastAsia="Times New Roman"/>
          <w:sz w:val="13"/>
        </w:rPr>
        <w:t>28</w:t>
      </w:r>
      <w:r>
        <w:rPr>
          <w:sz w:val="24"/>
        </w:rPr>
        <w:tab/>
      </w:r>
      <w:r>
        <w:rPr>
          <w:rFonts w:eastAsia="Times New Roman"/>
          <w:sz w:val="13"/>
        </w:rPr>
        <w:t>Neu</w:t>
      </w:r>
      <w:r>
        <w:rPr>
          <w:rFonts w:eastAsia="Times New Roman"/>
          <w:sz w:val="13"/>
        </w:rPr>
        <w:t>ro-Oncology organs at risk dose constraints</w:t>
      </w:r>
    </w:p>
    <w:p w:rsidR="00000000" w:rsidRDefault="00764E0E">
      <w:pPr>
        <w:spacing w:line="200" w:lineRule="exact"/>
        <w:jc w:val="left"/>
        <w:rPr>
          <w:sz w:val="24"/>
        </w:rPr>
      </w:pPr>
      <w:r>
        <w:rPr>
          <w:noProof/>
          <w:sz w:val="24"/>
        </w:rPr>
        <w:drawing>
          <wp:anchor distT="0" distB="0" distL="114300" distR="114300" simplePos="0" relativeHeight="251669504" behindDoc="1" locked="0" layoutInCell="1" allowOverlap="1">
            <wp:simplePos x="0" y="0"/>
            <wp:positionH relativeFrom="column">
              <wp:posOffset>572135</wp:posOffset>
            </wp:positionH>
            <wp:positionV relativeFrom="paragraph">
              <wp:posOffset>175260</wp:posOffset>
            </wp:positionV>
            <wp:extent cx="5402580" cy="1585595"/>
            <wp:effectExtent l="19050" t="0" r="762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5402580" cy="1585595"/>
                    </a:xfrm>
                    <a:prstGeom prst="rect">
                      <a:avLst/>
                    </a:prstGeom>
                    <a:noFill/>
                    <a:ln w="9525" cmpd="sng">
                      <a:noFill/>
                      <a:miter lim="800000"/>
                      <a:headEnd/>
                      <a:tailEnd/>
                    </a:ln>
                  </pic:spPr>
                </pic:pic>
              </a:graphicData>
            </a:graphic>
          </wp:anchor>
        </w:drawing>
      </w: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351" w:lineRule="exact"/>
        <w:jc w:val="left"/>
        <w:rPr>
          <w:sz w:val="24"/>
        </w:rPr>
      </w:pPr>
    </w:p>
    <w:p w:rsidR="00000000" w:rsidRDefault="00F431E9">
      <w:pPr>
        <w:overflowPunct w:val="0"/>
        <w:spacing w:line="246" w:lineRule="auto"/>
        <w:rPr>
          <w:sz w:val="24"/>
        </w:rPr>
      </w:pPr>
      <w:r>
        <w:rPr>
          <w:rFonts w:eastAsia="Times New Roman"/>
          <w:sz w:val="13"/>
        </w:rPr>
        <w:t xml:space="preserve">Fig. 1. A 3D representation of the OARs and the recommended corresponding dose constraints </w:t>
      </w:r>
      <w:hyperlink w:anchor="page9" w:history="1">
        <w:r>
          <w:rPr>
            <w:rFonts w:eastAsia="Times New Roman"/>
            <w:color w:val="0080AD"/>
            <w:sz w:val="13"/>
          </w:rPr>
          <w:t>[1]</w:t>
        </w:r>
      </w:hyperlink>
      <w:r>
        <w:rPr>
          <w:rFonts w:eastAsia="Times New Roman"/>
          <w:sz w:val="13"/>
        </w:rPr>
        <w:t>: hippocampus (purple), lenses (light blue), lacrima gland (magenta), pituitar</w:t>
      </w:r>
      <w:r>
        <w:rPr>
          <w:rFonts w:eastAsia="Times New Roman"/>
          <w:sz w:val="13"/>
        </w:rPr>
        <w:t>y (green), cochlea (green), cornea (pink), brainstem interior (orange), chiasm (yellow), optic nerve (yellow), brainstem surface (red), brian (red). All doses are given as maximum dose to 0.03 cc of the OAR volume (D</w:t>
      </w:r>
      <w:r>
        <w:rPr>
          <w:rFonts w:eastAsia="Times New Roman"/>
          <w:sz w:val="17"/>
          <w:vertAlign w:val="subscript"/>
        </w:rPr>
        <w:t>0.03cc</w:t>
      </w:r>
      <w:r>
        <w:rPr>
          <w:rFonts w:eastAsia="Times New Roman"/>
          <w:sz w:val="13"/>
        </w:rPr>
        <w:t>), except for the dose to hippocam</w:t>
      </w:r>
      <w:r>
        <w:rPr>
          <w:rFonts w:eastAsia="Times New Roman"/>
          <w:sz w:val="13"/>
        </w:rPr>
        <w:t>pus, which is the D</w:t>
      </w:r>
      <w:r>
        <w:rPr>
          <w:rFonts w:eastAsia="Times New Roman"/>
          <w:sz w:val="17"/>
          <w:vertAlign w:val="subscript"/>
        </w:rPr>
        <w:t>40%</w:t>
      </w:r>
      <w:r>
        <w:rPr>
          <w:rFonts w:eastAsia="Times New Roman"/>
          <w:sz w:val="13"/>
        </w:rPr>
        <w:t>, and the pituitary gland and cochlea, which are mean doses</w:t>
      </w:r>
    </w:p>
    <w:p w:rsidR="00000000" w:rsidRDefault="00F431E9">
      <w:pPr>
        <w:spacing w:line="212" w:lineRule="auto"/>
        <w:jc w:val="left"/>
        <w:rPr>
          <w:sz w:val="24"/>
        </w:rPr>
      </w:pPr>
      <w:r>
        <w:rPr>
          <w:sz w:val="24"/>
        </w:rPr>
        <w:cr/>
      </w:r>
      <w:r>
        <w:rPr>
          <w:sz w:val="24"/>
        </w:rPr>
        <w:cr/>
      </w:r>
      <w:r>
        <w:rPr>
          <w:sz w:val="24"/>
        </w:rPr>
        <w:t xml:space="preserve">
</w:t>
      </w:r>
      <w:r>
        <w:rPr>
          <w:rFonts w:eastAsia="Times New Roman"/>
          <w:sz w:val="13"/>
        </w:rPr>
        <w:t>(D</w:t>
      </w:r>
      <w:r>
        <w:rPr>
          <w:rFonts w:eastAsia="Times New Roman"/>
          <w:sz w:val="17"/>
          <w:vertAlign w:val="subscript"/>
        </w:rPr>
        <w:t>mean</w:t>
      </w:r>
      <w:r>
        <w:rPr>
          <w:rFonts w:eastAsia="Times New Roman"/>
          <w:sz w:val="13"/>
        </w:rPr>
        <w:t>).</w:t>
      </w:r>
    </w:p>
    <w:p w:rsidR="00000000" w:rsidRDefault="00F431E9">
      <w:pPr>
        <w:jc w:val="left"/>
        <w:rPr>
          <w:sz w:val="24"/>
        </w:rPr>
        <w:sectPr w:rsidR="00000000">
          <w:pgSz w:w="11900" w:h="15874"/>
          <w:pgMar w:top="933" w:right="840" w:bottom="459" w:left="660" w:header="720" w:footer="720" w:gutter="0"/>
          <w:cols w:space="720"/>
        </w:sectPr>
      </w:pPr>
    </w:p>
    <w:p w:rsidR="00000000" w:rsidRDefault="00F431E9">
      <w:pPr>
        <w:spacing w:line="261" w:lineRule="exact"/>
        <w:jc w:val="left"/>
        <w:rPr>
          <w:sz w:val="24"/>
        </w:rPr>
      </w:pPr>
    </w:p>
    <w:p w:rsidR="00000000" w:rsidRDefault="00F431E9">
      <w:pPr>
        <w:overflowPunct w:val="0"/>
        <w:spacing w:line="235" w:lineRule="auto"/>
        <w:rPr>
          <w:sz w:val="24"/>
        </w:rPr>
      </w:pPr>
      <w:r>
        <w:rPr>
          <w:rFonts w:eastAsia="Times New Roman"/>
          <w:sz w:val="16"/>
        </w:rPr>
        <w:t>with a steeply increasing risk &gt;40 Gy and a 100% rate of severe dry eye with D</w:t>
      </w:r>
      <w:r>
        <w:rPr>
          <w:rFonts w:eastAsia="Times New Roman"/>
          <w:vertAlign w:val="subscript"/>
        </w:rPr>
        <w:t>max</w:t>
      </w:r>
      <w:r>
        <w:rPr>
          <w:rFonts w:eastAsia="Times New Roman"/>
          <w:sz w:val="16"/>
        </w:rPr>
        <w:t xml:space="preserve"> &gt; 57–60 Gy </w:t>
      </w:r>
      <w:hyperlink w:anchor="page9" w:history="1">
        <w:r>
          <w:rPr>
            <w:rFonts w:eastAsia="Times New Roman"/>
            <w:color w:val="0080AD"/>
            <w:sz w:val="16"/>
          </w:rPr>
          <w:t>[17,18]</w:t>
        </w:r>
      </w:hyperlink>
      <w:r>
        <w:rPr>
          <w:rFonts w:eastAsia="Times New Roman"/>
          <w:sz w:val="16"/>
        </w:rPr>
        <w:t>.</w:t>
      </w:r>
    </w:p>
    <w:p w:rsidR="00000000" w:rsidRDefault="00F431E9">
      <w:pPr>
        <w:spacing w:line="2" w:lineRule="exact"/>
        <w:jc w:val="left"/>
        <w:rPr>
          <w:sz w:val="24"/>
        </w:rPr>
      </w:pPr>
    </w:p>
    <w:p w:rsidR="00000000" w:rsidRDefault="00F431E9">
      <w:pPr>
        <w:overflowPunct w:val="0"/>
        <w:spacing w:line="242" w:lineRule="auto"/>
        <w:ind w:firstLine="234"/>
        <w:rPr>
          <w:sz w:val="24"/>
        </w:rPr>
      </w:pPr>
      <w:r>
        <w:rPr>
          <w:rFonts w:eastAsia="Times New Roman"/>
          <w:sz w:val="16"/>
        </w:rPr>
        <w:t>The EPTN consensus group therefo</w:t>
      </w:r>
      <w:r>
        <w:rPr>
          <w:rFonts w:eastAsia="Times New Roman"/>
          <w:sz w:val="16"/>
        </w:rPr>
        <w:t>re proposes that if possible, the mean dose (D</w:t>
      </w:r>
      <w:r>
        <w:rPr>
          <w:rFonts w:eastAsia="Times New Roman"/>
          <w:vertAlign w:val="subscript"/>
        </w:rPr>
        <w:t>mean</w:t>
      </w:r>
      <w:r>
        <w:rPr>
          <w:rFonts w:eastAsia="Times New Roman"/>
          <w:sz w:val="16"/>
        </w:rPr>
        <w:t xml:space="preserve">) to the lacrimal gland should not exceed 25 Gy for a risk for DES (&gt;grade 1) less than 5%. No data were found on an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ratio for the lacrimal gland and late dry eye syndrome, therefore we suggest to assum</w:t>
      </w:r>
      <w:r>
        <w:rPr>
          <w:rFonts w:eastAsia="Times New Roman"/>
          <w:sz w:val="16"/>
        </w:rPr>
        <w:t xml:space="preserve">e an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ratio of 3 Gy for late toxicity similar to that of the parotid gland </w:t>
      </w:r>
      <w:hyperlink w:anchor="page9" w:history="1">
        <w:r>
          <w:rPr>
            <w:rFonts w:eastAsia="Times New Roman"/>
            <w:color w:val="0080AD"/>
            <w:sz w:val="16"/>
          </w:rPr>
          <w:t>[19]</w:t>
        </w:r>
      </w:hyperlink>
      <w:r>
        <w:rPr>
          <w:rFonts w:eastAsia="Times New Roman"/>
          <w:sz w:val="16"/>
        </w:rPr>
        <w:t>.</w:t>
      </w:r>
    </w:p>
    <w:p w:rsidR="00000000" w:rsidRDefault="00F431E9">
      <w:pPr>
        <w:spacing w:line="200" w:lineRule="exact"/>
        <w:jc w:val="left"/>
        <w:rPr>
          <w:sz w:val="24"/>
        </w:rPr>
      </w:pPr>
    </w:p>
    <w:p w:rsidR="00000000" w:rsidRDefault="00F431E9">
      <w:pPr>
        <w:spacing w:line="289" w:lineRule="exact"/>
        <w:jc w:val="left"/>
        <w:rPr>
          <w:sz w:val="24"/>
        </w:rPr>
      </w:pPr>
    </w:p>
    <w:p w:rsidR="00000000" w:rsidRDefault="00F431E9">
      <w:pPr>
        <w:jc w:val="left"/>
        <w:rPr>
          <w:sz w:val="24"/>
        </w:rPr>
      </w:pPr>
      <w:r>
        <w:rPr>
          <w:rFonts w:eastAsia="Times New Roman"/>
          <w:sz w:val="16"/>
        </w:rPr>
        <w:t>Cornea</w:t>
      </w:r>
    </w:p>
    <w:p w:rsidR="00000000" w:rsidRDefault="00F431E9">
      <w:pPr>
        <w:spacing w:line="24" w:lineRule="exact"/>
        <w:jc w:val="left"/>
        <w:rPr>
          <w:sz w:val="24"/>
        </w:rPr>
      </w:pPr>
    </w:p>
    <w:p w:rsidR="00000000" w:rsidRDefault="00F431E9">
      <w:pPr>
        <w:overflowPunct w:val="0"/>
        <w:spacing w:line="275" w:lineRule="auto"/>
        <w:ind w:firstLine="234"/>
        <w:rPr>
          <w:sz w:val="24"/>
        </w:rPr>
      </w:pPr>
      <w:r>
        <w:rPr>
          <w:rFonts w:eastAsia="Times New Roman"/>
          <w:sz w:val="16"/>
        </w:rPr>
        <w:t>The cornea’s main functions are refraction of the light and pro-tection, and even slight alterations of its shape can result in decreased</w:t>
      </w:r>
      <w:r>
        <w:rPr>
          <w:rFonts w:eastAsia="Times New Roman"/>
          <w:sz w:val="16"/>
        </w:rPr>
        <w:t xml:space="preserve"> visual acuity. Corneal complications may arise sec-ondary to the loss of the tear film (keratitis sicca) or resulting from direct injury to the corneal surface epithelium and the deeper lay-ers of the cornea. Direct radiation induced changes originate fro</w:t>
      </w:r>
      <w:r>
        <w:rPr>
          <w:rFonts w:eastAsia="Times New Roman"/>
          <w:sz w:val="16"/>
        </w:rPr>
        <w:t>m the disruption of the mitotic activity in these layers and do not arise from the avascular cornea.</w:t>
      </w:r>
    </w:p>
    <w:p w:rsidR="00000000" w:rsidRDefault="00F431E9">
      <w:pPr>
        <w:spacing w:line="198" w:lineRule="exact"/>
        <w:jc w:val="left"/>
        <w:rPr>
          <w:sz w:val="24"/>
        </w:rPr>
      </w:pPr>
    </w:p>
    <w:p w:rsidR="00000000" w:rsidRDefault="00F431E9">
      <w:pPr>
        <w:overflowPunct w:val="0"/>
        <w:spacing w:line="272" w:lineRule="auto"/>
        <w:ind w:firstLine="234"/>
        <w:rPr>
          <w:sz w:val="24"/>
        </w:rPr>
      </w:pPr>
      <w:r>
        <w:rPr>
          <w:rFonts w:eastAsia="Times New Roman"/>
          <w:sz w:val="16"/>
        </w:rPr>
        <w:t>In CTCAE v4.0 keratitis is defined as a disorder characterized by an inflammation of the cornea with severity ranging from mild inflammation to perforatio</w:t>
      </w:r>
      <w:r>
        <w:rPr>
          <w:rFonts w:eastAsia="Times New Roman"/>
          <w:sz w:val="16"/>
        </w:rPr>
        <w:t xml:space="preserve">n and complete blindness </w:t>
      </w:r>
      <w:hyperlink w:anchor="page9" w:history="1">
        <w:r>
          <w:rPr>
            <w:rFonts w:eastAsia="Times New Roman"/>
            <w:color w:val="0080AD"/>
            <w:sz w:val="16"/>
          </w:rPr>
          <w:t>[12]</w:t>
        </w:r>
      </w:hyperlink>
      <w:r>
        <w:rPr>
          <w:rFonts w:eastAsia="Times New Roman"/>
          <w:sz w:val="16"/>
        </w:rPr>
        <w:t>.</w:t>
      </w:r>
    </w:p>
    <w:p w:rsidR="00000000" w:rsidRDefault="00F431E9">
      <w:pPr>
        <w:spacing w:line="1" w:lineRule="exact"/>
        <w:jc w:val="left"/>
        <w:rPr>
          <w:sz w:val="24"/>
        </w:rPr>
      </w:pPr>
    </w:p>
    <w:p w:rsidR="00000000" w:rsidRDefault="00F431E9">
      <w:pPr>
        <w:overflowPunct w:val="0"/>
        <w:spacing w:line="266" w:lineRule="auto"/>
        <w:ind w:firstLine="234"/>
        <w:rPr>
          <w:sz w:val="24"/>
        </w:rPr>
      </w:pPr>
      <w:r>
        <w:rPr>
          <w:rFonts w:eastAsia="Times New Roman"/>
          <w:sz w:val="16"/>
        </w:rPr>
        <w:t xml:space="preserve">Even though accurate dose–volume parameters are scarce, a dose–toxicity relationship has been described in several retrospec-tive series </w:t>
      </w:r>
      <w:hyperlink w:anchor="page9" w:history="1">
        <w:r>
          <w:rPr>
            <w:rFonts w:eastAsia="Times New Roman"/>
            <w:color w:val="0080AD"/>
            <w:sz w:val="16"/>
          </w:rPr>
          <w:t>[13,18,20,21]</w:t>
        </w:r>
      </w:hyperlink>
      <w:r>
        <w:rPr>
          <w:rFonts w:eastAsia="Times New Roman"/>
          <w:sz w:val="16"/>
        </w:rPr>
        <w:t>. In one retrospective a</w:t>
      </w:r>
      <w:r>
        <w:rPr>
          <w:rFonts w:eastAsia="Times New Roman"/>
          <w:sz w:val="16"/>
        </w:rPr>
        <w:t xml:space="preserve">nalysis corneal com-plications were evaluated after orbital radiotherapy for lacrimal gland malignancies </w:t>
      </w:r>
      <w:hyperlink w:anchor="page9" w:history="1">
        <w:r>
          <w:rPr>
            <w:rFonts w:eastAsia="Times New Roman"/>
            <w:color w:val="0080AD"/>
            <w:sz w:val="16"/>
          </w:rPr>
          <w:t>[21]</w:t>
        </w:r>
      </w:hyperlink>
      <w:r>
        <w:rPr>
          <w:rFonts w:eastAsia="Times New Roman"/>
          <w:sz w:val="16"/>
        </w:rPr>
        <w:t>. In this series patients were treated up to cumulative doses of 50–60 Gy to the entire orbit. All patients developed an a</w:t>
      </w:r>
      <w:r>
        <w:rPr>
          <w:rFonts w:eastAsia="Times New Roman"/>
          <w:sz w:val="16"/>
        </w:rPr>
        <w:t>cute radiation keratoconjunctivitis, 54% of the patients had chronic corneal epithelial defects and 13% developed a corneal perforation. These perforations generally occurred within 3 years of radiotherapy. While there are several limitations to this analy</w:t>
      </w:r>
      <w:r>
        <w:rPr>
          <w:rFonts w:eastAsia="Times New Roman"/>
          <w:sz w:val="16"/>
        </w:rPr>
        <w:t xml:space="preserve">sis, it confirms that high dose radiotherapy can have serious consequences on the ocular surface (see </w:t>
      </w:r>
      <w:hyperlink w:anchor="page9" w:history="1">
        <w:r>
          <w:rPr>
            <w:rFonts w:eastAsia="Times New Roman"/>
            <w:color w:val="0080AD"/>
            <w:sz w:val="16"/>
          </w:rPr>
          <w:t>Supplementary Table II</w:t>
        </w:r>
      </w:hyperlink>
      <w:r>
        <w:rPr>
          <w:rFonts w:eastAsia="Times New Roman"/>
          <w:sz w:val="16"/>
        </w:rPr>
        <w:t>). We therefore propose D</w:t>
      </w:r>
      <w:r>
        <w:rPr>
          <w:rFonts w:eastAsia="Times New Roman"/>
          <w:vertAlign w:val="subscript"/>
        </w:rPr>
        <w:t>0.03 cc</w:t>
      </w:r>
      <w:r>
        <w:rPr>
          <w:rFonts w:eastAsia="Times New Roman"/>
          <w:sz w:val="16"/>
        </w:rPr>
        <w:t xml:space="preserve"> to the cornea not to exceed 50 Gy if the orbit is not part of the target v</w:t>
      </w:r>
      <w:r>
        <w:rPr>
          <w:rFonts w:eastAsia="Times New Roman"/>
          <w:sz w:val="16"/>
        </w:rPr>
        <w:t xml:space="preserve">olume. Again, we propose an </w:t>
      </w:r>
      <w:r>
        <w:rPr>
          <w:rFonts w:ascii="Arial" w:eastAsia="Times New Roman" w:hAnsi="Arial"/>
          <w:sz w:val="18"/>
        </w:rPr>
        <w:t>a</w:t>
      </w:r>
      <w:r>
        <w:rPr>
          <w:rFonts w:eastAsia="Times New Roman"/>
          <w:sz w:val="15"/>
        </w:rPr>
        <w:t>/</w:t>
      </w:r>
      <w:r>
        <w:rPr>
          <w:rFonts w:ascii="Arial" w:eastAsia="Times New Roman" w:hAnsi="Arial"/>
          <w:sz w:val="15"/>
        </w:rPr>
        <w:t>b</w:t>
      </w:r>
      <w:r>
        <w:rPr>
          <w:rFonts w:ascii="Arial" w:eastAsia="Times New Roman" w:hAnsi="Arial"/>
          <w:sz w:val="18"/>
        </w:rPr>
        <w:t xml:space="preserve"> </w:t>
      </w:r>
      <w:r>
        <w:rPr>
          <w:rFonts w:eastAsia="Times New Roman"/>
          <w:sz w:val="15"/>
        </w:rPr>
        <w:t>ratio of 3 Gy for late toxicity in absence of solid data.</w:t>
      </w: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65" w:lineRule="exact"/>
        <w:jc w:val="left"/>
        <w:rPr>
          <w:sz w:val="24"/>
        </w:rPr>
      </w:pPr>
    </w:p>
    <w:p w:rsidR="00000000" w:rsidRDefault="00F431E9">
      <w:pPr>
        <w:jc w:val="left"/>
        <w:rPr>
          <w:sz w:val="24"/>
        </w:rPr>
      </w:pPr>
      <w:r>
        <w:rPr>
          <w:rFonts w:eastAsia="Times New Roman"/>
          <w:sz w:val="16"/>
        </w:rPr>
        <w:t>Retina</w:t>
      </w:r>
    </w:p>
    <w:p w:rsidR="00000000" w:rsidRDefault="00F431E9">
      <w:pPr>
        <w:spacing w:line="24" w:lineRule="exact"/>
        <w:jc w:val="left"/>
        <w:rPr>
          <w:sz w:val="24"/>
        </w:rPr>
      </w:pPr>
    </w:p>
    <w:p w:rsidR="00000000" w:rsidRDefault="00F431E9">
      <w:pPr>
        <w:overflowPunct w:val="0"/>
        <w:spacing w:line="272" w:lineRule="auto"/>
        <w:ind w:firstLine="234"/>
        <w:rPr>
          <w:sz w:val="24"/>
        </w:rPr>
      </w:pPr>
      <w:r>
        <w:rPr>
          <w:rFonts w:eastAsia="Times New Roman"/>
          <w:sz w:val="16"/>
        </w:rPr>
        <w:t>The retina is the third and inner coating of the eye and is essen-tial in visual perception. In embryogenesis both the retina and the optic nerve originate</w:t>
      </w:r>
      <w:r>
        <w:rPr>
          <w:rFonts w:eastAsia="Times New Roman"/>
          <w:sz w:val="16"/>
        </w:rPr>
        <w:t xml:space="preserve"> from the diencephalon and should therefore be considered as part of the central nervous system.</w:t>
      </w:r>
    </w:p>
    <w:p w:rsidR="00000000" w:rsidRDefault="00F431E9">
      <w:pPr>
        <w:spacing w:line="3" w:lineRule="exact"/>
        <w:jc w:val="left"/>
        <w:rPr>
          <w:sz w:val="24"/>
        </w:rPr>
      </w:pPr>
    </w:p>
    <w:p w:rsidR="00000000" w:rsidRDefault="00F431E9">
      <w:pPr>
        <w:overflowPunct w:val="0"/>
        <w:spacing w:line="275" w:lineRule="auto"/>
        <w:ind w:firstLine="234"/>
        <w:rPr>
          <w:sz w:val="24"/>
        </w:rPr>
      </w:pPr>
      <w:r>
        <w:rPr>
          <w:rFonts w:eastAsia="Times New Roman"/>
          <w:sz w:val="16"/>
        </w:rPr>
        <w:t xml:space="preserve">Retinopathy is characterized by slowly progressive microangio-pathic decompensation with a focal loss of capillary endothelial cells and pericytes </w:t>
      </w:r>
      <w:hyperlink w:anchor="page9" w:history="1">
        <w:r>
          <w:rPr>
            <w:rFonts w:eastAsia="Times New Roman"/>
            <w:color w:val="0080AD"/>
            <w:sz w:val="16"/>
          </w:rPr>
          <w:t>[18]</w:t>
        </w:r>
      </w:hyperlink>
      <w:r>
        <w:rPr>
          <w:rFonts w:eastAsia="Times New Roman"/>
          <w:sz w:val="16"/>
        </w:rPr>
        <w:t xml:space="preserve">. Clinically, radiation retinopathy includes microaneurysms, cotton wool pots, capillary dilation, telangiec-tasia and capillary closure, all histopathologically resembling dia-betic retinopathy </w:t>
      </w:r>
      <w:hyperlink w:anchor="page9" w:history="1">
        <w:r>
          <w:rPr>
            <w:rFonts w:eastAsia="Times New Roman"/>
            <w:color w:val="0080AD"/>
            <w:sz w:val="16"/>
          </w:rPr>
          <w:t>[22,23]</w:t>
        </w:r>
      </w:hyperlink>
      <w:r>
        <w:rPr>
          <w:rFonts w:eastAsia="Times New Roman"/>
          <w:sz w:val="16"/>
        </w:rPr>
        <w:t>. The laten</w:t>
      </w:r>
      <w:r>
        <w:rPr>
          <w:rFonts w:eastAsia="Times New Roman"/>
          <w:sz w:val="16"/>
        </w:rPr>
        <w:t>cy period is typically between</w:t>
      </w:r>
    </w:p>
    <w:p w:rsidR="00000000" w:rsidRDefault="00F431E9">
      <w:pPr>
        <w:spacing w:line="261" w:lineRule="exact"/>
        <w:jc w:val="left"/>
        <w:rPr>
          <w:sz w:val="24"/>
        </w:rPr>
      </w:pPr>
      <w:r>
        <w:rPr>
          <w:sz w:val="24"/>
        </w:rPr>
        <w:br w:type="column"/>
      </w:r>
    </w:p>
    <w:p w:rsidR="00000000" w:rsidRDefault="00F431E9">
      <w:pPr>
        <w:overflowPunct w:val="0"/>
        <w:spacing w:line="275" w:lineRule="auto"/>
        <w:rPr>
          <w:sz w:val="24"/>
        </w:rPr>
      </w:pPr>
      <w:r>
        <w:rPr>
          <w:rFonts w:eastAsia="Times New Roman"/>
          <w:sz w:val="16"/>
        </w:rPr>
        <w:t xml:space="preserve">6 months and 3 years, although longer periods have been described </w:t>
      </w:r>
      <w:hyperlink w:anchor="page9" w:history="1">
        <w:r>
          <w:rPr>
            <w:rFonts w:eastAsia="Times New Roman"/>
            <w:color w:val="0080AD"/>
            <w:sz w:val="16"/>
          </w:rPr>
          <w:t>[18,24–26]</w:t>
        </w:r>
      </w:hyperlink>
      <w:r>
        <w:rPr>
          <w:rFonts w:eastAsia="Times New Roman"/>
          <w:sz w:val="16"/>
        </w:rPr>
        <w:t>. The CTCAE v4.0 defines retinopathy using 4 grades ranging from asymptomatic up to grade 4 blindness (20/200 or worse) in</w:t>
      </w:r>
      <w:r>
        <w:rPr>
          <w:rFonts w:eastAsia="Times New Roman"/>
          <w:sz w:val="16"/>
        </w:rPr>
        <w:t xml:space="preserve"> the affected eye </w:t>
      </w:r>
      <w:hyperlink w:anchor="page9" w:history="1">
        <w:r>
          <w:rPr>
            <w:rFonts w:eastAsia="Times New Roman"/>
            <w:color w:val="0080AD"/>
            <w:sz w:val="16"/>
          </w:rPr>
          <w:t>[12]</w:t>
        </w:r>
      </w:hyperlink>
      <w:r>
        <w:rPr>
          <w:rFonts w:eastAsia="Times New Roman"/>
          <w:sz w:val="16"/>
        </w:rPr>
        <w:t xml:space="preserve">. The pathogenesis of radiation induced retinopathy is dependent on the total dose, the fraction size, number of fractions, concurrent chemotherapy and coexisting morbidity, e.g., diabetes, hypertension </w:t>
      </w:r>
      <w:hyperlink w:anchor="page9" w:history="1">
        <w:r>
          <w:rPr>
            <w:rFonts w:eastAsia="Times New Roman"/>
            <w:color w:val="0080AD"/>
            <w:sz w:val="16"/>
          </w:rPr>
          <w:t>[23,27–29]</w:t>
        </w:r>
      </w:hyperlink>
      <w:r>
        <w:rPr>
          <w:rFonts w:eastAsia="Times New Roman"/>
          <w:sz w:val="16"/>
        </w:rPr>
        <w:t xml:space="preserve">. A selected number of studies reported on the dose–toxicity relation-ship for retinopathy and are depicted in </w:t>
      </w:r>
      <w:hyperlink w:anchor="page9" w:history="1">
        <w:r>
          <w:rPr>
            <w:rFonts w:eastAsia="Times New Roman"/>
            <w:color w:val="0080AD"/>
            <w:sz w:val="16"/>
          </w:rPr>
          <w:t>Supplementary Table III</w:t>
        </w:r>
      </w:hyperlink>
      <w:r>
        <w:rPr>
          <w:rFonts w:eastAsia="Times New Roman"/>
          <w:sz w:val="16"/>
        </w:rPr>
        <w:t xml:space="preserve"> </w:t>
      </w:r>
      <w:hyperlink w:anchor="page9" w:history="1">
        <w:r>
          <w:rPr>
            <w:rFonts w:eastAsia="Times New Roman"/>
            <w:color w:val="0080AD"/>
            <w:sz w:val="16"/>
          </w:rPr>
          <w:t>[13,26,30,31]</w:t>
        </w:r>
      </w:hyperlink>
      <w:r>
        <w:rPr>
          <w:rFonts w:eastAsia="Times New Roman"/>
          <w:sz w:val="16"/>
        </w:rPr>
        <w:t>.</w:t>
      </w:r>
    </w:p>
    <w:p w:rsidR="00000000" w:rsidRDefault="00F431E9">
      <w:pPr>
        <w:spacing w:line="391" w:lineRule="exact"/>
        <w:jc w:val="left"/>
        <w:rPr>
          <w:sz w:val="24"/>
        </w:rPr>
      </w:pPr>
    </w:p>
    <w:p w:rsidR="00000000" w:rsidRDefault="00F431E9">
      <w:pPr>
        <w:overflowPunct w:val="0"/>
        <w:spacing w:line="256" w:lineRule="auto"/>
        <w:ind w:firstLine="234"/>
        <w:rPr>
          <w:sz w:val="24"/>
        </w:rPr>
      </w:pPr>
      <w:r>
        <w:rPr>
          <w:rFonts w:eastAsia="Times New Roman"/>
          <w:sz w:val="16"/>
        </w:rPr>
        <w:t>The risk of retinopathy in</w:t>
      </w:r>
      <w:r>
        <w:rPr>
          <w:rFonts w:eastAsia="Times New Roman"/>
          <w:sz w:val="16"/>
        </w:rPr>
        <w:t>creases steeply with D</w:t>
      </w:r>
      <w:r>
        <w:rPr>
          <w:rFonts w:eastAsia="Times New Roman"/>
          <w:vertAlign w:val="subscript"/>
        </w:rPr>
        <w:t>max</w:t>
      </w:r>
      <w:r>
        <w:rPr>
          <w:rFonts w:eastAsia="Times New Roman"/>
          <w:sz w:val="16"/>
        </w:rPr>
        <w:t xml:space="preserve"> exceeding 45–50 Gy in 5 weeks. Emami et al. </w:t>
      </w:r>
      <w:hyperlink w:anchor="page9" w:history="1">
        <w:r>
          <w:rPr>
            <w:rFonts w:eastAsia="Times New Roman"/>
            <w:color w:val="0080AD"/>
            <w:sz w:val="16"/>
          </w:rPr>
          <w:t>[3]</w:t>
        </w:r>
        <w:r>
          <w:rPr>
            <w:rFonts w:eastAsia="Times New Roman"/>
            <w:sz w:val="16"/>
          </w:rPr>
          <w:t xml:space="preserve"> </w:t>
        </w:r>
      </w:hyperlink>
      <w:r>
        <w:rPr>
          <w:rFonts w:eastAsia="Times New Roman"/>
          <w:sz w:val="16"/>
        </w:rPr>
        <w:t>estimated the 5% severe complication rate in 5 years (TD5/5) of the retina, i.e., visual loss, to be 45 Gy and the 50% severe complication rate at 5 years (T</w:t>
      </w:r>
      <w:r>
        <w:rPr>
          <w:rFonts w:eastAsia="Times New Roman"/>
          <w:sz w:val="16"/>
        </w:rPr>
        <w:t>D50/5) to be 65 Gy.</w:t>
      </w:r>
    </w:p>
    <w:p w:rsidR="00000000" w:rsidRDefault="00F431E9">
      <w:pPr>
        <w:spacing w:line="199" w:lineRule="exact"/>
        <w:jc w:val="left"/>
        <w:rPr>
          <w:sz w:val="24"/>
        </w:rPr>
      </w:pPr>
    </w:p>
    <w:p w:rsidR="00000000" w:rsidRDefault="00F431E9">
      <w:pPr>
        <w:overflowPunct w:val="0"/>
        <w:spacing w:line="238" w:lineRule="auto"/>
        <w:ind w:firstLine="234"/>
        <w:rPr>
          <w:sz w:val="24"/>
        </w:rPr>
      </w:pPr>
      <w:r>
        <w:rPr>
          <w:rFonts w:eastAsia="Times New Roman"/>
          <w:sz w:val="16"/>
        </w:rPr>
        <w:t>We therefore propose the D</w:t>
      </w:r>
      <w:r>
        <w:rPr>
          <w:rFonts w:eastAsia="Times New Roman"/>
          <w:vertAlign w:val="subscript"/>
        </w:rPr>
        <w:t>0.03 cc</w:t>
      </w:r>
      <w:r>
        <w:rPr>
          <w:rFonts w:eastAsia="Times New Roman"/>
          <w:sz w:val="16"/>
        </w:rPr>
        <w:t xml:space="preserve"> to the retina to be kept below 45 Gy. Again, we propose an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ratio of 3 Gy for late toxicity in absence of solid data </w:t>
      </w:r>
      <w:hyperlink w:anchor="page9" w:history="1">
        <w:r>
          <w:rPr>
            <w:rFonts w:eastAsia="Times New Roman"/>
            <w:color w:val="0080AD"/>
            <w:sz w:val="16"/>
          </w:rPr>
          <w:t>[19]</w:t>
        </w:r>
      </w:hyperlink>
      <w:r>
        <w:rPr>
          <w:rFonts w:eastAsia="Times New Roman"/>
          <w:sz w:val="16"/>
        </w:rPr>
        <w:t>.</w:t>
      </w:r>
    </w:p>
    <w:p w:rsidR="00000000" w:rsidRDefault="00F431E9">
      <w:pPr>
        <w:spacing w:line="339" w:lineRule="exact"/>
        <w:jc w:val="left"/>
        <w:rPr>
          <w:sz w:val="24"/>
        </w:rPr>
      </w:pPr>
    </w:p>
    <w:p w:rsidR="00000000" w:rsidRDefault="00F431E9">
      <w:pPr>
        <w:jc w:val="left"/>
        <w:rPr>
          <w:sz w:val="24"/>
        </w:rPr>
      </w:pPr>
      <w:r>
        <w:rPr>
          <w:rFonts w:eastAsia="Times New Roman"/>
          <w:sz w:val="16"/>
        </w:rPr>
        <w:t>Lens of the eye</w:t>
      </w:r>
    </w:p>
    <w:p w:rsidR="00000000" w:rsidRDefault="00F431E9">
      <w:pPr>
        <w:spacing w:line="23" w:lineRule="exact"/>
        <w:jc w:val="left"/>
        <w:rPr>
          <w:sz w:val="24"/>
        </w:rPr>
      </w:pPr>
    </w:p>
    <w:p w:rsidR="00000000" w:rsidRDefault="00F431E9">
      <w:pPr>
        <w:overflowPunct w:val="0"/>
        <w:spacing w:line="276" w:lineRule="auto"/>
        <w:ind w:firstLine="234"/>
        <w:rPr>
          <w:sz w:val="24"/>
        </w:rPr>
      </w:pPr>
      <w:r>
        <w:rPr>
          <w:rFonts w:eastAsia="Times New Roman"/>
          <w:sz w:val="16"/>
        </w:rPr>
        <w:t>The lens is a biconvex structure</w:t>
      </w:r>
      <w:r>
        <w:rPr>
          <w:rFonts w:eastAsia="Times New Roman"/>
          <w:sz w:val="16"/>
        </w:rPr>
        <w:t xml:space="preserve"> in the eye that helps to refract light. Any stimulus causing posterior migration and proliferation of the lens epithelial cells reduces the lens clarity, causing a cataract, and often results in some degree of visual loss </w:t>
      </w:r>
      <w:hyperlink w:anchor="page9" w:history="1">
        <w:r>
          <w:rPr>
            <w:rFonts w:eastAsia="Times New Roman"/>
            <w:color w:val="0080AD"/>
            <w:sz w:val="16"/>
          </w:rPr>
          <w:t>[32]</w:t>
        </w:r>
      </w:hyperlink>
      <w:r>
        <w:rPr>
          <w:rFonts w:eastAsia="Times New Roman"/>
          <w:sz w:val="16"/>
        </w:rPr>
        <w:t>. Th</w:t>
      </w:r>
      <w:r>
        <w:rPr>
          <w:rFonts w:eastAsia="Times New Roman"/>
          <w:sz w:val="16"/>
        </w:rPr>
        <w:t xml:space="preserve">e CTCAE v4.0 distinguishes 4 grades of cataract based on visual acuity ranging from asymptomatic (grade 1) to complete blindness (20/200 or worse) in the affected eye (grade 4) </w:t>
      </w:r>
      <w:hyperlink w:anchor="page9" w:history="1">
        <w:r>
          <w:rPr>
            <w:rFonts w:eastAsia="Times New Roman"/>
            <w:color w:val="0080AD"/>
            <w:sz w:val="16"/>
          </w:rPr>
          <w:t>[12]</w:t>
        </w:r>
      </w:hyperlink>
      <w:r>
        <w:rPr>
          <w:rFonts w:eastAsia="Times New Roman"/>
          <w:sz w:val="16"/>
        </w:rPr>
        <w:t>.</w:t>
      </w:r>
    </w:p>
    <w:p w:rsidR="00000000" w:rsidRDefault="00F431E9">
      <w:pPr>
        <w:spacing w:line="195" w:lineRule="exact"/>
        <w:jc w:val="left"/>
        <w:rPr>
          <w:sz w:val="24"/>
        </w:rPr>
      </w:pPr>
    </w:p>
    <w:p w:rsidR="00000000" w:rsidRDefault="00F431E9">
      <w:pPr>
        <w:overflowPunct w:val="0"/>
        <w:spacing w:line="275" w:lineRule="auto"/>
        <w:ind w:firstLine="234"/>
        <w:rPr>
          <w:sz w:val="24"/>
        </w:rPr>
      </w:pPr>
      <w:r>
        <w:rPr>
          <w:rFonts w:eastAsia="Times New Roman"/>
          <w:sz w:val="16"/>
        </w:rPr>
        <w:t>Irradiating the lens can lead to cataract forma</w:t>
      </w:r>
      <w:r>
        <w:rPr>
          <w:rFonts w:eastAsia="Times New Roman"/>
          <w:sz w:val="16"/>
        </w:rPr>
        <w:t xml:space="preserve">tion. The initial insult consists of damage to the germinative zone of the lens epithelium, which leads to extensive cell death, compensatory mitosis, and the generation of the so-called ‘Wedl’ cells </w:t>
      </w:r>
      <w:hyperlink w:anchor="page9" w:history="1">
        <w:r>
          <w:rPr>
            <w:rFonts w:eastAsia="Times New Roman"/>
            <w:color w:val="0080AD"/>
            <w:sz w:val="16"/>
          </w:rPr>
          <w:t>[18,27,32–35]</w:t>
        </w:r>
      </w:hyperlink>
      <w:r>
        <w:rPr>
          <w:rFonts w:eastAsia="Times New Roman"/>
          <w:sz w:val="16"/>
        </w:rPr>
        <w:t>.</w:t>
      </w:r>
      <w:r>
        <w:rPr>
          <w:rFonts w:eastAsia="Times New Roman"/>
          <w:color w:val="0080AD"/>
          <w:sz w:val="16"/>
        </w:rPr>
        <w:t xml:space="preserve"> </w:t>
      </w:r>
      <w:r>
        <w:rPr>
          <w:rFonts w:eastAsia="Times New Roman"/>
          <w:sz w:val="16"/>
        </w:rPr>
        <w:t>The severity and</w:t>
      </w:r>
      <w:r>
        <w:rPr>
          <w:rFonts w:eastAsia="Times New Roman"/>
          <w:sz w:val="16"/>
        </w:rPr>
        <w:t xml:space="preserve"> delay until onset of radiation-induced cataracts is dose-dependent, however, the accurate threshold is poorly understood. Several retrospective studies have investigated the occurrence of cataract after irradiation </w:t>
      </w:r>
      <w:hyperlink w:anchor="page9" w:history="1">
        <w:r>
          <w:rPr>
            <w:rFonts w:eastAsia="Times New Roman"/>
            <w:color w:val="0080AD"/>
            <w:sz w:val="16"/>
          </w:rPr>
          <w:t>[36,37]</w:t>
        </w:r>
      </w:hyperlink>
      <w:r>
        <w:rPr>
          <w:rFonts w:eastAsia="Times New Roman"/>
          <w:sz w:val="16"/>
        </w:rPr>
        <w:t xml:space="preserve"> (</w:t>
      </w:r>
      <w:hyperlink w:anchor="page9" w:history="1">
        <w:r>
          <w:rPr>
            <w:rFonts w:eastAsia="Times New Roman"/>
            <w:color w:val="0080AD"/>
            <w:sz w:val="16"/>
          </w:rPr>
          <w:t>Supplementary Table IV</w:t>
        </w:r>
      </w:hyperlink>
      <w:r>
        <w:rPr>
          <w:rFonts w:eastAsia="Times New Roman"/>
          <w:sz w:val="16"/>
        </w:rPr>
        <w:t>).</w:t>
      </w:r>
    </w:p>
    <w:p w:rsidR="00000000" w:rsidRDefault="00F431E9">
      <w:pPr>
        <w:spacing w:line="200" w:lineRule="exact"/>
        <w:jc w:val="left"/>
        <w:rPr>
          <w:sz w:val="24"/>
        </w:rPr>
      </w:pPr>
    </w:p>
    <w:p w:rsidR="00000000" w:rsidRDefault="00F431E9">
      <w:pPr>
        <w:spacing w:line="208" w:lineRule="exact"/>
        <w:jc w:val="left"/>
        <w:rPr>
          <w:sz w:val="24"/>
        </w:rPr>
      </w:pPr>
    </w:p>
    <w:p w:rsidR="00000000" w:rsidRDefault="00F431E9">
      <w:pPr>
        <w:overflowPunct w:val="0"/>
        <w:spacing w:line="276" w:lineRule="auto"/>
        <w:ind w:firstLine="234"/>
        <w:rPr>
          <w:sz w:val="24"/>
        </w:rPr>
      </w:pPr>
      <w:r>
        <w:rPr>
          <w:rFonts w:eastAsia="Times New Roman"/>
          <w:sz w:val="16"/>
        </w:rPr>
        <w:t xml:space="preserve">While Emami et al. </w:t>
      </w:r>
      <w:hyperlink w:anchor="page9" w:history="1">
        <w:r>
          <w:rPr>
            <w:rFonts w:eastAsia="Times New Roman"/>
            <w:color w:val="0080AD"/>
            <w:sz w:val="16"/>
          </w:rPr>
          <w:t>[3]</w:t>
        </w:r>
        <w:r>
          <w:rPr>
            <w:rFonts w:eastAsia="Times New Roman"/>
            <w:sz w:val="16"/>
          </w:rPr>
          <w:t xml:space="preserve"> </w:t>
        </w:r>
      </w:hyperlink>
      <w:r>
        <w:rPr>
          <w:rFonts w:eastAsia="Times New Roman"/>
          <w:sz w:val="16"/>
        </w:rPr>
        <w:t>estimated the TD5/5 of the lens to be 10 Gy and the TD50/5 to be 18 Gy, other series have demonstrated that even lower doses can result in the occurrence of catar</w:t>
      </w:r>
      <w:r>
        <w:rPr>
          <w:rFonts w:eastAsia="Times New Roman"/>
          <w:sz w:val="16"/>
        </w:rPr>
        <w:t xml:space="preserve">act </w:t>
      </w:r>
      <w:hyperlink w:anchor="page9" w:history="1">
        <w:r>
          <w:rPr>
            <w:rFonts w:eastAsia="Times New Roman"/>
            <w:color w:val="0080AD"/>
            <w:sz w:val="16"/>
          </w:rPr>
          <w:t>[38,39]</w:t>
        </w:r>
      </w:hyperlink>
      <w:r>
        <w:rPr>
          <w:rFonts w:eastAsia="Times New Roman"/>
          <w:sz w:val="16"/>
        </w:rPr>
        <w:t>.</w:t>
      </w:r>
      <w:r>
        <w:rPr>
          <w:rFonts w:eastAsia="Times New Roman"/>
          <w:color w:val="0080AD"/>
          <w:sz w:val="16"/>
        </w:rPr>
        <w:t xml:space="preserve"> </w:t>
      </w:r>
      <w:r>
        <w:rPr>
          <w:rFonts w:eastAsia="Times New Roman"/>
          <w:sz w:val="16"/>
        </w:rPr>
        <w:t>Recently, the International Commission on Radiological</w:t>
      </w:r>
      <w:r>
        <w:rPr>
          <w:rFonts w:eastAsia="Times New Roman"/>
          <w:color w:val="0080AD"/>
          <w:sz w:val="16"/>
        </w:rPr>
        <w:t xml:space="preserve"> </w:t>
      </w:r>
      <w:r>
        <w:rPr>
          <w:rFonts w:eastAsia="Times New Roman"/>
          <w:sz w:val="16"/>
        </w:rPr>
        <w:t xml:space="preserve">Protection (ICRP) defined 0.5 Gy as the new threshold dose for lens opacities, which is based on the data from population based stud-ies in diagnostic imaging and </w:t>
      </w:r>
      <w:r>
        <w:rPr>
          <w:rFonts w:eastAsia="Times New Roman"/>
          <w:sz w:val="16"/>
        </w:rPr>
        <w:t xml:space="preserve">occupational exposure </w:t>
      </w:r>
      <w:hyperlink w:anchor="page9" w:history="1">
        <w:r>
          <w:rPr>
            <w:rFonts w:eastAsia="Times New Roman"/>
            <w:color w:val="0080AD"/>
            <w:sz w:val="16"/>
          </w:rPr>
          <w:t>[40,41]</w:t>
        </w:r>
      </w:hyperlink>
      <w:r>
        <w:rPr>
          <w:rFonts w:eastAsia="Times New Roman"/>
          <w:sz w:val="16"/>
        </w:rPr>
        <w:t>.</w:t>
      </w:r>
    </w:p>
    <w:p w:rsidR="00000000" w:rsidRDefault="00F431E9">
      <w:pPr>
        <w:spacing w:line="194" w:lineRule="exact"/>
        <w:jc w:val="left"/>
        <w:rPr>
          <w:sz w:val="24"/>
        </w:rPr>
      </w:pPr>
    </w:p>
    <w:p w:rsidR="00000000" w:rsidRDefault="00F431E9">
      <w:pPr>
        <w:overflowPunct w:val="0"/>
        <w:spacing w:line="256" w:lineRule="auto"/>
        <w:ind w:firstLine="234"/>
        <w:rPr>
          <w:sz w:val="24"/>
        </w:rPr>
      </w:pPr>
      <w:r>
        <w:rPr>
          <w:rFonts w:eastAsia="Times New Roman"/>
          <w:sz w:val="16"/>
        </w:rPr>
        <w:lastRenderedPageBreak/>
        <w:t>Based on these data, the EPTN consensus panel suggests the dose to the lens to be kept as low as reasonably achievable (ALARA) and should not surpass D</w:t>
      </w:r>
      <w:r>
        <w:rPr>
          <w:rFonts w:eastAsia="Times New Roman"/>
          <w:vertAlign w:val="subscript"/>
        </w:rPr>
        <w:t>0.03 cc</w:t>
      </w:r>
      <w:r>
        <w:rPr>
          <w:rFonts w:eastAsia="Times New Roman"/>
          <w:sz w:val="16"/>
        </w:rPr>
        <w:t xml:space="preserve"> of 10 Gy. Conversely, as replace-ment of</w:t>
      </w:r>
      <w:r>
        <w:rPr>
          <w:rFonts w:eastAsia="Times New Roman"/>
          <w:sz w:val="16"/>
        </w:rPr>
        <w:t xml:space="preserve"> a damaged lens is a relatively harmless procedure nowa-days, target volume coverage should not be compromised in an</w:t>
      </w:r>
    </w:p>
    <w:p w:rsidR="00000000" w:rsidRDefault="00F431E9">
      <w:pPr>
        <w:jc w:val="left"/>
        <w:rPr>
          <w:sz w:val="24"/>
        </w:rPr>
        <w:sectPr w:rsidR="00000000">
          <w:type w:val="continuous"/>
          <w:pgSz w:w="11900" w:h="15874"/>
          <w:pgMar w:top="933" w:right="840" w:bottom="459" w:left="660" w:header="720" w:footer="720" w:gutter="0"/>
          <w:cols w:num="2" w:space="360" w:equalWidth="0">
            <w:col w:w="10400" w:space="360"/>
            <w:col w:w="5020"/>
          </w:cols>
        </w:sectPr>
      </w:pPr>
    </w:p>
    <w:tbl>
      <w:tblPr>
        <w:tblW w:w="0" w:type="auto"/>
        <w:tblInd w:w="0" w:type="dxa"/>
        <w:tblLayout w:type="fixed"/>
        <w:tblCellMar>
          <w:left w:w="0" w:type="dxa"/>
          <w:right w:w="0" w:type="dxa"/>
        </w:tblCellMar>
        <w:tblLook w:val="0000"/>
      </w:tblPr>
      <w:tblGrid>
        <w:gridCol w:w="5460"/>
        <w:gridCol w:w="1700"/>
      </w:tblGrid>
      <w:tr w:rsidR="00000000">
        <w:trPr>
          <w:trHeight w:val="155"/>
        </w:trPr>
        <w:tc>
          <w:tcPr>
            <w:tcW w:w="5460" w:type="dxa"/>
            <w:tcBorders>
              <w:top w:val="nil"/>
              <w:left w:val="nil"/>
              <w:bottom w:val="nil"/>
              <w:right w:val="nil"/>
              <w:tl2br w:val="nil"/>
              <w:tr2bl w:val="nil"/>
            </w:tcBorders>
            <w:vAlign w:val="bottom"/>
          </w:tcPr>
          <w:p w:rsidR="00000000" w:rsidRDefault="00F431E9">
            <w:pPr>
              <w:jc w:val="left"/>
              <w:rPr>
                <w:sz w:val="24"/>
              </w:rPr>
            </w:pPr>
            <w:bookmarkStart w:id="3" w:name="page5"/>
            <w:bookmarkEnd w:id="3"/>
            <w:r>
              <w:rPr>
                <w:sz w:val="24"/>
              </w:rPr>
              <w:lastRenderedPageBreak/>
              <w:cr/>
            </w:r>
            <w:r>
              <w:rPr>
                <w:sz w:val="24"/>
              </w:rPr>
              <w:cr/>
            </w:r>
            <w:r>
              <w:rPr>
                <w:sz w:val="24"/>
              </w:rPr>
              <w:t xml:space="preserve">
</w:t>
            </w:r>
            <w:r>
              <w:rPr>
                <w:rFonts w:eastAsia="Times New Roman"/>
                <w:sz w:val="13"/>
              </w:rPr>
              <w:t>M. Lambrecht et al. / Radiotherapy and Oncology 128 (2018) 26–36</w:t>
            </w:r>
          </w:p>
        </w:tc>
        <w:tc>
          <w:tcPr>
            <w:tcW w:w="1700" w:type="dxa"/>
            <w:tcBorders>
              <w:top w:val="nil"/>
              <w:left w:val="nil"/>
              <w:bottom w:val="nil"/>
              <w:right w:val="nil"/>
              <w:tl2br w:val="nil"/>
              <w:tr2bl w:val="nil"/>
            </w:tcBorders>
            <w:vAlign w:val="bottom"/>
          </w:tcPr>
          <w:p w:rsidR="00000000" w:rsidRDefault="00F431E9">
            <w:pPr>
              <w:jc w:val="right"/>
              <w:rPr>
                <w:sz w:val="24"/>
              </w:rPr>
            </w:pPr>
            <w:r>
              <w:rPr>
                <w:rFonts w:eastAsia="Times New Roman"/>
                <w:sz w:val="13"/>
              </w:rPr>
              <w:t>29</w:t>
            </w:r>
          </w:p>
        </w:tc>
      </w:tr>
    </w:tbl>
    <w:p w:rsidR="00000000" w:rsidRDefault="00F431E9">
      <w:pPr>
        <w:jc w:val="left"/>
        <w:rPr>
          <w:sz w:val="24"/>
        </w:rPr>
        <w:sectPr w:rsidR="00000000">
          <w:pgSz w:w="11900" w:h="15874"/>
          <w:pgMar w:top="932" w:right="640" w:bottom="664" w:left="4100" w:header="720" w:footer="720" w:gutter="0"/>
          <w:cols w:space="720"/>
        </w:sectPr>
      </w:pPr>
    </w:p>
    <w:p w:rsidR="00000000" w:rsidRDefault="00F431E9">
      <w:pPr>
        <w:spacing w:line="234" w:lineRule="exact"/>
        <w:jc w:val="left"/>
        <w:rPr>
          <w:sz w:val="24"/>
        </w:rPr>
      </w:pPr>
    </w:p>
    <w:p w:rsidR="00000000" w:rsidRDefault="00F431E9">
      <w:pPr>
        <w:overflowPunct w:val="0"/>
        <w:spacing w:line="253" w:lineRule="auto"/>
        <w:rPr>
          <w:sz w:val="24"/>
        </w:rPr>
      </w:pPr>
      <w:r>
        <w:rPr>
          <w:rFonts w:eastAsia="Times New Roman"/>
          <w:sz w:val="16"/>
        </w:rPr>
        <w:t xml:space="preserve">attempt to spare the lenses. Since the limited data on an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w:t>
      </w:r>
      <w:r>
        <w:rPr>
          <w:rFonts w:eastAsia="Times New Roman"/>
          <w:sz w:val="16"/>
        </w:rPr>
        <w:t xml:space="preserve">tio for the lens suggests values of 0.76–1.2 Gy, we propose to use an </w:t>
      </w:r>
      <w:r>
        <w:rPr>
          <w:rFonts w:ascii="Arial" w:eastAsia="Times New Roman" w:hAnsi="Arial"/>
          <w:sz w:val="18"/>
        </w:rPr>
        <w:t>a</w:t>
      </w:r>
      <w:r>
        <w:rPr>
          <w:rFonts w:eastAsia="Times New Roman"/>
          <w:sz w:val="16"/>
        </w:rPr>
        <w:t xml:space="preserve">/ </w:t>
      </w:r>
      <w:r>
        <w:rPr>
          <w:rFonts w:ascii="Arial" w:eastAsia="Times New Roman" w:hAnsi="Arial"/>
          <w:sz w:val="16"/>
        </w:rPr>
        <w:t xml:space="preserve">b </w:t>
      </w:r>
      <w:r>
        <w:rPr>
          <w:rFonts w:eastAsia="Times New Roman"/>
          <w:sz w:val="16"/>
        </w:rPr>
        <w:t>ratio of 1 Gy for late toxicity</w:t>
      </w:r>
      <w:r>
        <w:rPr>
          <w:rFonts w:ascii="Arial" w:eastAsia="Times New Roman" w:hAnsi="Arial"/>
          <w:sz w:val="16"/>
        </w:rPr>
        <w:t xml:space="preserve"> </w:t>
      </w:r>
      <w:hyperlink w:anchor="page9" w:history="1">
        <w:r>
          <w:rPr>
            <w:rFonts w:eastAsia="Times New Roman"/>
            <w:color w:val="0080AD"/>
            <w:sz w:val="16"/>
          </w:rPr>
          <w:t>[19,42,43]</w:t>
        </w:r>
      </w:hyperlink>
      <w:r>
        <w:rPr>
          <w:rFonts w:eastAsia="Times New Roman"/>
          <w:sz w:val="16"/>
        </w:rPr>
        <w:t>.</w:t>
      </w:r>
    </w:p>
    <w:p w:rsidR="00000000" w:rsidRDefault="00F431E9">
      <w:pPr>
        <w:spacing w:line="212" w:lineRule="exact"/>
        <w:jc w:val="left"/>
        <w:rPr>
          <w:sz w:val="24"/>
        </w:rPr>
      </w:pPr>
    </w:p>
    <w:p w:rsidR="00000000" w:rsidRDefault="00F431E9">
      <w:pPr>
        <w:jc w:val="left"/>
        <w:rPr>
          <w:sz w:val="24"/>
        </w:rPr>
      </w:pPr>
      <w:r>
        <w:rPr>
          <w:rFonts w:eastAsia="Times New Roman"/>
          <w:sz w:val="16"/>
        </w:rPr>
        <w:t>Optic nerve</w:t>
      </w:r>
    </w:p>
    <w:p w:rsidR="00000000" w:rsidRDefault="00F431E9">
      <w:pPr>
        <w:spacing w:line="24" w:lineRule="exact"/>
        <w:jc w:val="left"/>
        <w:rPr>
          <w:sz w:val="24"/>
        </w:rPr>
      </w:pPr>
    </w:p>
    <w:p w:rsidR="00000000" w:rsidRDefault="00F431E9">
      <w:pPr>
        <w:overflowPunct w:val="0"/>
        <w:spacing w:line="274" w:lineRule="auto"/>
        <w:ind w:firstLine="235"/>
        <w:rPr>
          <w:sz w:val="24"/>
        </w:rPr>
      </w:pPr>
      <w:r>
        <w:rPr>
          <w:rFonts w:eastAsia="Times New Roman"/>
          <w:sz w:val="16"/>
        </w:rPr>
        <w:t>First described in 1956, radiation induced optic neuropathy (RION) is a rare yet disabling conditi</w:t>
      </w:r>
      <w:r>
        <w:rPr>
          <w:rFonts w:eastAsia="Times New Roman"/>
          <w:sz w:val="16"/>
        </w:rPr>
        <w:t xml:space="preserve">on with a potentially devastat-ing impact on the vision of the affected eye </w:t>
      </w:r>
      <w:hyperlink w:anchor="page9" w:history="1">
        <w:r>
          <w:rPr>
            <w:rFonts w:eastAsia="Times New Roman"/>
            <w:color w:val="0080AD"/>
            <w:sz w:val="16"/>
          </w:rPr>
          <w:t>[44]</w:t>
        </w:r>
      </w:hyperlink>
      <w:r>
        <w:rPr>
          <w:rFonts w:eastAsia="Times New Roman"/>
          <w:sz w:val="16"/>
        </w:rPr>
        <w:t xml:space="preserve">. The pathogenesis of RION is not fully understood, but it is often considered to be delayed radionecrosis in the CNS and thus the effect of radiation </w:t>
      </w:r>
      <w:r>
        <w:rPr>
          <w:rFonts w:eastAsia="Times New Roman"/>
          <w:sz w:val="16"/>
        </w:rPr>
        <w:t xml:space="preserve">on the optic nerve appears to be both vascular and neuropathic in nature </w:t>
      </w:r>
      <w:hyperlink w:anchor="page9" w:history="1">
        <w:r>
          <w:rPr>
            <w:rFonts w:eastAsia="Times New Roman"/>
            <w:color w:val="0080AD"/>
            <w:sz w:val="16"/>
          </w:rPr>
          <w:t>[23,32,45,46]</w:t>
        </w:r>
      </w:hyperlink>
      <w:r>
        <w:rPr>
          <w:rFonts w:eastAsia="Times New Roman"/>
          <w:sz w:val="16"/>
        </w:rPr>
        <w:t>. It usually presents with painless, rapid visual loss and can occur between 3 months and 8 years after treat-ment, with a peak between 1 and 1.5</w:t>
      </w:r>
      <w:r>
        <w:rPr>
          <w:rFonts w:eastAsia="Times New Roman"/>
          <w:sz w:val="16"/>
        </w:rPr>
        <w:t xml:space="preserve"> years </w:t>
      </w:r>
      <w:hyperlink w:anchor="page9" w:history="1">
        <w:r>
          <w:rPr>
            <w:rFonts w:eastAsia="Times New Roman"/>
            <w:color w:val="0080AD"/>
            <w:sz w:val="16"/>
          </w:rPr>
          <w:t>[45,47]</w:t>
        </w:r>
      </w:hyperlink>
      <w:r>
        <w:rPr>
          <w:rFonts w:eastAsia="Times New Roman"/>
          <w:sz w:val="16"/>
        </w:rPr>
        <w:t xml:space="preserve">. It is graded according to the CTCAE v4.0 as grade 1 being asymptomatic, grade 2 limiting vision of the affected eye (20/40 or better), grade 3 lim-iting vision in the affected eye (worse than 20/40) but better than </w:t>
      </w:r>
      <w:r>
        <w:rPr>
          <w:rFonts w:eastAsia="Times New Roman"/>
          <w:sz w:val="16"/>
        </w:rPr>
        <w:t xml:space="preserve">20/200 or grade 4, blindness which is 20/200 or worse in the affected eye </w:t>
      </w:r>
      <w:hyperlink w:anchor="page9" w:history="1">
        <w:r>
          <w:rPr>
            <w:rFonts w:eastAsia="Times New Roman"/>
            <w:color w:val="0080AD"/>
            <w:sz w:val="16"/>
          </w:rPr>
          <w:t>[12]</w:t>
        </w:r>
      </w:hyperlink>
      <w:r>
        <w:rPr>
          <w:rFonts w:eastAsia="Times New Roman"/>
          <w:sz w:val="16"/>
        </w:rPr>
        <w:t>.</w:t>
      </w:r>
    </w:p>
    <w:p w:rsidR="00000000" w:rsidRDefault="00F431E9">
      <w:pPr>
        <w:spacing w:line="200" w:lineRule="exact"/>
        <w:jc w:val="left"/>
        <w:rPr>
          <w:sz w:val="24"/>
        </w:rPr>
      </w:pPr>
    </w:p>
    <w:p w:rsidR="00000000" w:rsidRDefault="00F431E9">
      <w:pPr>
        <w:spacing w:line="208" w:lineRule="exact"/>
        <w:jc w:val="left"/>
        <w:rPr>
          <w:sz w:val="24"/>
        </w:rPr>
      </w:pPr>
    </w:p>
    <w:p w:rsidR="00000000" w:rsidRDefault="00F431E9">
      <w:pPr>
        <w:overflowPunct w:val="0"/>
        <w:spacing w:line="252" w:lineRule="auto"/>
        <w:ind w:firstLine="235"/>
        <w:rPr>
          <w:sz w:val="24"/>
        </w:rPr>
      </w:pPr>
      <w:r>
        <w:rPr>
          <w:rFonts w:eastAsia="Times New Roman"/>
          <w:sz w:val="16"/>
        </w:rPr>
        <w:t>Complication data for RION have been reported for photons and protons, and following irradiation for several indications. A selected group of studies</w:t>
      </w:r>
      <w:r>
        <w:rPr>
          <w:rFonts w:eastAsia="Times New Roman"/>
          <w:sz w:val="16"/>
        </w:rPr>
        <w:t xml:space="preserve"> is depicted in </w:t>
      </w:r>
      <w:hyperlink w:anchor="page9" w:history="1">
        <w:r>
          <w:rPr>
            <w:rFonts w:eastAsia="Times New Roman"/>
            <w:color w:val="0080AD"/>
            <w:sz w:val="16"/>
          </w:rPr>
          <w:t>Supplementary Table V</w:t>
        </w:r>
      </w:hyperlink>
      <w:r>
        <w:rPr>
          <w:rFonts w:eastAsia="Times New Roman"/>
          <w:sz w:val="16"/>
        </w:rPr>
        <w:t xml:space="preserve"> </w:t>
      </w:r>
      <w:hyperlink w:anchor="page9" w:history="1">
        <w:r>
          <w:rPr>
            <w:rFonts w:eastAsia="Times New Roman"/>
            <w:color w:val="0080AD"/>
            <w:sz w:val="16"/>
          </w:rPr>
          <w:t>[23,48–54]</w:t>
        </w:r>
      </w:hyperlink>
      <w:r>
        <w:rPr>
          <w:rFonts w:eastAsia="Times New Roman"/>
          <w:sz w:val="16"/>
        </w:rPr>
        <w:t>.</w:t>
      </w:r>
      <w:r>
        <w:rPr>
          <w:rFonts w:eastAsia="Times New Roman"/>
          <w:color w:val="0080AD"/>
          <w:sz w:val="16"/>
        </w:rPr>
        <w:t xml:space="preserve"> </w:t>
      </w:r>
      <w:r>
        <w:rPr>
          <w:rFonts w:eastAsia="Times New Roman"/>
          <w:sz w:val="16"/>
        </w:rPr>
        <w:t>Emami et al.</w:t>
      </w:r>
      <w:r>
        <w:rPr>
          <w:rFonts w:eastAsia="Times New Roman"/>
          <w:color w:val="0080AD"/>
          <w:sz w:val="16"/>
        </w:rPr>
        <w:t xml:space="preserve"> </w:t>
      </w:r>
      <w:hyperlink w:anchor="page9" w:history="1">
        <w:r>
          <w:rPr>
            <w:rFonts w:eastAsia="Times New Roman"/>
            <w:color w:val="0080AD"/>
            <w:sz w:val="16"/>
          </w:rPr>
          <w:t xml:space="preserve">[3] </w:t>
        </w:r>
      </w:hyperlink>
      <w:r>
        <w:rPr>
          <w:rFonts w:eastAsia="Times New Roman"/>
          <w:sz w:val="16"/>
        </w:rPr>
        <w:t>suggested</w:t>
      </w:r>
      <w:r>
        <w:rPr>
          <w:rFonts w:eastAsia="Times New Roman"/>
          <w:color w:val="0080AD"/>
          <w:sz w:val="16"/>
        </w:rPr>
        <w:t xml:space="preserve"> </w:t>
      </w:r>
      <w:r>
        <w:rPr>
          <w:rFonts w:eastAsia="Times New Roman"/>
          <w:sz w:val="16"/>
        </w:rPr>
        <w:t>a TD5/5 of 50 Gy and a</w:t>
      </w:r>
      <w:r>
        <w:rPr>
          <w:rFonts w:eastAsia="Times New Roman"/>
          <w:color w:val="0080AD"/>
          <w:sz w:val="16"/>
        </w:rPr>
        <w:t xml:space="preserve"> </w:t>
      </w:r>
      <w:r>
        <w:rPr>
          <w:rFonts w:eastAsia="Times New Roman"/>
          <w:sz w:val="16"/>
        </w:rPr>
        <w:t>TD50/5 of 65 Gy. However, in the QUANTEC analysis this was deemed inaccurate afte</w:t>
      </w:r>
      <w:r>
        <w:rPr>
          <w:rFonts w:eastAsia="Times New Roman"/>
          <w:sz w:val="16"/>
        </w:rPr>
        <w:t>r review of the literature concluding that the incidence of RION was unusual for a D</w:t>
      </w:r>
      <w:r>
        <w:rPr>
          <w:rFonts w:eastAsia="Times New Roman"/>
          <w:vertAlign w:val="subscript"/>
        </w:rPr>
        <w:t>max</w:t>
      </w:r>
      <w:r>
        <w:rPr>
          <w:rFonts w:eastAsia="Times New Roman"/>
          <w:sz w:val="16"/>
        </w:rPr>
        <w:t xml:space="preserve"> &lt; 55 Gy using con-ventional fractionation </w:t>
      </w:r>
      <w:hyperlink w:anchor="page9" w:history="1">
        <w:r>
          <w:rPr>
            <w:rFonts w:eastAsia="Times New Roman"/>
            <w:color w:val="0080AD"/>
            <w:sz w:val="16"/>
          </w:rPr>
          <w:t>[5]</w:t>
        </w:r>
      </w:hyperlink>
      <w:r>
        <w:rPr>
          <w:rFonts w:eastAsia="Times New Roman"/>
          <w:sz w:val="16"/>
        </w:rPr>
        <w:t>. The incidence of RION increased between 55 and 60 Gy (3–7%) and was substantial (&gt;7–20%) for D</w:t>
      </w:r>
      <w:r>
        <w:rPr>
          <w:rFonts w:eastAsia="Times New Roman"/>
          <w:vertAlign w:val="subscript"/>
        </w:rPr>
        <w:t>ma</w:t>
      </w:r>
      <w:r>
        <w:rPr>
          <w:rFonts w:eastAsia="Times New Roman"/>
          <w:vertAlign w:val="subscript"/>
        </w:rPr>
        <w:t>x</w:t>
      </w:r>
      <w:r>
        <w:rPr>
          <w:rFonts w:eastAsia="Times New Roman"/>
          <w:sz w:val="16"/>
        </w:rPr>
        <w:t xml:space="preserve"> &gt; 60 Gy, although it should be noted that in some studies even at these high doses no clinically significant RION was observed. For particles most investigators also confirmed that the incidence of RION was low for a D</w:t>
      </w:r>
      <w:r>
        <w:rPr>
          <w:rFonts w:eastAsia="Times New Roman"/>
          <w:vertAlign w:val="subscript"/>
        </w:rPr>
        <w:t>max</w:t>
      </w:r>
      <w:r>
        <w:rPr>
          <w:rFonts w:eastAsia="Times New Roman"/>
          <w:sz w:val="16"/>
        </w:rPr>
        <w:t xml:space="preserve"> &lt; 54 Gy (RBE).</w:t>
      </w:r>
    </w:p>
    <w:p w:rsidR="00000000" w:rsidRDefault="00F431E9">
      <w:pPr>
        <w:spacing w:line="200" w:lineRule="exact"/>
        <w:jc w:val="left"/>
        <w:rPr>
          <w:sz w:val="24"/>
        </w:rPr>
      </w:pPr>
    </w:p>
    <w:p w:rsidR="00000000" w:rsidRDefault="00F431E9">
      <w:pPr>
        <w:spacing w:line="213" w:lineRule="exact"/>
        <w:jc w:val="left"/>
        <w:rPr>
          <w:sz w:val="24"/>
        </w:rPr>
      </w:pPr>
    </w:p>
    <w:p w:rsidR="00000000" w:rsidRDefault="00F431E9">
      <w:pPr>
        <w:overflowPunct w:val="0"/>
        <w:ind w:firstLine="235"/>
        <w:rPr>
          <w:sz w:val="24"/>
        </w:rPr>
      </w:pPr>
      <w:r>
        <w:rPr>
          <w:rFonts w:eastAsia="Times New Roman"/>
          <w:sz w:val="16"/>
        </w:rPr>
        <w:t>Within the EPTN</w:t>
      </w:r>
      <w:r>
        <w:rPr>
          <w:rFonts w:eastAsia="Times New Roman"/>
          <w:sz w:val="16"/>
        </w:rPr>
        <w:t xml:space="preserve"> group we therefore support the use of D</w:t>
      </w:r>
      <w:r>
        <w:rPr>
          <w:rFonts w:eastAsia="Times New Roman"/>
          <w:vertAlign w:val="subscript"/>
        </w:rPr>
        <w:t>0.03</w:t>
      </w:r>
      <w:r>
        <w:rPr>
          <w:rFonts w:eastAsia="Times New Roman"/>
          <w:sz w:val="16"/>
        </w:rPr>
        <w:t xml:space="preserve"> 55 Gy for the optic nerve and suggest to use an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ratio of 2 Gy for late toxicity </w:t>
      </w:r>
      <w:hyperlink w:anchor="page9" w:history="1">
        <w:r>
          <w:rPr>
            <w:rFonts w:eastAsia="Times New Roman"/>
            <w:color w:val="0080AD"/>
            <w:sz w:val="16"/>
          </w:rPr>
          <w:t>[19]</w:t>
        </w:r>
      </w:hyperlink>
      <w:r>
        <w:rPr>
          <w:rFonts w:eastAsia="Times New Roman"/>
          <w:sz w:val="16"/>
        </w:rPr>
        <w:t>.</w:t>
      </w:r>
    </w:p>
    <w:p w:rsidR="00000000" w:rsidRDefault="00F431E9">
      <w:pPr>
        <w:spacing w:line="396" w:lineRule="exact"/>
        <w:jc w:val="left"/>
        <w:rPr>
          <w:sz w:val="24"/>
        </w:rPr>
      </w:pPr>
    </w:p>
    <w:p w:rsidR="00000000" w:rsidRDefault="00F431E9">
      <w:pPr>
        <w:jc w:val="left"/>
        <w:rPr>
          <w:sz w:val="24"/>
        </w:rPr>
      </w:pPr>
      <w:r>
        <w:rPr>
          <w:rFonts w:eastAsia="Times New Roman"/>
          <w:sz w:val="16"/>
        </w:rPr>
        <w:t>Optic chiasm</w:t>
      </w:r>
    </w:p>
    <w:p w:rsidR="00000000" w:rsidRDefault="00F431E9">
      <w:pPr>
        <w:spacing w:line="24" w:lineRule="exact"/>
        <w:jc w:val="left"/>
        <w:rPr>
          <w:sz w:val="24"/>
        </w:rPr>
      </w:pPr>
    </w:p>
    <w:p w:rsidR="00000000" w:rsidRDefault="00F431E9">
      <w:pPr>
        <w:overflowPunct w:val="0"/>
        <w:spacing w:line="263" w:lineRule="auto"/>
        <w:ind w:firstLine="235"/>
        <w:rPr>
          <w:sz w:val="24"/>
        </w:rPr>
      </w:pPr>
      <w:r>
        <w:rPr>
          <w:rFonts w:eastAsia="Times New Roman"/>
          <w:sz w:val="16"/>
        </w:rPr>
        <w:t>In the optic chiasm, the optic nerve fibres from the nasal sides of each retina c</w:t>
      </w:r>
      <w:r>
        <w:rPr>
          <w:rFonts w:eastAsia="Times New Roman"/>
          <w:sz w:val="16"/>
        </w:rPr>
        <w:t>ross to the opposite side of the brain. Toxicity of the optic chiasm is graded similarly as in RION. However, instead of unilateral visual loss, it typically presents as a bitemporal hemi-anopsia or even total blindness. As pathophysiology is similar to RI</w:t>
      </w:r>
      <w:r>
        <w:rPr>
          <w:rFonts w:eastAsia="Times New Roman"/>
          <w:sz w:val="16"/>
        </w:rPr>
        <w:t>ON, the same principles apply, and we suggest to use the same constraint, i.e., D</w:t>
      </w:r>
      <w:r>
        <w:rPr>
          <w:rFonts w:eastAsia="Times New Roman"/>
          <w:vertAlign w:val="subscript"/>
        </w:rPr>
        <w:t>0.03 cc</w:t>
      </w:r>
      <w:r>
        <w:rPr>
          <w:rFonts w:eastAsia="Times New Roman"/>
          <w:sz w:val="16"/>
        </w:rPr>
        <w:t xml:space="preserve"> 55 Gy and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ratio of 2 Gy </w:t>
      </w:r>
      <w:hyperlink w:anchor="page9" w:history="1">
        <w:r>
          <w:rPr>
            <w:rFonts w:eastAsia="Times New Roman"/>
            <w:color w:val="0080AD"/>
            <w:sz w:val="16"/>
          </w:rPr>
          <w:t>[19]</w:t>
        </w:r>
      </w:hyperlink>
      <w:r>
        <w:rPr>
          <w:rFonts w:eastAsia="Times New Roman"/>
          <w:sz w:val="16"/>
        </w:rPr>
        <w:t>. Specific caution should be taken in patients, in whom the optic chiasm has been manipulated, e.g., during ne</w:t>
      </w:r>
      <w:r>
        <w:rPr>
          <w:rFonts w:eastAsia="Times New Roman"/>
          <w:sz w:val="16"/>
        </w:rPr>
        <w:t>urosurgery.</w:t>
      </w:r>
    </w:p>
    <w:p w:rsidR="00000000" w:rsidRDefault="00F431E9">
      <w:pPr>
        <w:spacing w:line="200" w:lineRule="exact"/>
        <w:jc w:val="left"/>
        <w:rPr>
          <w:sz w:val="24"/>
        </w:rPr>
      </w:pPr>
    </w:p>
    <w:p w:rsidR="00000000" w:rsidRDefault="00F431E9">
      <w:pPr>
        <w:spacing w:line="304" w:lineRule="exact"/>
        <w:jc w:val="left"/>
        <w:rPr>
          <w:sz w:val="24"/>
        </w:rPr>
      </w:pPr>
    </w:p>
    <w:p w:rsidR="00000000" w:rsidRDefault="00F431E9">
      <w:pPr>
        <w:jc w:val="left"/>
        <w:rPr>
          <w:sz w:val="24"/>
        </w:rPr>
      </w:pPr>
      <w:r>
        <w:rPr>
          <w:rFonts w:eastAsia="Times New Roman"/>
          <w:sz w:val="16"/>
        </w:rPr>
        <w:t>Inner ear</w:t>
      </w:r>
    </w:p>
    <w:p w:rsidR="00000000" w:rsidRDefault="00F431E9">
      <w:pPr>
        <w:spacing w:line="128" w:lineRule="exact"/>
        <w:jc w:val="left"/>
        <w:rPr>
          <w:sz w:val="24"/>
        </w:rPr>
      </w:pPr>
    </w:p>
    <w:p w:rsidR="00000000" w:rsidRDefault="00F431E9">
      <w:pPr>
        <w:overflowPunct w:val="0"/>
        <w:spacing w:line="275" w:lineRule="auto"/>
        <w:ind w:firstLine="235"/>
        <w:rPr>
          <w:sz w:val="24"/>
        </w:rPr>
      </w:pPr>
      <w:r>
        <w:rPr>
          <w:rFonts w:eastAsia="Times New Roman"/>
          <w:sz w:val="16"/>
        </w:rPr>
        <w:t>The inner ear, also called labyrinth of the ear, is that part of the ear that contains the organs responsible for hearing (cochlea) and balance (vestibule and semi-circular canal). The bony labyrinth is divided into three sections:</w:t>
      </w:r>
      <w:r>
        <w:rPr>
          <w:rFonts w:eastAsia="Times New Roman"/>
          <w:sz w:val="16"/>
        </w:rPr>
        <w:t xml:space="preserve"> the vestibule, the semi-circular canals and the cochlea. Each section of the bony labyrinth contains peri-lymph and a part of the membranous labyrinth. The vestibule con-tains the utriculus and sacculus, the semi-circular canals contain a semi-circular du</w:t>
      </w:r>
      <w:r>
        <w:rPr>
          <w:rFonts w:eastAsia="Times New Roman"/>
          <w:sz w:val="16"/>
        </w:rPr>
        <w:t>ct, and the cochlea contains the cochlear duct.</w:t>
      </w:r>
    </w:p>
    <w:p w:rsidR="00000000" w:rsidRDefault="00F431E9">
      <w:pPr>
        <w:spacing w:line="200" w:lineRule="exact"/>
        <w:jc w:val="left"/>
        <w:rPr>
          <w:sz w:val="24"/>
        </w:rPr>
      </w:pPr>
    </w:p>
    <w:p w:rsidR="00000000" w:rsidRDefault="00F431E9">
      <w:pPr>
        <w:spacing w:line="215" w:lineRule="exact"/>
        <w:jc w:val="left"/>
        <w:rPr>
          <w:sz w:val="24"/>
        </w:rPr>
      </w:pPr>
    </w:p>
    <w:p w:rsidR="00000000" w:rsidRDefault="00F431E9">
      <w:pPr>
        <w:jc w:val="left"/>
        <w:rPr>
          <w:sz w:val="24"/>
        </w:rPr>
      </w:pPr>
      <w:r>
        <w:rPr>
          <w:rFonts w:eastAsia="Times New Roman"/>
          <w:sz w:val="16"/>
        </w:rPr>
        <w:t>Cochlea</w:t>
      </w:r>
    </w:p>
    <w:p w:rsidR="00000000" w:rsidRDefault="00F431E9">
      <w:pPr>
        <w:spacing w:line="23" w:lineRule="exact"/>
        <w:jc w:val="left"/>
        <w:rPr>
          <w:sz w:val="24"/>
        </w:rPr>
      </w:pPr>
    </w:p>
    <w:p w:rsidR="00000000" w:rsidRDefault="00F431E9">
      <w:pPr>
        <w:overflowPunct w:val="0"/>
        <w:spacing w:line="276" w:lineRule="auto"/>
        <w:ind w:firstLine="235"/>
        <w:rPr>
          <w:sz w:val="24"/>
        </w:rPr>
      </w:pPr>
      <w:r>
        <w:rPr>
          <w:rFonts w:eastAsia="Times New Roman"/>
          <w:sz w:val="16"/>
        </w:rPr>
        <w:t>Sensorineural hearing loss (SNHL) is the most important radiotherapy-induced complication of the inner ear, with up to 44% of patients reporting hearing loss after radiotherapy when one of the radi</w:t>
      </w:r>
      <w:r>
        <w:rPr>
          <w:rFonts w:eastAsia="Times New Roman"/>
          <w:sz w:val="16"/>
        </w:rPr>
        <w:t xml:space="preserve">ation beams passes the inner ear </w:t>
      </w:r>
      <w:hyperlink w:anchor="page9" w:history="1">
        <w:r>
          <w:rPr>
            <w:rFonts w:eastAsia="Times New Roman"/>
            <w:color w:val="0080AD"/>
            <w:sz w:val="16"/>
          </w:rPr>
          <w:t>[55,56]</w:t>
        </w:r>
      </w:hyperlink>
      <w:r>
        <w:rPr>
          <w:rFonts w:eastAsia="Times New Roman"/>
          <w:sz w:val="16"/>
        </w:rPr>
        <w:t xml:space="preserve">. Consis-tently throughout the literature, the high frequencies appear to be more affected than lower frequencies, and this is dose-dependent </w:t>
      </w:r>
      <w:hyperlink w:anchor="page9" w:history="1">
        <w:r>
          <w:rPr>
            <w:rFonts w:eastAsia="Times New Roman"/>
            <w:color w:val="0080AD"/>
            <w:sz w:val="16"/>
          </w:rPr>
          <w:t>[56–60]</w:t>
        </w:r>
      </w:hyperlink>
      <w:r>
        <w:rPr>
          <w:rFonts w:eastAsia="Times New Roman"/>
          <w:sz w:val="16"/>
        </w:rPr>
        <w:t>.</w:t>
      </w:r>
    </w:p>
    <w:p w:rsidR="00000000" w:rsidRDefault="00F431E9">
      <w:pPr>
        <w:spacing w:line="234" w:lineRule="exact"/>
        <w:jc w:val="left"/>
        <w:rPr>
          <w:sz w:val="24"/>
        </w:rPr>
      </w:pPr>
      <w:r>
        <w:rPr>
          <w:sz w:val="24"/>
        </w:rPr>
        <w:br w:type="column"/>
      </w:r>
    </w:p>
    <w:p w:rsidR="00000000" w:rsidRDefault="00F431E9">
      <w:pPr>
        <w:overflowPunct w:val="0"/>
        <w:spacing w:line="272" w:lineRule="auto"/>
        <w:ind w:firstLine="234"/>
        <w:rPr>
          <w:sz w:val="24"/>
        </w:rPr>
      </w:pPr>
      <w:r>
        <w:rPr>
          <w:rFonts w:eastAsia="Times New Roman"/>
          <w:sz w:val="16"/>
        </w:rPr>
        <w:t xml:space="preserve">Hearing loss </w:t>
      </w:r>
      <w:r>
        <w:rPr>
          <w:rFonts w:eastAsia="Times New Roman"/>
          <w:sz w:val="16"/>
        </w:rPr>
        <w:t xml:space="preserve">can be graded according to the CTCAE v4.0 </w:t>
      </w:r>
      <w:hyperlink w:anchor="page9" w:history="1">
        <w:r>
          <w:rPr>
            <w:rFonts w:eastAsia="Times New Roman"/>
            <w:color w:val="0080AD"/>
            <w:sz w:val="16"/>
          </w:rPr>
          <w:t>[12]</w:t>
        </w:r>
      </w:hyperlink>
      <w:r>
        <w:rPr>
          <w:rFonts w:eastAsia="Times New Roman"/>
          <w:sz w:val="16"/>
        </w:rPr>
        <w:t>. While early hearing loss during conventionally fractionated radio-therapy is usually transient and commonly due to serous otitis media, true SNHL classically occurs with a latency per</w:t>
      </w:r>
      <w:r>
        <w:rPr>
          <w:rFonts w:eastAsia="Times New Roman"/>
          <w:sz w:val="16"/>
        </w:rPr>
        <w:t xml:space="preserve">iod of 1.5– 5 years after radiotherapy and is irreversible </w:t>
      </w:r>
      <w:hyperlink w:anchor="page9" w:history="1">
        <w:r>
          <w:rPr>
            <w:rFonts w:eastAsia="Times New Roman"/>
            <w:color w:val="0080AD"/>
            <w:sz w:val="16"/>
          </w:rPr>
          <w:t>[55,57,61,62]</w:t>
        </w:r>
      </w:hyperlink>
      <w:r>
        <w:rPr>
          <w:rFonts w:eastAsia="Times New Roman"/>
          <w:sz w:val="16"/>
        </w:rPr>
        <w:t xml:space="preserve">. Histopathologically it results from loss of cochlear primary sensory cells and/or damage to the spiral ganglion or cochlear nerve </w:t>
      </w:r>
      <w:hyperlink w:anchor="page9" w:history="1">
        <w:r>
          <w:rPr>
            <w:rFonts w:eastAsia="Times New Roman"/>
            <w:color w:val="0080AD"/>
            <w:sz w:val="16"/>
          </w:rPr>
          <w:t>[63</w:t>
        </w:r>
        <w:r>
          <w:rPr>
            <w:rFonts w:eastAsia="Times New Roman"/>
            <w:color w:val="0080AD"/>
            <w:sz w:val="16"/>
          </w:rPr>
          <w:t>]</w:t>
        </w:r>
      </w:hyperlink>
      <w:r>
        <w:rPr>
          <w:rFonts w:eastAsia="Times New Roman"/>
          <w:sz w:val="16"/>
        </w:rPr>
        <w:t>.</w:t>
      </w:r>
    </w:p>
    <w:p w:rsidR="00000000" w:rsidRDefault="00F431E9">
      <w:pPr>
        <w:spacing w:line="4" w:lineRule="exact"/>
        <w:jc w:val="left"/>
        <w:rPr>
          <w:sz w:val="24"/>
        </w:rPr>
      </w:pPr>
    </w:p>
    <w:p w:rsidR="00000000" w:rsidRDefault="00F431E9">
      <w:pPr>
        <w:overflowPunct w:val="0"/>
        <w:spacing w:line="260" w:lineRule="auto"/>
        <w:ind w:firstLine="234"/>
        <w:rPr>
          <w:sz w:val="24"/>
        </w:rPr>
      </w:pPr>
      <w:r>
        <w:rPr>
          <w:rFonts w:eastAsia="Times New Roman"/>
          <w:sz w:val="16"/>
        </w:rPr>
        <w:t xml:space="preserve">The relationship between the dose to the cochlea and SNHL has been extensively investigated. Emami et al. </w:t>
      </w:r>
      <w:hyperlink w:anchor="page9" w:history="1">
        <w:r>
          <w:rPr>
            <w:rFonts w:eastAsia="Times New Roman"/>
            <w:color w:val="0080AD"/>
            <w:sz w:val="16"/>
          </w:rPr>
          <w:t>[3]</w:t>
        </w:r>
        <w:r>
          <w:rPr>
            <w:rFonts w:eastAsia="Times New Roman"/>
            <w:sz w:val="16"/>
          </w:rPr>
          <w:t xml:space="preserve"> </w:t>
        </w:r>
      </w:hyperlink>
      <w:r>
        <w:rPr>
          <w:rFonts w:eastAsia="Times New Roman"/>
          <w:sz w:val="16"/>
        </w:rPr>
        <w:t>identified a TD 5/5 of 60 Gy and TD 50/5 of 70 Gy for sensorineural or vestibular dam-age. However, based on more re</w:t>
      </w:r>
      <w:r>
        <w:rPr>
          <w:rFonts w:eastAsia="Times New Roman"/>
          <w:sz w:val="16"/>
        </w:rPr>
        <w:t>cent dose–volume data the QUAN-TEC consensus paper suggested the D</w:t>
      </w:r>
      <w:r>
        <w:rPr>
          <w:rFonts w:eastAsia="Times New Roman"/>
          <w:vertAlign w:val="subscript"/>
        </w:rPr>
        <w:t>mean</w:t>
      </w:r>
      <w:r>
        <w:rPr>
          <w:rFonts w:eastAsia="Times New Roman"/>
          <w:sz w:val="16"/>
        </w:rPr>
        <w:t xml:space="preserve"> to the cochlea 45 Gy or even more conservatively 35 Gy </w:t>
      </w:r>
      <w:hyperlink w:anchor="page9" w:history="1">
        <w:r>
          <w:rPr>
            <w:rFonts w:eastAsia="Times New Roman"/>
            <w:color w:val="0080AD"/>
            <w:sz w:val="16"/>
          </w:rPr>
          <w:t>[57–60,64,65]</w:t>
        </w:r>
      </w:hyperlink>
      <w:r>
        <w:rPr>
          <w:rFonts w:eastAsia="Times New Roman"/>
          <w:sz w:val="16"/>
        </w:rPr>
        <w:t>.</w:t>
      </w:r>
    </w:p>
    <w:p w:rsidR="00000000" w:rsidRDefault="00F431E9">
      <w:pPr>
        <w:spacing w:line="27" w:lineRule="exact"/>
        <w:jc w:val="left"/>
        <w:rPr>
          <w:sz w:val="24"/>
        </w:rPr>
      </w:pPr>
    </w:p>
    <w:p w:rsidR="00000000" w:rsidRDefault="00F431E9">
      <w:pPr>
        <w:overflowPunct w:val="0"/>
        <w:spacing w:line="261" w:lineRule="auto"/>
        <w:ind w:firstLine="234"/>
        <w:rPr>
          <w:sz w:val="24"/>
        </w:rPr>
      </w:pPr>
      <w:r>
        <w:rPr>
          <w:rFonts w:eastAsia="Times New Roman"/>
          <w:sz w:val="16"/>
        </w:rPr>
        <w:t xml:space="preserve">The recent publication by De Marzi et al. </w:t>
      </w:r>
      <w:hyperlink w:anchor="page9" w:history="1">
        <w:r>
          <w:rPr>
            <w:rFonts w:eastAsia="Times New Roman"/>
            <w:color w:val="0080AD"/>
            <w:sz w:val="16"/>
          </w:rPr>
          <w:t>[66]</w:t>
        </w:r>
      </w:hyperlink>
      <w:r>
        <w:rPr>
          <w:rFonts w:eastAsia="Times New Roman"/>
          <w:sz w:val="16"/>
        </w:rPr>
        <w:t>, who investigated</w:t>
      </w:r>
      <w:r>
        <w:rPr>
          <w:rFonts w:eastAsia="Times New Roman"/>
          <w:sz w:val="16"/>
        </w:rPr>
        <w:t xml:space="preserve"> 140 patients treated with photon and proton therapy for base of skull tumours, reported on a dose–response model for the inner ear. After qualitative correlation of D</w:t>
      </w:r>
      <w:r>
        <w:rPr>
          <w:rFonts w:eastAsia="Times New Roman"/>
          <w:vertAlign w:val="subscript"/>
        </w:rPr>
        <w:t>mean</w:t>
      </w:r>
      <w:r>
        <w:rPr>
          <w:rFonts w:eastAsia="Times New Roman"/>
          <w:sz w:val="16"/>
        </w:rPr>
        <w:t xml:space="preserve"> with auditory toxicity (scored as grade 1–2 hearing loss, based on CTCAE v4.0), no s</w:t>
      </w:r>
      <w:r>
        <w:rPr>
          <w:rFonts w:eastAsia="Times New Roman"/>
          <w:sz w:val="16"/>
        </w:rPr>
        <w:t>ignif-icant cut-off value could be determined. Considering the size of the organ, they calculated the generalized equivalent uniform dose and found it to be a predictive factor for late complications. For the cochlea and inner ear, a tolerance uniform dose</w:t>
      </w:r>
      <w:r>
        <w:rPr>
          <w:rFonts w:eastAsia="Times New Roman"/>
          <w:sz w:val="16"/>
        </w:rPr>
        <w:t xml:space="preserve"> delivered to the whole organ for 50% complication rate (TD 50) of 56 Gy (95%CI 53.6–58.5) and 53.6 Gy (95%CI 51.8–55.4 Gy) was reported with slope of the response curve at TD50 (</w:t>
      </w:r>
      <w:r>
        <w:rPr>
          <w:rFonts w:ascii="Arial" w:eastAsia="Times New Roman" w:hAnsi="Arial"/>
          <w:sz w:val="18"/>
        </w:rPr>
        <w:t>c</w:t>
      </w:r>
      <w:r>
        <w:rPr>
          <w:rFonts w:eastAsia="Times New Roman"/>
          <w:sz w:val="16"/>
        </w:rPr>
        <w:t>50) of 2.8 for both and an a-value of 1.2 and 0.1, respectively. These value</w:t>
      </w:r>
      <w:r>
        <w:rPr>
          <w:rFonts w:eastAsia="Times New Roman"/>
          <w:sz w:val="16"/>
        </w:rPr>
        <w:t>s are in the same range as the QUANTEC data.</w:t>
      </w:r>
    </w:p>
    <w:p w:rsidR="00000000" w:rsidRDefault="00F431E9">
      <w:pPr>
        <w:spacing w:line="394" w:lineRule="exact"/>
        <w:jc w:val="left"/>
        <w:rPr>
          <w:sz w:val="24"/>
        </w:rPr>
      </w:pPr>
    </w:p>
    <w:p w:rsidR="00000000" w:rsidRDefault="00F431E9">
      <w:pPr>
        <w:overflowPunct w:val="0"/>
        <w:spacing w:line="247" w:lineRule="auto"/>
        <w:ind w:firstLine="234"/>
        <w:rPr>
          <w:sz w:val="24"/>
        </w:rPr>
      </w:pPr>
      <w:r>
        <w:rPr>
          <w:rFonts w:eastAsia="Times New Roman"/>
          <w:sz w:val="16"/>
        </w:rPr>
        <w:t>The EPTN consensus panel proposes the D</w:t>
      </w:r>
      <w:r>
        <w:rPr>
          <w:rFonts w:eastAsia="Times New Roman"/>
          <w:vertAlign w:val="subscript"/>
        </w:rPr>
        <w:t>mean</w:t>
      </w:r>
      <w:r>
        <w:rPr>
          <w:rFonts w:eastAsia="Times New Roman"/>
          <w:sz w:val="16"/>
        </w:rPr>
        <w:t xml:space="preserve"> to the cochlea to be kept to 45 Gy. Since, there is no clear threshold dose for hear-ing loss after radiotherapy, the ALARA principle applies. Again, we propose an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ratio of 3 Gy for late toxicity in absence of solid data.</w:t>
      </w:r>
    </w:p>
    <w:p w:rsidR="00000000" w:rsidRDefault="00F431E9">
      <w:pPr>
        <w:spacing w:line="220" w:lineRule="exact"/>
        <w:jc w:val="left"/>
        <w:rPr>
          <w:sz w:val="24"/>
        </w:rPr>
      </w:pPr>
    </w:p>
    <w:p w:rsidR="00000000" w:rsidRDefault="00F431E9">
      <w:pPr>
        <w:overflowPunct w:val="0"/>
        <w:spacing w:line="265" w:lineRule="auto"/>
        <w:ind w:firstLine="234"/>
        <w:rPr>
          <w:sz w:val="24"/>
        </w:rPr>
      </w:pPr>
      <w:r>
        <w:rPr>
          <w:rFonts w:eastAsia="Times New Roman"/>
          <w:sz w:val="16"/>
        </w:rPr>
        <w:t>Besides SNHL, tinnitus is also a potential side effect from ioniz-ing radiotherapy. CTCAE v4.0 defines tinnitus as a disorder charac-terized by a perception of noise or ringing in the ears, and h</w:t>
      </w:r>
      <w:r>
        <w:rPr>
          <w:rFonts w:eastAsia="Times New Roman"/>
          <w:sz w:val="16"/>
        </w:rPr>
        <w:t xml:space="preserve">as 3 grades, based on the impact of the tinnitus on the activities of daily life </w:t>
      </w:r>
      <w:hyperlink w:anchor="page9" w:history="1">
        <w:r>
          <w:rPr>
            <w:rFonts w:eastAsia="Times New Roman"/>
            <w:color w:val="0080AD"/>
            <w:sz w:val="16"/>
          </w:rPr>
          <w:t>[12]</w:t>
        </w:r>
      </w:hyperlink>
      <w:r>
        <w:rPr>
          <w:rFonts w:eastAsia="Times New Roman"/>
          <w:sz w:val="16"/>
        </w:rPr>
        <w:t>. Limited data are available on the effect of dose on the occurrence of tinnitus and it is probably under-reported. As a result, there is no QUANT</w:t>
      </w:r>
      <w:r>
        <w:rPr>
          <w:rFonts w:eastAsia="Times New Roman"/>
          <w:sz w:val="16"/>
        </w:rPr>
        <w:t xml:space="preserve">EC guideline for the cochlea to avoid tin-nitus. Lee et al. </w:t>
      </w:r>
      <w:hyperlink w:anchor="page9" w:history="1">
        <w:r>
          <w:rPr>
            <w:rFonts w:eastAsia="Times New Roman"/>
            <w:color w:val="0080AD"/>
            <w:sz w:val="16"/>
          </w:rPr>
          <w:t>[67]</w:t>
        </w:r>
        <w:r>
          <w:rPr>
            <w:rFonts w:eastAsia="Times New Roman"/>
            <w:sz w:val="16"/>
          </w:rPr>
          <w:t xml:space="preserve"> </w:t>
        </w:r>
      </w:hyperlink>
      <w:r>
        <w:rPr>
          <w:rFonts w:eastAsia="Times New Roman"/>
          <w:sz w:val="16"/>
        </w:rPr>
        <w:t xml:space="preserve">investigated the incidence of tinnitus after intensity modulated radiation therapy (IMRT) for head and neck cancer patients and noticed that 11.6% of developed grade </w:t>
      </w:r>
      <w:r>
        <w:rPr>
          <w:rFonts w:eastAsia="Times New Roman"/>
          <w:sz w:val="16"/>
        </w:rPr>
        <w:t xml:space="preserve">&gt;2 tin-nitus, consistent with other reports in the literature </w:t>
      </w:r>
      <w:hyperlink w:anchor="page9" w:history="1">
        <w:r>
          <w:rPr>
            <w:rFonts w:eastAsia="Times New Roman"/>
            <w:color w:val="0080AD"/>
            <w:sz w:val="16"/>
          </w:rPr>
          <w:t>[68,69]</w:t>
        </w:r>
      </w:hyperlink>
      <w:r>
        <w:rPr>
          <w:rFonts w:eastAsia="Times New Roman"/>
          <w:sz w:val="16"/>
        </w:rPr>
        <w:t>. Based on a logistic and Lyman–Kutcher NTCP model derived from their results, D</w:t>
      </w:r>
      <w:r>
        <w:rPr>
          <w:rFonts w:eastAsia="Times New Roman"/>
          <w:vertAlign w:val="subscript"/>
        </w:rPr>
        <w:t>mean</w:t>
      </w:r>
      <w:r>
        <w:rPr>
          <w:rFonts w:eastAsia="Times New Roman"/>
          <w:sz w:val="16"/>
        </w:rPr>
        <w:t xml:space="preserve"> to the cochlea should be kept &lt;32 Gy in order to keep the incidence of grade </w:t>
      </w:r>
      <w:r>
        <w:rPr>
          <w:rFonts w:eastAsia="Times New Roman"/>
          <w:sz w:val="16"/>
        </w:rPr>
        <w:t xml:space="preserve">&gt;2 tinnitus &lt;20% using IMRT </w:t>
      </w:r>
      <w:hyperlink w:anchor="page9" w:history="1">
        <w:r>
          <w:rPr>
            <w:rFonts w:eastAsia="Times New Roman"/>
            <w:color w:val="0080AD"/>
            <w:sz w:val="16"/>
          </w:rPr>
          <w:t>[67]</w:t>
        </w:r>
      </w:hyperlink>
      <w:r>
        <w:rPr>
          <w:rFonts w:eastAsia="Times New Roman"/>
          <w:sz w:val="16"/>
        </w:rPr>
        <w:t xml:space="preserve">. External validation of this model is thus far lacking. In the absence of data, we suggest to use a traditional </w:t>
      </w:r>
      <w:r>
        <w:rPr>
          <w:rFonts w:ascii="Arial" w:eastAsia="Times New Roman" w:hAnsi="Arial"/>
          <w:sz w:val="18"/>
        </w:rPr>
        <w:t>a</w:t>
      </w:r>
      <w:r>
        <w:rPr>
          <w:rFonts w:eastAsia="Times New Roman"/>
          <w:sz w:val="16"/>
        </w:rPr>
        <w:t>/</w:t>
      </w:r>
      <w:r>
        <w:rPr>
          <w:rFonts w:ascii="Arial" w:eastAsia="Times New Roman" w:hAnsi="Arial"/>
          <w:sz w:val="16"/>
        </w:rPr>
        <w:t>b</w:t>
      </w:r>
      <w:r>
        <w:rPr>
          <w:rFonts w:eastAsia="Times New Roman"/>
          <w:sz w:val="16"/>
        </w:rPr>
        <w:t xml:space="preserve"> ratio of 3 Gy for late toxicity </w:t>
      </w:r>
      <w:hyperlink w:anchor="page9" w:history="1">
        <w:r>
          <w:rPr>
            <w:rFonts w:eastAsia="Times New Roman"/>
            <w:color w:val="0080AD"/>
            <w:sz w:val="16"/>
          </w:rPr>
          <w:t>[19]</w:t>
        </w:r>
      </w:hyperlink>
      <w:r>
        <w:rPr>
          <w:rFonts w:eastAsia="Times New Roman"/>
          <w:sz w:val="16"/>
        </w:rPr>
        <w:t>.</w:t>
      </w:r>
    </w:p>
    <w:p w:rsidR="00000000" w:rsidRDefault="00F431E9">
      <w:pPr>
        <w:spacing w:line="200" w:lineRule="exact"/>
        <w:jc w:val="left"/>
        <w:rPr>
          <w:sz w:val="24"/>
        </w:rPr>
      </w:pPr>
    </w:p>
    <w:p w:rsidR="00000000" w:rsidRDefault="00F431E9">
      <w:pPr>
        <w:spacing w:line="200" w:lineRule="exact"/>
        <w:jc w:val="left"/>
        <w:rPr>
          <w:sz w:val="24"/>
        </w:rPr>
      </w:pPr>
    </w:p>
    <w:p w:rsidR="00000000" w:rsidRDefault="00F431E9">
      <w:pPr>
        <w:spacing w:line="232" w:lineRule="exact"/>
        <w:jc w:val="left"/>
        <w:rPr>
          <w:sz w:val="24"/>
        </w:rPr>
      </w:pPr>
    </w:p>
    <w:p w:rsidR="00000000" w:rsidRDefault="00F431E9">
      <w:pPr>
        <w:jc w:val="left"/>
        <w:rPr>
          <w:sz w:val="24"/>
        </w:rPr>
      </w:pPr>
      <w:r>
        <w:rPr>
          <w:rFonts w:eastAsia="Times New Roman"/>
          <w:sz w:val="16"/>
        </w:rPr>
        <w:t>Vestibulum and s</w:t>
      </w:r>
      <w:r>
        <w:rPr>
          <w:rFonts w:eastAsia="Times New Roman"/>
          <w:sz w:val="16"/>
        </w:rPr>
        <w:t>emi-circular canal</w:t>
      </w:r>
    </w:p>
    <w:p w:rsidR="00000000" w:rsidRDefault="00F431E9">
      <w:pPr>
        <w:spacing w:line="23" w:lineRule="exact"/>
        <w:jc w:val="left"/>
        <w:rPr>
          <w:sz w:val="24"/>
        </w:rPr>
      </w:pPr>
    </w:p>
    <w:p w:rsidR="00000000" w:rsidRDefault="00F431E9">
      <w:pPr>
        <w:overflowPunct w:val="0"/>
        <w:spacing w:line="282" w:lineRule="auto"/>
        <w:ind w:firstLine="234"/>
        <w:rPr>
          <w:sz w:val="24"/>
        </w:rPr>
      </w:pPr>
      <w:r>
        <w:rPr>
          <w:rFonts w:eastAsia="Times New Roman"/>
          <w:sz w:val="16"/>
        </w:rPr>
        <w:t xml:space="preserve">Vestibular toxicity can be graded according to the CTCAE v4.0 as vertigo or more generally as a vestibular disorder </w:t>
      </w:r>
      <w:hyperlink w:anchor="page9" w:history="1">
        <w:r>
          <w:rPr>
            <w:rFonts w:eastAsia="Times New Roman"/>
            <w:color w:val="0080AD"/>
            <w:sz w:val="16"/>
          </w:rPr>
          <w:t>[12]</w:t>
        </w:r>
      </w:hyperlink>
      <w:r>
        <w:rPr>
          <w:rFonts w:eastAsia="Times New Roman"/>
          <w:sz w:val="16"/>
        </w:rPr>
        <w:t>, even though occasionally acute nausea following radiotherapy is reported instead.</w:t>
      </w:r>
    </w:p>
    <w:p w:rsidR="00000000" w:rsidRDefault="00F431E9">
      <w:pPr>
        <w:spacing w:line="188" w:lineRule="exact"/>
        <w:jc w:val="left"/>
        <w:rPr>
          <w:sz w:val="24"/>
        </w:rPr>
      </w:pPr>
    </w:p>
    <w:p w:rsidR="00F431E9" w:rsidRDefault="00F431E9">
      <w:pPr>
        <w:overflowPunct w:val="0"/>
        <w:spacing w:line="266" w:lineRule="auto"/>
        <w:ind w:firstLine="234"/>
        <w:rPr>
          <w:sz w:val="24"/>
        </w:rPr>
      </w:pPr>
      <w:r>
        <w:rPr>
          <w:rFonts w:eastAsia="Times New Roman"/>
          <w:sz w:val="16"/>
        </w:rPr>
        <w:t xml:space="preserve">There </w:t>
      </w:r>
      <w:r>
        <w:rPr>
          <w:rFonts w:eastAsia="Times New Roman"/>
          <w:sz w:val="16"/>
        </w:rPr>
        <w:t xml:space="preserve">is very little data concerning vestibular toxicity related to radiotherapy. Gabriele et al. </w:t>
      </w:r>
      <w:hyperlink w:anchor="page9" w:history="1">
        <w:r>
          <w:rPr>
            <w:rFonts w:eastAsia="Times New Roman"/>
            <w:color w:val="0080AD"/>
            <w:sz w:val="16"/>
          </w:rPr>
          <w:t>[70]</w:t>
        </w:r>
        <w:r>
          <w:rPr>
            <w:rFonts w:eastAsia="Times New Roman"/>
            <w:sz w:val="16"/>
          </w:rPr>
          <w:t xml:space="preserve"> </w:t>
        </w:r>
      </w:hyperlink>
      <w:r>
        <w:rPr>
          <w:rFonts w:eastAsia="Times New Roman"/>
          <w:sz w:val="16"/>
        </w:rPr>
        <w:t>investigated the vestibular func-tion in 25 head and neck cancer patients. Eleven of these patients showed vestibular abnormalities on</w:t>
      </w:r>
      <w:r>
        <w:rPr>
          <w:rFonts w:eastAsia="Times New Roman"/>
          <w:sz w:val="16"/>
        </w:rPr>
        <w:t xml:space="preserve"> electronystagmography, but only three reported vertigo. More recently Lee et al. </w:t>
      </w:r>
      <w:hyperlink w:anchor="page9" w:history="1">
        <w:r>
          <w:rPr>
            <w:rFonts w:eastAsia="Times New Roman"/>
            <w:color w:val="0080AD"/>
            <w:sz w:val="16"/>
          </w:rPr>
          <w:t>[71]</w:t>
        </w:r>
        <w:r>
          <w:rPr>
            <w:rFonts w:eastAsia="Times New Roman"/>
            <w:sz w:val="16"/>
          </w:rPr>
          <w:t xml:space="preserve"> </w:t>
        </w:r>
      </w:hyperlink>
      <w:r>
        <w:rPr>
          <w:rFonts w:eastAsia="Times New Roman"/>
          <w:sz w:val="16"/>
        </w:rPr>
        <w:t xml:space="preserve">analysed 49 consecutive nasopharyngeal carcinoma patients treated with radiotherapy alone, of whom six reported nausea and no patient dizziness </w:t>
      </w:r>
      <w:r>
        <w:rPr>
          <w:rFonts w:eastAsia="Times New Roman"/>
          <w:sz w:val="16"/>
        </w:rPr>
        <w:t>or vertigo. Using multivariate analysis, the authors iden-tified a correlation between the volume of the vestibules receiving 40 Gy (V</w:t>
      </w:r>
      <w:r>
        <w:rPr>
          <w:rFonts w:eastAsia="Times New Roman"/>
          <w:vertAlign w:val="subscript"/>
        </w:rPr>
        <w:t>40 Gy</w:t>
      </w:r>
      <w:r>
        <w:rPr>
          <w:rFonts w:eastAsia="Times New Roman"/>
          <w:sz w:val="16"/>
        </w:rPr>
        <w:t>) and incidence of nausea. Again, external validation is awaited. Prospective collection of dose–volume data and accu</w:t>
      </w:r>
      <w:r>
        <w:rPr>
          <w:rFonts w:eastAsia="Times New Roman"/>
          <w:sz w:val="16"/>
        </w:rPr>
        <w:t>rate</w:t>
      </w:r>
    </w:p>
    <w:sectPr w:rsidR="00F431E9">
      <w:type w:val="continuous"/>
      <w:pgSz w:w="11900" w:h="15874"/>
      <w:pgMar w:top="932" w:right="640" w:bottom="664" w:left="860" w:header="720" w:footer="720" w:gutter="0"/>
      <w:cols w:num="2" w:space="360" w:equalWidth="0">
        <w:col w:w="7160" w:space="360"/>
        <w:col w:w="50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20"/>
  <w:drawingGridVerticalSpacing w:val="120"/>
  <w:displayHorizontalDrawingGridEvery w:val="3"/>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72A27"/>
    <w:rsid w:val="00764E0E"/>
    <w:rsid w:val="00F431E9"/>
    <w:rsid w:val="4C7D0A4B"/>
    <w:rsid w:val="6D076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semiHidden="0"/>
    <w:lsdException w:name="Subtitle" w:semiHidden="0" w:unhideWhenUsed="0" w:qFormat="1"/>
    <w:lsdException w:name="Strong" w:semiHidden="0" w:unhideWhenUsed="0" w:qFormat="1"/>
    <w:lsdException w:name="Emphasis" w:semiHidden="0" w:unhideWhenUsed="0" w:qFormat="1"/>
    <w:lsdException w:name="Normal Table" w:semiHidden="0"/>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kern w:val="2"/>
      <w:sz w:val="21"/>
    </w:rPr>
  </w:style>
  <w:style w:type="character" w:default="1" w:styleId="DefaultParagraphFont">
    <w:name w:val="Default Paragraph Font"/>
    <w:uiPriority w:val="99"/>
    <w:unhideWhenUsed/>
    <w:rPr>
      <w:rFonts w:hint="default"/>
      <w:sz w:val="24"/>
    </w:rPr>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institution/Universitair_Ziekenhuis_Leuven?enrichId=rgreq-8c3ed990fde9e83f1fcba19a842d2ee8-XXX&amp;enrichSource=Y292ZXJQYWdlOzMyNTIxMTc4MztBUzo2NTg1NDE1MjIyMTkwMDlAMTUzNDAxOTk0Mjc2MA%3D%3D&amp;el=1_x_6&amp;_esc=publicationCoverPdf" TargetMode="External"/><Relationship Id="rId18" Type="http://schemas.openxmlformats.org/officeDocument/2006/relationships/hyperlink" Target="https://www.researchgate.net/profile/Claire_Alapetite?enrichId=rgreq-8c3ed990fde9e83f1fcba19a842d2ee8-XXX&amp;enrichSource=Y292ZXJQYWdlOzMyNTIxMTc4MztBUzo2NTg1NDE1MjIyMTkwMDlAMTUzNDAxOTk0Mjc2MA%3D%3D&amp;el=1_x_5&amp;_esc=publicationCoverPdf" TargetMode="External"/><Relationship Id="rId26" Type="http://schemas.openxmlformats.org/officeDocument/2006/relationships/hyperlink" Target="https://www.researchgate.net/project/Combined-stereotactic-radiotherapy-and-targeted-immunotherapy-toxicity-and-efficacy?enrichId=rgreq-8c3ed990fde9e83f1fcba19a842d2ee8-XXX&amp;enrichSource=Y292ZXJQYWdlOzMyNTIxMTc4MztBUzo2NTg1NDE1MjIyMTkwMDlAMTUzNDAxOTk0Mjc2MA%3D%3D&amp;el=1_x_9&amp;_esc=publicationCoverPdf"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esearchgate.net/institution/Institut_Curie?enrichId=rgreq-8c3ed990fde9e83f1fcba19a842d2ee8-XXX&amp;enrichSource=Y292ZXJQYWdlOzMyNTIxMTc4MztBUzo2NTg1NDE1MjIyMTkwMDlAMTUzNDAxOTk0Mjc2MA%3D%3D&amp;el=1_x_6&amp;_esc=publicationCoverPdf" TargetMode="External"/><Relationship Id="rId34" Type="http://schemas.openxmlformats.org/officeDocument/2006/relationships/image" Target="media/image10.jpeg"/><Relationship Id="rId7" Type="http://schemas.openxmlformats.org/officeDocument/2006/relationships/hyperlink" Target="https://www.researchgate.net/publication/325211783_Radiation_dose_constraints_for_organs_at_risk_in_neuro-oncology_the_European_Particle_Therapy_Network_consensus?enrichId=rgreq-8c3ed990fde9e83f1fcba19a842d2ee8-XXX&amp;enrichSource=Y292ZXJQYWdlOzMyNTIxMTc4MztBUzo2NTg1NDE1MjIyMTkwMDlAMTUzNDAxOTk0Mjc2MA%3D%3D&amp;el=1_x_3&amp;_esc=publicationCoverPdf" TargetMode="External"/><Relationship Id="rId12" Type="http://schemas.openxmlformats.org/officeDocument/2006/relationships/image" Target="media/image4.jpeg"/><Relationship Id="rId17" Type="http://schemas.openxmlformats.org/officeDocument/2006/relationships/hyperlink" Target="https://www.researchgate.net/profile/Danielle_Eekers?enrichId=rgreq-8c3ed990fde9e83f1fcba19a842d2ee8-XXX&amp;enrichSource=Y292ZXJQYWdlOzMyNTIxMTc4MztBUzo2NTg1NDE1MjIyMTkwMDlAMTUzNDAxOTk0Mjc2MA%3D%3D&amp;el=1_x_7&amp;_esc=publicationCoverPdf" TargetMode="External"/><Relationship Id="rId25" Type="http://schemas.openxmlformats.org/officeDocument/2006/relationships/image" Target="media/image7.jpeg"/><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esearchgate.net/profile/Maarten_Lambrecht?enrichId=rgreq-8c3ed990fde9e83f1fcba19a842d2ee8-XXX&amp;enrichSource=Y292ZXJQYWdlOzMyNTIxMTc4MztBUzo2NTg1NDE1MjIyMTkwMDlAMTUzNDAxOTk0Mjc2MA%3D%3D&amp;el=1_x_7&amp;_esc=publicationCoverPdf" TargetMode="External"/><Relationship Id="rId20" Type="http://schemas.openxmlformats.org/officeDocument/2006/relationships/image" Target="media/image6.jpeg"/><Relationship Id="rId29" Type="http://schemas.openxmlformats.org/officeDocument/2006/relationships/hyperlink" Target="https://doi.org/10.1016/j.radonc.2018.05.001" TargetMode="External"/><Relationship Id="rId1" Type="http://schemas.openxmlformats.org/officeDocument/2006/relationships/styles" Target="styles.xml"/><Relationship Id="rId6" Type="http://schemas.openxmlformats.org/officeDocument/2006/relationships/hyperlink" Target="https://www.researchgate.net/publication/325211783_Radiation_dose_constraints_for_organs_at_risk_in_neuro-oncology_the_European_Particle_Therapy_Network_consensus?enrichId=rgreq-8c3ed990fde9e83f1fcba19a842d2ee8-XXX&amp;enrichSource=Y292ZXJQYWdlOzMyNTIxMTc4MztBUzo2NTg1NDE1MjIyMTkwMDlAMTUzNDAxOTk0Mjc2MA%3D%3D&amp;el=1_x_3&amp;_esc=publicationCoverPdf" TargetMode="External"/><Relationship Id="rId11" Type="http://schemas.openxmlformats.org/officeDocument/2006/relationships/image" Target="media/image3.jpeg"/><Relationship Id="rId24" Type="http://schemas.openxmlformats.org/officeDocument/2006/relationships/hyperlink" Target="https://www.researchgate.net/profile/Valentin_Calugaru?enrichId=rgreq-8c3ed990fde9e83f1fcba19a842d2ee8-XXX&amp;enrichSource=Y292ZXJQYWdlOzMyNTIxMTc4MztBUzo2NTg1NDE1MjIyMTkwMDlAMTUzNDAxOTk0Mjc2MA%3D%3D&amp;el=1_x_7&amp;_esc=publicationCoverPdf" TargetMode="External"/><Relationship Id="rId32" Type="http://schemas.openxmlformats.org/officeDocument/2006/relationships/hyperlink" Target="http://www.thegreenjournal.com" TargetMode="External"/><Relationship Id="rId37" Type="http://schemas.openxmlformats.org/officeDocument/2006/relationships/image" Target="media/image11.jpeg"/><Relationship Id="rId5" Type="http://schemas.openxmlformats.org/officeDocument/2006/relationships/hyperlink" Target="https://www.researchgate.net/publication/325211783_Radiation_dose_constraints_for_organs_at_risk_in_neuro-oncology_the_European_Particle_Therapy_Network_consensus?enrichId=rgreq-8c3ed990fde9e83f1fcba19a842d2ee8-XXX&amp;enrichSource=Y292ZXJQYWdlOzMyNTIxMTc4MztBUzo2NTg1NDE1MjIyMTkwMDlAMTUzNDAxOTk0Mjc2MA%3D%3D&amp;el=1_x_2&amp;_esc=publicationCoverPdf" TargetMode="External"/><Relationship Id="rId15" Type="http://schemas.openxmlformats.org/officeDocument/2006/relationships/image" Target="media/image5.jpeg"/><Relationship Id="rId23" Type="http://schemas.openxmlformats.org/officeDocument/2006/relationships/hyperlink" Target="https://www.researchgate.net/profile/Claire_Alapetite?enrichId=rgreq-8c3ed990fde9e83f1fcba19a842d2ee8-XXX&amp;enrichSource=Y292ZXJQYWdlOzMyNTIxMTc4MztBUzo2NTg1NDE1MjIyMTkwMDlAMTUzNDAxOTk0Mjc2MA%3D%3D&amp;el=1_x_7&amp;_esc=publicationCoverPdf" TargetMode="External"/><Relationship Id="rId28" Type="http://schemas.openxmlformats.org/officeDocument/2006/relationships/hyperlink" Target="https://www.researchgate.net/profile/Ga_Whitfield?enrichId=rgreq-8c3ed990fde9e83f1fcba19a842d2ee8-XXX&amp;enrichSource=Y292ZXJQYWdlOzMyNTIxMTc4MztBUzo2NTg1NDE1MjIyMTkwMDlAMTUzNDAxOTk0Mjc2MA%3D%3D&amp;el=1_x_10&amp;_esc=publicationCoverPdf" TargetMode="External"/><Relationship Id="rId36" Type="http://schemas.openxmlformats.org/officeDocument/2006/relationships/hyperlink" Target="https://doi.org/10.1016/j.radonc.2018.05.001" TargetMode="External"/><Relationship Id="rId10" Type="http://schemas.openxmlformats.org/officeDocument/2006/relationships/hyperlink" Target="https://www.researchgate.net/profile/Danielle_Eekers?enrichId=rgreq-8c3ed990fde9e83f1fcba19a842d2ee8-XXX&amp;enrichSource=Y292ZXJQYWdlOzMyNTIxMTc4MztBUzo2NTg1NDE1MjIyMTkwMDlAMTUzNDAxOTk0Mjc2MA%3D%3D&amp;el=1_x_5&amp;_esc=publicationCoverPdf" TargetMode="External"/><Relationship Id="rId19" Type="http://schemas.openxmlformats.org/officeDocument/2006/relationships/hyperlink" Target="https://www.researchgate.net/profile/Valentin_Calugaru?enrichId=rgreq-8c3ed990fde9e83f1fcba19a842d2ee8-XXX&amp;enrichSource=Y292ZXJQYWdlOzMyNTIxMTc4MztBUzo2NTg1NDE1MjIyMTkwMDlAMTUzNDAxOTk0Mjc2MA%3D%3D&amp;el=1_x_5&amp;_esc=publicationCoverPdf" TargetMode="External"/><Relationship Id="rId31" Type="http://schemas.openxmlformats.org/officeDocument/2006/relationships/hyperlink" Target="http://www.sciencedirect.com/science/journal/01678140" TargetMode="External"/><Relationship Id="rId4" Type="http://schemas.openxmlformats.org/officeDocument/2006/relationships/image" Target="media/image1.jpeg"/><Relationship Id="rId9" Type="http://schemas.openxmlformats.org/officeDocument/2006/relationships/hyperlink" Target="https://www.researchgate.net/profile/Maarten_Lambrecht?enrichId=rgreq-8c3ed990fde9e83f1fcba19a842d2ee8-XXX&amp;enrichSource=Y292ZXJQYWdlOzMyNTIxMTc4MztBUzo2NTg1NDE1MjIyMTkwMDlAMTUzNDAxOTk0Mjc2MA%3D%3D&amp;el=1_x_5&amp;_esc=publicationCoverPdf" TargetMode="External"/><Relationship Id="rId14" Type="http://schemas.openxmlformats.org/officeDocument/2006/relationships/hyperlink" Target="https://www.researchgate.net/institution/Maastro_Clinic?enrichId=rgreq-8c3ed990fde9e83f1fcba19a842d2ee8-XXX&amp;enrichSource=Y292ZXJQYWdlOzMyNTIxMTc4MztBUzo2NTg1NDE1MjIyMTkwMDlAMTUzNDAxOTk0Mjc2MA%3D%3D&amp;el=1_x_6&amp;_esc=publicationCoverPdf" TargetMode="External"/><Relationship Id="rId22" Type="http://schemas.openxmlformats.org/officeDocument/2006/relationships/hyperlink" Target="https://www.researchgate.net/institution/Institut_Curie?enrichId=rgreq-8c3ed990fde9e83f1fcba19a842d2ee8-XXX&amp;enrichSource=Y292ZXJQYWdlOzMyNTIxMTc4MztBUzo2NTg1NDE1MjIyMTkwMDlAMTUzNDAxOTk0Mjc2MA%3D%3D&amp;el=1_x_6&amp;_esc=publicationCoverPdf" TargetMode="External"/><Relationship Id="rId27" Type="http://schemas.openxmlformats.org/officeDocument/2006/relationships/hyperlink" Target="https://www.researchgate.net/project/PROTONS?enrichId=rgreq-8c3ed990fde9e83f1fcba19a842d2ee8-XXX&amp;enrichSource=Y292ZXJQYWdlOzMyNTIxMTc4MztBUzo2NTg1NDE1MjIyMTkwMDlAMTUzNDAxOTk0Mjc2MA%3D%3D&amp;el=1_x_9&amp;_esc=publicationCoverPdf" TargetMode="External"/><Relationship Id="rId30" Type="http://schemas.openxmlformats.org/officeDocument/2006/relationships/image" Target="media/image8.jpeg"/><Relationship Id="rId35" Type="http://schemas.openxmlformats.org/officeDocument/2006/relationships/hyperlink" Target="mailto:maarten.lambrecht@uzleuv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5120</Words>
  <Characters>29189</Characters>
  <Application>Microsoft Office Word</Application>
  <DocSecurity>0</DocSecurity>
  <Lines>243</Lines>
  <Paragraphs>68</Paragraphs>
  <ScaleCrop>false</ScaleCrop>
  <Company>Microsoft</Company>
  <LinksUpToDate>false</LinksUpToDate>
  <CharactersWithSpaces>34241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2018-11-27T14:44:00Z</dcterms:created>
  <dcterms:modified xsi:type="dcterms:W3CDTF">2018-11-27T14:44:00Z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