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3DF6" w14:textId="77777777" w:rsidR="0000308A" w:rsidRPr="0000308A" w:rsidRDefault="0000308A" w:rsidP="0000308A">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de-DE"/>
        </w:rPr>
      </w:pPr>
      <w:r w:rsidRPr="0000308A">
        <w:rPr>
          <w:rFonts w:ascii="Times New Roman" w:eastAsia="Times New Roman" w:hAnsi="Times New Roman" w:cs="Times New Roman"/>
          <w:b/>
          <w:bCs/>
          <w:kern w:val="36"/>
          <w:sz w:val="48"/>
          <w:szCs w:val="48"/>
          <w:lang w:val="en-GB" w:eastAsia="de-DE"/>
        </w:rPr>
        <w:t>The Brussels effect</w:t>
      </w:r>
      <w:r w:rsidRPr="0000308A">
        <w:rPr>
          <w:rFonts w:ascii="Times New Roman" w:eastAsia="Times New Roman" w:hAnsi="Times New Roman" w:cs="Times New Roman"/>
          <w:b/>
          <w:bCs/>
          <w:kern w:val="36"/>
          <w:sz w:val="48"/>
          <w:szCs w:val="48"/>
          <w:lang w:val="en-GB" w:eastAsia="de-DE"/>
        </w:rPr>
        <w:br/>
        <w:t>The EU wants to become the world’s super-regulator in AI</w:t>
      </w:r>
    </w:p>
    <w:p w14:paraId="633E127B"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And there’s a precedent</w:t>
      </w:r>
    </w:p>
    <w:p w14:paraId="5F57EC4C" w14:textId="77777777" w:rsidR="0000308A" w:rsidRPr="0000308A" w:rsidRDefault="0069490E" w:rsidP="0000308A">
      <w:pPr>
        <w:spacing w:after="0" w:line="240" w:lineRule="auto"/>
        <w:rPr>
          <w:rFonts w:ascii="Times New Roman" w:eastAsia="Times New Roman" w:hAnsi="Times New Roman" w:cs="Times New Roman"/>
          <w:sz w:val="24"/>
          <w:szCs w:val="24"/>
          <w:lang w:val="en-GB" w:eastAsia="de-DE"/>
        </w:rPr>
      </w:pPr>
      <w:hyperlink r:id="rId5" w:history="1">
        <w:proofErr w:type="spellStart"/>
        <w:r w:rsidR="0000308A" w:rsidRPr="0000308A">
          <w:rPr>
            <w:rFonts w:ascii="Times New Roman" w:eastAsia="Times New Roman" w:hAnsi="Times New Roman" w:cs="Times New Roman"/>
            <w:b/>
            <w:bCs/>
            <w:color w:val="0000FF"/>
            <w:sz w:val="24"/>
            <w:szCs w:val="24"/>
            <w:u w:val="single"/>
            <w:lang w:val="en-GB" w:eastAsia="de-DE"/>
          </w:rPr>
          <w:t>Europe</w:t>
        </w:r>
      </w:hyperlink>
      <w:hyperlink r:id="rId6" w:history="1">
        <w:r w:rsidR="0000308A" w:rsidRPr="0000308A">
          <w:rPr>
            <w:rFonts w:ascii="Times New Roman" w:eastAsia="Times New Roman" w:hAnsi="Times New Roman" w:cs="Times New Roman"/>
            <w:color w:val="0000FF"/>
            <w:sz w:val="24"/>
            <w:szCs w:val="24"/>
            <w:u w:val="single"/>
            <w:lang w:val="en-GB" w:eastAsia="de-DE"/>
          </w:rPr>
          <w:t>Apr</w:t>
        </w:r>
        <w:proofErr w:type="spellEnd"/>
        <w:r w:rsidR="0000308A" w:rsidRPr="0000308A">
          <w:rPr>
            <w:rFonts w:ascii="Times New Roman" w:eastAsia="Times New Roman" w:hAnsi="Times New Roman" w:cs="Times New Roman"/>
            <w:color w:val="0000FF"/>
            <w:sz w:val="24"/>
            <w:szCs w:val="24"/>
            <w:u w:val="single"/>
            <w:lang w:val="en-GB" w:eastAsia="de-DE"/>
          </w:rPr>
          <w:t xml:space="preserve"> 24th</w:t>
        </w:r>
        <w:proofErr w:type="gramStart"/>
        <w:r w:rsidR="0000308A" w:rsidRPr="0000308A">
          <w:rPr>
            <w:rFonts w:ascii="Times New Roman" w:eastAsia="Times New Roman" w:hAnsi="Times New Roman" w:cs="Times New Roman"/>
            <w:color w:val="0000FF"/>
            <w:sz w:val="24"/>
            <w:szCs w:val="24"/>
            <w:u w:val="single"/>
            <w:lang w:val="en-GB" w:eastAsia="de-DE"/>
          </w:rPr>
          <w:t xml:space="preserve"> 2021</w:t>
        </w:r>
        <w:proofErr w:type="gramEnd"/>
        <w:r w:rsidR="0000308A" w:rsidRPr="0000308A">
          <w:rPr>
            <w:rFonts w:ascii="Times New Roman" w:eastAsia="Times New Roman" w:hAnsi="Times New Roman" w:cs="Times New Roman"/>
            <w:color w:val="0000FF"/>
            <w:sz w:val="24"/>
            <w:szCs w:val="24"/>
            <w:u w:val="single"/>
            <w:lang w:val="en-GB" w:eastAsia="de-DE"/>
          </w:rPr>
          <w:t> edition</w:t>
        </w:r>
      </w:hyperlink>
    </w:p>
    <w:p w14:paraId="4B1103DD" w14:textId="77777777" w:rsidR="0000308A" w:rsidRPr="0000308A" w:rsidRDefault="0069490E" w:rsidP="0000308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60EACCF">
          <v:rect id="_x0000_i1025" style="width:0;height:1.5pt" o:hralign="center" o:hrstd="t" o:hr="t" fillcolor="#a0a0a0" stroked="f"/>
        </w:pict>
      </w:r>
    </w:p>
    <w:p w14:paraId="0A5ACDF9" w14:textId="2BF21A8D" w:rsidR="0000308A" w:rsidRPr="0000308A" w:rsidRDefault="0000308A" w:rsidP="0000308A">
      <w:pPr>
        <w:spacing w:after="0"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Apr 24th 2021</w:t>
      </w:r>
    </w:p>
    <w:p w14:paraId="589C7F08"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M</w:t>
      </w:r>
      <w:r w:rsidRPr="0000308A">
        <w:rPr>
          <w:rFonts w:ascii="Times New Roman" w:eastAsia="Times New Roman" w:hAnsi="Times New Roman" w:cs="Times New Roman"/>
          <w:sz w:val="20"/>
          <w:szCs w:val="20"/>
          <w:lang w:val="en-GB" w:eastAsia="de-DE"/>
        </w:rPr>
        <w:t>OST LAWS</w:t>
      </w:r>
      <w:r w:rsidRPr="0000308A">
        <w:rPr>
          <w:rFonts w:ascii="Times New Roman" w:eastAsia="Times New Roman" w:hAnsi="Times New Roman" w:cs="Times New Roman"/>
          <w:sz w:val="24"/>
          <w:szCs w:val="24"/>
          <w:lang w:val="en-GB" w:eastAsia="de-DE"/>
        </w:rPr>
        <w:t xml:space="preserve"> are local—except in the digital realm. When the European Union comes up with some new </w:t>
      </w:r>
      <w:hyperlink r:id="rId7" w:history="1">
        <w:r w:rsidRPr="0000308A">
          <w:rPr>
            <w:rFonts w:ascii="Times New Roman" w:eastAsia="Times New Roman" w:hAnsi="Times New Roman" w:cs="Times New Roman"/>
            <w:color w:val="0000FF"/>
            <w:sz w:val="24"/>
            <w:szCs w:val="24"/>
            <w:u w:val="single"/>
            <w:lang w:val="en-GB" w:eastAsia="de-DE"/>
          </w:rPr>
          <w:t>tech regulation</w:t>
        </w:r>
      </w:hyperlink>
      <w:r w:rsidRPr="0000308A">
        <w:rPr>
          <w:rFonts w:ascii="Times New Roman" w:eastAsia="Times New Roman" w:hAnsi="Times New Roman" w:cs="Times New Roman"/>
          <w:sz w:val="24"/>
          <w:szCs w:val="24"/>
          <w:lang w:val="en-GB" w:eastAsia="de-DE"/>
        </w:rPr>
        <w:t xml:space="preserve">, it can quickly spread around the world. Global companies adopt its typically strict rules for all their products and markets in order to avoid having to comply with multiple regimes. Other governments take more than one page from the </w:t>
      </w:r>
      <w:r w:rsidRPr="0000308A">
        <w:rPr>
          <w:rFonts w:ascii="Times New Roman" w:eastAsia="Times New Roman" w:hAnsi="Times New Roman" w:cs="Times New Roman"/>
          <w:sz w:val="20"/>
          <w:szCs w:val="20"/>
          <w:lang w:val="en-GB" w:eastAsia="de-DE"/>
        </w:rPr>
        <w:t>EU</w:t>
      </w:r>
      <w:r w:rsidRPr="0000308A">
        <w:rPr>
          <w:rFonts w:ascii="Times New Roman" w:eastAsia="Times New Roman" w:hAnsi="Times New Roman" w:cs="Times New Roman"/>
          <w:sz w:val="24"/>
          <w:szCs w:val="24"/>
          <w:lang w:val="en-GB" w:eastAsia="de-DE"/>
        </w:rPr>
        <w:t xml:space="preserve">’s rule book to help local firms compete. The textbook example for what has been dubbed the “Brussels effect”, is the </w:t>
      </w:r>
      <w:r w:rsidRPr="0000308A">
        <w:rPr>
          <w:rFonts w:ascii="Times New Roman" w:eastAsia="Times New Roman" w:hAnsi="Times New Roman" w:cs="Times New Roman"/>
          <w:sz w:val="20"/>
          <w:szCs w:val="20"/>
          <w:lang w:val="en-GB" w:eastAsia="de-DE"/>
        </w:rPr>
        <w:t>EU</w:t>
      </w:r>
      <w:r w:rsidRPr="0000308A">
        <w:rPr>
          <w:rFonts w:ascii="Times New Roman" w:eastAsia="Times New Roman" w:hAnsi="Times New Roman" w:cs="Times New Roman"/>
          <w:sz w:val="24"/>
          <w:szCs w:val="24"/>
          <w:lang w:val="en-GB" w:eastAsia="de-DE"/>
        </w:rPr>
        <w:t>’s General Data Protection Regulation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 which went into force in 2018 and swiftly became the global standard.</w:t>
      </w:r>
    </w:p>
    <w:p w14:paraId="5C2C29F2"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Small wonder, then, that all eyes were on Brussels when the European Commission on April 21st published proposed regulations on artificial intelligence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)—making it the first influential regulator to craft a big law on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Will these rules be as widely adopted as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w:t>
      </w:r>
    </w:p>
    <w:p w14:paraId="25520527"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 xml:space="preserve">Recent years have seen an explosion of ethics guidelines in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in keeping with </w:t>
      </w:r>
      <w:hyperlink r:id="rId8" w:history="1">
        <w:r w:rsidRPr="0000308A">
          <w:rPr>
            <w:rFonts w:ascii="Times New Roman" w:eastAsia="Times New Roman" w:hAnsi="Times New Roman" w:cs="Times New Roman"/>
            <w:color w:val="0000FF"/>
            <w:sz w:val="24"/>
            <w:szCs w:val="24"/>
            <w:u w:val="single"/>
            <w:lang w:val="en-GB" w:eastAsia="de-DE"/>
          </w:rPr>
          <w:t>the hype surrounding the technology</w:t>
        </w:r>
      </w:hyperlink>
      <w:r w:rsidRPr="0000308A">
        <w:rPr>
          <w:rFonts w:ascii="Times New Roman" w:eastAsia="Times New Roman" w:hAnsi="Times New Roman" w:cs="Times New Roman"/>
          <w:sz w:val="24"/>
          <w:szCs w:val="24"/>
          <w:lang w:val="en-GB" w:eastAsia="de-DE"/>
        </w:rPr>
        <w:t xml:space="preserve">. Many </w:t>
      </w:r>
      <w:proofErr w:type="gramStart"/>
      <w:r w:rsidRPr="0000308A">
        <w:rPr>
          <w:rFonts w:ascii="Times New Roman" w:eastAsia="Times New Roman" w:hAnsi="Times New Roman" w:cs="Times New Roman"/>
          <w:sz w:val="24"/>
          <w:szCs w:val="24"/>
          <w:lang w:val="en-GB" w:eastAsia="de-DE"/>
        </w:rPr>
        <w:t>hope</w:t>
      </w:r>
      <w:proofErr w:type="gramEnd"/>
      <w:r w:rsidRPr="0000308A">
        <w:rPr>
          <w:rFonts w:ascii="Times New Roman" w:eastAsia="Times New Roman" w:hAnsi="Times New Roman" w:cs="Times New Roman"/>
          <w:sz w:val="24"/>
          <w:szCs w:val="24"/>
          <w:lang w:val="en-GB" w:eastAsia="de-DE"/>
        </w:rPr>
        <w:t xml:space="preserve"> it will boost economic growth, but others worry that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could cause great harm, for instance if algorithms end up discriminating against certain groups of people. At least 175 countries, firms and other organisations have drawn up lists of ethical principles. But most of </w:t>
      </w:r>
      <w:proofErr w:type="gramStart"/>
      <w:r w:rsidRPr="0000308A">
        <w:rPr>
          <w:rFonts w:ascii="Times New Roman" w:eastAsia="Times New Roman" w:hAnsi="Times New Roman" w:cs="Times New Roman"/>
          <w:sz w:val="24"/>
          <w:szCs w:val="24"/>
          <w:lang w:val="en-GB" w:eastAsia="de-DE"/>
        </w:rPr>
        <w:t>these fall</w:t>
      </w:r>
      <w:proofErr w:type="gramEnd"/>
      <w:r w:rsidRPr="0000308A">
        <w:rPr>
          <w:rFonts w:ascii="Times New Roman" w:eastAsia="Times New Roman" w:hAnsi="Times New Roman" w:cs="Times New Roman"/>
          <w:sz w:val="24"/>
          <w:szCs w:val="24"/>
          <w:lang w:val="en-GB" w:eastAsia="de-DE"/>
        </w:rPr>
        <w:t xml:space="preserve"> short of describing how such things as “robustness” or “transparency” can be achieved </w:t>
      </w:r>
      <w:proofErr w:type="spellStart"/>
      <w:r w:rsidRPr="0000308A">
        <w:rPr>
          <w:rFonts w:ascii="Times New Roman" w:eastAsia="Times New Roman" w:hAnsi="Times New Roman" w:cs="Times New Roman"/>
          <w:sz w:val="24"/>
          <w:szCs w:val="24"/>
          <w:lang w:val="en-GB" w:eastAsia="de-DE"/>
        </w:rPr>
        <w:t>inpractice</w:t>
      </w:r>
      <w:proofErr w:type="spellEnd"/>
      <w:r w:rsidRPr="0000308A">
        <w:rPr>
          <w:rFonts w:ascii="Times New Roman" w:eastAsia="Times New Roman" w:hAnsi="Times New Roman" w:cs="Times New Roman"/>
          <w:sz w:val="24"/>
          <w:szCs w:val="24"/>
          <w:lang w:val="en-GB" w:eastAsia="de-DE"/>
        </w:rPr>
        <w:t>, let alone how they can be backed up by enforceable laws, says Charlotte Stix of the Eindhoven University of Technology.</w:t>
      </w:r>
    </w:p>
    <w:p w14:paraId="569C73A5"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 xml:space="preserve">With little existing legislation on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to draw on, the commission opted for a bottom-up approach. It created a 52-member “high-level expert group” to develop its proposals, collected further input via an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alliance” of interested parties and published a white paper on which everybody could comment online (1,250 groups and individuals did so). The result is a document of more than 100 pages with 85 articles and no fewer than nine annexes that tries both to mitigate the potential harm of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and to maximise its opportunities—almost to a fault, as the many exceptions and exceptions to exceptions show.</w:t>
      </w:r>
    </w:p>
    <w:p w14:paraId="4B0D6FE9"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 xml:space="preserve">Rather than regulating all applications of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the </w:t>
      </w:r>
      <w:r w:rsidRPr="0000308A">
        <w:rPr>
          <w:rFonts w:ascii="Times New Roman" w:eastAsia="Times New Roman" w:hAnsi="Times New Roman" w:cs="Times New Roman"/>
          <w:sz w:val="20"/>
          <w:szCs w:val="20"/>
          <w:lang w:val="en-GB" w:eastAsia="de-DE"/>
        </w:rPr>
        <w:t>EU</w:t>
      </w:r>
      <w:r w:rsidRPr="0000308A">
        <w:rPr>
          <w:rFonts w:ascii="Times New Roman" w:eastAsia="Times New Roman" w:hAnsi="Times New Roman" w:cs="Times New Roman"/>
          <w:sz w:val="24"/>
          <w:szCs w:val="24"/>
          <w:lang w:val="en-GB" w:eastAsia="de-DE"/>
        </w:rPr>
        <w:t xml:space="preserve">’s rules are meant to focus on the riskiest ones. Some will be banned outright, including services that use “subliminal techniques” to manipulate people. </w:t>
      </w:r>
      <w:r w:rsidRPr="00C062C5">
        <w:rPr>
          <w:rFonts w:ascii="Times New Roman" w:eastAsia="Times New Roman" w:hAnsi="Times New Roman" w:cs="Times New Roman"/>
          <w:sz w:val="24"/>
          <w:szCs w:val="24"/>
          <w:highlight w:val="yellow"/>
          <w:lang w:val="en-GB" w:eastAsia="de-DE"/>
        </w:rPr>
        <w:t>Others, such as facial recognition and credit scoring, are considered “high-risk” and so subject to strict rules on transparency and data quality.</w:t>
      </w:r>
      <w:r w:rsidRPr="0000308A">
        <w:rPr>
          <w:rFonts w:ascii="Times New Roman" w:eastAsia="Times New Roman" w:hAnsi="Times New Roman" w:cs="Times New Roman"/>
          <w:sz w:val="24"/>
          <w:szCs w:val="24"/>
          <w:lang w:val="en-GB" w:eastAsia="de-DE"/>
        </w:rPr>
        <w:t xml:space="preserve"> As with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 penalties for violations are stiff: up to €30m ($36m) or 6% of global revenues, whichever is higher (in the case of a firm as big as Facebook, for example, that would come to more than $5bn).</w:t>
      </w:r>
    </w:p>
    <w:p w14:paraId="5D8B17DB"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 xml:space="preserve">Even more than usual, however, the devil is in the details. Facial recognition for the purpose of law enforcement in public places, which raises the spectre of pervasive surveillance, is prohibited, but only if it is done in real time and barring any other “substantial public </w:t>
      </w:r>
      <w:r w:rsidRPr="0000308A">
        <w:rPr>
          <w:rFonts w:ascii="Times New Roman" w:eastAsia="Times New Roman" w:hAnsi="Times New Roman" w:cs="Times New Roman"/>
          <w:sz w:val="24"/>
          <w:szCs w:val="24"/>
          <w:lang w:val="en-GB" w:eastAsia="de-DE"/>
        </w:rPr>
        <w:lastRenderedPageBreak/>
        <w:t xml:space="preserve">interest”, such as finding missing children. All high-risk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services must be tested for legal conformity, but this can often be done by the provider itself. And </w:t>
      </w:r>
      <w:r w:rsidRPr="0000308A">
        <w:rPr>
          <w:rFonts w:ascii="Times New Roman" w:eastAsia="Times New Roman" w:hAnsi="Times New Roman" w:cs="Times New Roman"/>
          <w:sz w:val="20"/>
          <w:szCs w:val="20"/>
          <w:lang w:val="en-GB" w:eastAsia="de-DE"/>
        </w:rPr>
        <w:t>EU</w:t>
      </w:r>
      <w:r w:rsidRPr="0000308A">
        <w:rPr>
          <w:rFonts w:ascii="Times New Roman" w:eastAsia="Times New Roman" w:hAnsi="Times New Roman" w:cs="Times New Roman"/>
          <w:sz w:val="24"/>
          <w:szCs w:val="24"/>
          <w:lang w:val="en-GB" w:eastAsia="de-DE"/>
        </w:rPr>
        <w:t xml:space="preserve"> member states are encouraged to </w:t>
      </w:r>
      <w:r w:rsidRPr="00C062C5">
        <w:rPr>
          <w:rFonts w:ascii="Times New Roman" w:eastAsia="Times New Roman" w:hAnsi="Times New Roman" w:cs="Times New Roman"/>
          <w:sz w:val="24"/>
          <w:szCs w:val="24"/>
          <w:highlight w:val="yellow"/>
          <w:lang w:val="en-GB" w:eastAsia="de-DE"/>
        </w:rPr>
        <w:t>create regulatory “sandboxes”, in which firms can try out novel services without fear of being hit by a penalty</w:t>
      </w:r>
      <w:r w:rsidRPr="0000308A">
        <w:rPr>
          <w:rFonts w:ascii="Times New Roman" w:eastAsia="Times New Roman" w:hAnsi="Times New Roman" w:cs="Times New Roman"/>
          <w:sz w:val="24"/>
          <w:szCs w:val="24"/>
          <w:lang w:val="en-GB" w:eastAsia="de-DE"/>
        </w:rPr>
        <w:t>.</w:t>
      </w:r>
    </w:p>
    <w:p w14:paraId="3C1F2113"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Unsurprisingly, many interested parties are unhappy. Human-rights advocates criticise mushy language and loopholes. “</w:t>
      </w:r>
      <w:r w:rsidRPr="00C062C5">
        <w:rPr>
          <w:rFonts w:ascii="Times New Roman" w:eastAsia="Times New Roman" w:hAnsi="Times New Roman" w:cs="Times New Roman"/>
          <w:sz w:val="24"/>
          <w:szCs w:val="24"/>
          <w:highlight w:val="yellow"/>
          <w:lang w:val="en-GB" w:eastAsia="de-DE"/>
        </w:rPr>
        <w:t xml:space="preserve">There’s a real question-mark over whether the regulatory framework is robust enough,” says Sarah Chander of European Digital Rights. In contrast, business groups complain about the regulatory burden. The law will “limit the areas in which </w:t>
      </w:r>
      <w:r w:rsidRPr="00C062C5">
        <w:rPr>
          <w:rFonts w:ascii="Times New Roman" w:eastAsia="Times New Roman" w:hAnsi="Times New Roman" w:cs="Times New Roman"/>
          <w:sz w:val="20"/>
          <w:szCs w:val="20"/>
          <w:highlight w:val="yellow"/>
          <w:lang w:val="en-GB" w:eastAsia="de-DE"/>
        </w:rPr>
        <w:t>AI</w:t>
      </w:r>
      <w:r w:rsidRPr="00C062C5">
        <w:rPr>
          <w:rFonts w:ascii="Times New Roman" w:eastAsia="Times New Roman" w:hAnsi="Times New Roman" w:cs="Times New Roman"/>
          <w:sz w:val="24"/>
          <w:szCs w:val="24"/>
          <w:highlight w:val="yellow"/>
          <w:lang w:val="en-GB" w:eastAsia="de-DE"/>
        </w:rPr>
        <w:t xml:space="preserve"> can realistically be used”, warns Benjamin Mueller of the Centre for Data Innovation, a think-tank supported by tech firms</w:t>
      </w:r>
      <w:r w:rsidRPr="0000308A">
        <w:rPr>
          <w:rFonts w:ascii="Times New Roman" w:eastAsia="Times New Roman" w:hAnsi="Times New Roman" w:cs="Times New Roman"/>
          <w:sz w:val="24"/>
          <w:szCs w:val="24"/>
          <w:lang w:val="en-GB" w:eastAsia="de-DE"/>
        </w:rPr>
        <w:t>.</w:t>
      </w:r>
    </w:p>
    <w:p w14:paraId="11449AB1"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val="en-GB" w:eastAsia="de-DE"/>
        </w:rPr>
      </w:pPr>
      <w:r w:rsidRPr="0000308A">
        <w:rPr>
          <w:rFonts w:ascii="Times New Roman" w:eastAsia="Times New Roman" w:hAnsi="Times New Roman" w:cs="Times New Roman"/>
          <w:sz w:val="24"/>
          <w:szCs w:val="24"/>
          <w:lang w:val="en-GB" w:eastAsia="de-DE"/>
        </w:rPr>
        <w:t xml:space="preserve">Much will still change in a legislative process that will take years, perhaps even longer than the four years it took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 xml:space="preserve"> to get from proposal to adoption. But even if things move faster, the </w:t>
      </w:r>
      <w:r w:rsidRPr="0000308A">
        <w:rPr>
          <w:rFonts w:ascii="Times New Roman" w:eastAsia="Times New Roman" w:hAnsi="Times New Roman" w:cs="Times New Roman"/>
          <w:sz w:val="20"/>
          <w:szCs w:val="20"/>
          <w:lang w:val="en-GB" w:eastAsia="de-DE"/>
        </w:rPr>
        <w:t>EU</w:t>
      </w:r>
      <w:r w:rsidRPr="0000308A">
        <w:rPr>
          <w:rFonts w:ascii="Times New Roman" w:eastAsia="Times New Roman" w:hAnsi="Times New Roman" w:cs="Times New Roman"/>
          <w:sz w:val="24"/>
          <w:szCs w:val="24"/>
          <w:lang w:val="en-GB" w:eastAsia="de-DE"/>
        </w:rPr>
        <w:t xml:space="preserve"> may have a harder time setting global rules, or at least strict ones, says Anu Bradford of Columbia Law School, who has written a book about the Brussels effect. In the case of some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applications, such as algorithms that can be perfected without needing to be trained using massive inputs of data, providers may decide that offering special versions in Europe is worth their while. And having been rather surprised by the success of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 lobbyists will redouble their efforts to get their voices heard in Brussels.</w:t>
      </w:r>
    </w:p>
    <w:p w14:paraId="0FEF220A" w14:textId="77777777" w:rsidR="0000308A" w:rsidRPr="0000308A" w:rsidRDefault="0000308A" w:rsidP="0000308A">
      <w:pPr>
        <w:spacing w:before="100" w:beforeAutospacing="1" w:after="100" w:afterAutospacing="1" w:line="240" w:lineRule="auto"/>
        <w:rPr>
          <w:rFonts w:ascii="Times New Roman" w:eastAsia="Times New Roman" w:hAnsi="Times New Roman" w:cs="Times New Roman"/>
          <w:sz w:val="24"/>
          <w:szCs w:val="24"/>
          <w:lang w:eastAsia="de-DE"/>
        </w:rPr>
      </w:pPr>
      <w:r w:rsidRPr="0000308A">
        <w:rPr>
          <w:rFonts w:ascii="Times New Roman" w:eastAsia="Times New Roman" w:hAnsi="Times New Roman" w:cs="Times New Roman"/>
          <w:sz w:val="24"/>
          <w:szCs w:val="24"/>
          <w:lang w:val="en-GB" w:eastAsia="de-DE"/>
        </w:rPr>
        <w:t>Yet the fate of the “</w:t>
      </w:r>
      <w:r w:rsidRPr="00C062C5">
        <w:rPr>
          <w:rFonts w:ascii="Times New Roman" w:eastAsia="Times New Roman" w:hAnsi="Times New Roman" w:cs="Times New Roman"/>
          <w:sz w:val="24"/>
          <w:szCs w:val="24"/>
          <w:highlight w:val="yellow"/>
          <w:lang w:val="en-GB" w:eastAsia="de-DE"/>
        </w:rPr>
        <w:t>Artificial Intelligence Act” (</w:t>
      </w:r>
      <w:r w:rsidRPr="00C062C5">
        <w:rPr>
          <w:rFonts w:ascii="Times New Roman" w:eastAsia="Times New Roman" w:hAnsi="Times New Roman" w:cs="Times New Roman"/>
          <w:sz w:val="20"/>
          <w:szCs w:val="20"/>
          <w:highlight w:val="yellow"/>
          <w:lang w:val="en-GB" w:eastAsia="de-DE"/>
        </w:rPr>
        <w:t>AIA</w:t>
      </w:r>
      <w:r w:rsidRPr="00C062C5">
        <w:rPr>
          <w:rFonts w:ascii="Times New Roman" w:eastAsia="Times New Roman" w:hAnsi="Times New Roman" w:cs="Times New Roman"/>
          <w:sz w:val="24"/>
          <w:szCs w:val="24"/>
          <w:highlight w:val="yellow"/>
          <w:lang w:val="en-GB" w:eastAsia="de-DE"/>
        </w:rPr>
        <w:t>),</w:t>
      </w:r>
      <w:r w:rsidRPr="0000308A">
        <w:rPr>
          <w:rFonts w:ascii="Times New Roman" w:eastAsia="Times New Roman" w:hAnsi="Times New Roman" w:cs="Times New Roman"/>
          <w:sz w:val="24"/>
          <w:szCs w:val="24"/>
          <w:lang w:val="en-GB" w:eastAsia="de-DE"/>
        </w:rPr>
        <w:t xml:space="preserve"> as it could end up being called, may well be decided in America. If </w:t>
      </w:r>
      <w:r w:rsidRPr="0000308A">
        <w:rPr>
          <w:rFonts w:ascii="Times New Roman" w:eastAsia="Times New Roman" w:hAnsi="Times New Roman" w:cs="Times New Roman"/>
          <w:sz w:val="20"/>
          <w:szCs w:val="20"/>
          <w:lang w:val="en-GB" w:eastAsia="de-DE"/>
        </w:rPr>
        <w:t>GDPR</w:t>
      </w:r>
      <w:r w:rsidRPr="0000308A">
        <w:rPr>
          <w:rFonts w:ascii="Times New Roman" w:eastAsia="Times New Roman" w:hAnsi="Times New Roman" w:cs="Times New Roman"/>
          <w:sz w:val="24"/>
          <w:szCs w:val="24"/>
          <w:lang w:val="en-GB" w:eastAsia="de-DE"/>
        </w:rPr>
        <w:t xml:space="preserve"> took the world by storm, it was partly because Congress not only failed to come up with any data-protection legislation of its own, but also did not bother to co-operate with lawmakers in Brussels. The new administration wants to do better, but so </w:t>
      </w:r>
      <w:proofErr w:type="gramStart"/>
      <w:r w:rsidRPr="0000308A">
        <w:rPr>
          <w:rFonts w:ascii="Times New Roman" w:eastAsia="Times New Roman" w:hAnsi="Times New Roman" w:cs="Times New Roman"/>
          <w:sz w:val="24"/>
          <w:szCs w:val="24"/>
          <w:lang w:val="en-GB" w:eastAsia="de-DE"/>
        </w:rPr>
        <w:t>far</w:t>
      </w:r>
      <w:proofErr w:type="gramEnd"/>
      <w:r w:rsidRPr="0000308A">
        <w:rPr>
          <w:rFonts w:ascii="Times New Roman" w:eastAsia="Times New Roman" w:hAnsi="Times New Roman" w:cs="Times New Roman"/>
          <w:sz w:val="24"/>
          <w:szCs w:val="24"/>
          <w:lang w:val="en-GB" w:eastAsia="de-DE"/>
        </w:rPr>
        <w:t xml:space="preserve"> the transatlantic rapprochement in </w:t>
      </w:r>
      <w:r w:rsidRPr="0000308A">
        <w:rPr>
          <w:rFonts w:ascii="Times New Roman" w:eastAsia="Times New Roman" w:hAnsi="Times New Roman" w:cs="Times New Roman"/>
          <w:sz w:val="20"/>
          <w:szCs w:val="20"/>
          <w:lang w:val="en-GB" w:eastAsia="de-DE"/>
        </w:rPr>
        <w:t>AI</w:t>
      </w:r>
      <w:r w:rsidRPr="0000308A">
        <w:rPr>
          <w:rFonts w:ascii="Times New Roman" w:eastAsia="Times New Roman" w:hAnsi="Times New Roman" w:cs="Times New Roman"/>
          <w:sz w:val="24"/>
          <w:szCs w:val="24"/>
          <w:lang w:val="en-GB" w:eastAsia="de-DE"/>
        </w:rPr>
        <w:t xml:space="preserve"> and other things tech is off to a slow start. Only if both sides work together will they beat back China’s ambitions for tech supremacy and </w:t>
      </w:r>
      <w:r w:rsidRPr="00C062C5">
        <w:rPr>
          <w:rFonts w:ascii="Times New Roman" w:eastAsia="Times New Roman" w:hAnsi="Times New Roman" w:cs="Times New Roman"/>
          <w:sz w:val="24"/>
          <w:szCs w:val="24"/>
          <w:highlight w:val="yellow"/>
          <w:lang w:val="en-GB" w:eastAsia="de-DE"/>
        </w:rPr>
        <w:t>keep digital authoritarianism at bay</w:t>
      </w:r>
      <w:r w:rsidRPr="0000308A">
        <w:rPr>
          <w:rFonts w:ascii="Times New Roman" w:eastAsia="Times New Roman" w:hAnsi="Times New Roman" w:cs="Times New Roman"/>
          <w:sz w:val="24"/>
          <w:szCs w:val="24"/>
          <w:lang w:val="en-GB" w:eastAsia="de-DE"/>
        </w:rPr>
        <w:t xml:space="preserve">. </w:t>
      </w:r>
      <w:r w:rsidRPr="0000308A">
        <w:rPr>
          <w:rFonts w:ascii="Times New Roman" w:eastAsia="Times New Roman" w:hAnsi="Times New Roman" w:cs="Times New Roman"/>
          <w:sz w:val="24"/>
          <w:szCs w:val="24"/>
          <w:lang w:eastAsia="de-DE"/>
        </w:rPr>
        <w:t>■</w:t>
      </w:r>
    </w:p>
    <w:p w14:paraId="01720F54" w14:textId="77777777" w:rsidR="00BA6EA8" w:rsidRDefault="00BA6EA8"/>
    <w:sectPr w:rsidR="00BA6E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597B"/>
    <w:multiLevelType w:val="multilevel"/>
    <w:tmpl w:val="04C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8A"/>
    <w:rsid w:val="0000308A"/>
    <w:rsid w:val="0045145E"/>
    <w:rsid w:val="0069490E"/>
    <w:rsid w:val="00B17ACD"/>
    <w:rsid w:val="00BA6EA8"/>
    <w:rsid w:val="00C062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81DD"/>
  <w15:chartTrackingRefBased/>
  <w15:docId w15:val="{549B2514-FF59-4857-822D-105B042B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5966">
      <w:bodyDiv w:val="1"/>
      <w:marLeft w:val="0"/>
      <w:marRight w:val="0"/>
      <w:marTop w:val="0"/>
      <w:marBottom w:val="0"/>
      <w:divBdr>
        <w:top w:val="none" w:sz="0" w:space="0" w:color="auto"/>
        <w:left w:val="none" w:sz="0" w:space="0" w:color="auto"/>
        <w:bottom w:val="none" w:sz="0" w:space="0" w:color="auto"/>
        <w:right w:val="none" w:sz="0" w:space="0" w:color="auto"/>
      </w:divBdr>
      <w:divsChild>
        <w:div w:id="1353802098">
          <w:marLeft w:val="0"/>
          <w:marRight w:val="0"/>
          <w:marTop w:val="0"/>
          <w:marBottom w:val="0"/>
          <w:divBdr>
            <w:top w:val="none" w:sz="0" w:space="0" w:color="auto"/>
            <w:left w:val="none" w:sz="0" w:space="0" w:color="auto"/>
            <w:bottom w:val="none" w:sz="0" w:space="0" w:color="auto"/>
            <w:right w:val="none" w:sz="0" w:space="0" w:color="auto"/>
          </w:divBdr>
          <w:divsChild>
            <w:div w:id="717751255">
              <w:marLeft w:val="0"/>
              <w:marRight w:val="0"/>
              <w:marTop w:val="0"/>
              <w:marBottom w:val="0"/>
              <w:divBdr>
                <w:top w:val="none" w:sz="0" w:space="0" w:color="auto"/>
                <w:left w:val="none" w:sz="0" w:space="0" w:color="auto"/>
                <w:bottom w:val="none" w:sz="0" w:space="0" w:color="auto"/>
                <w:right w:val="none" w:sz="0" w:space="0" w:color="auto"/>
              </w:divBdr>
            </w:div>
          </w:divsChild>
        </w:div>
        <w:div w:id="1074595350">
          <w:marLeft w:val="0"/>
          <w:marRight w:val="0"/>
          <w:marTop w:val="0"/>
          <w:marBottom w:val="0"/>
          <w:divBdr>
            <w:top w:val="none" w:sz="0" w:space="0" w:color="auto"/>
            <w:left w:val="none" w:sz="0" w:space="0" w:color="auto"/>
            <w:bottom w:val="none" w:sz="0" w:space="0" w:color="auto"/>
            <w:right w:val="none" w:sz="0" w:space="0" w:color="auto"/>
          </w:divBdr>
          <w:divsChild>
            <w:div w:id="2053654754">
              <w:marLeft w:val="0"/>
              <w:marRight w:val="0"/>
              <w:marTop w:val="0"/>
              <w:marBottom w:val="0"/>
              <w:divBdr>
                <w:top w:val="none" w:sz="0" w:space="0" w:color="auto"/>
                <w:left w:val="none" w:sz="0" w:space="0" w:color="auto"/>
                <w:bottom w:val="none" w:sz="0" w:space="0" w:color="auto"/>
                <w:right w:val="none" w:sz="0" w:space="0" w:color="auto"/>
              </w:divBdr>
            </w:div>
            <w:div w:id="929047042">
              <w:marLeft w:val="0"/>
              <w:marRight w:val="0"/>
              <w:marTop w:val="0"/>
              <w:marBottom w:val="0"/>
              <w:divBdr>
                <w:top w:val="none" w:sz="0" w:space="0" w:color="auto"/>
                <w:left w:val="none" w:sz="0" w:space="0" w:color="auto"/>
                <w:bottom w:val="none" w:sz="0" w:space="0" w:color="auto"/>
                <w:right w:val="none" w:sz="0" w:space="0" w:color="auto"/>
              </w:divBdr>
            </w:div>
          </w:divsChild>
        </w:div>
        <w:div w:id="9197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technology-quarterly/2020/06/11/an-understanding-of-ais-limitations-is-starting-to-sink-in" TargetMode="External"/><Relationship Id="rId3" Type="http://schemas.openxmlformats.org/officeDocument/2006/relationships/settings" Target="settings.xml"/><Relationship Id="rId7" Type="http://schemas.openxmlformats.org/officeDocument/2006/relationships/hyperlink" Target="https://www.economist.com/business/2020/12/15/the-eu-unveils-its-plan-to-rein-in-big-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printedition/2021-04-24" TargetMode="External"/><Relationship Id="rId5" Type="http://schemas.openxmlformats.org/officeDocument/2006/relationships/hyperlink" Target="https://www.economist.com/euro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andreas.foerster</dc:creator>
  <cp:keywords/>
  <dc:description/>
  <cp:lastModifiedBy>Hanna Foerster</cp:lastModifiedBy>
  <cp:revision>2</cp:revision>
  <dcterms:created xsi:type="dcterms:W3CDTF">2021-05-02T08:56:00Z</dcterms:created>
  <dcterms:modified xsi:type="dcterms:W3CDTF">2021-05-02T08:56:00Z</dcterms:modified>
</cp:coreProperties>
</file>