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52"/>
          <w:szCs w:val="52"/>
        </w:rPr>
        <w:t xml:space="preserve">EndoSync</w:t>
      </w:r>
    </w:p>
    <w:p>
      <w:pPr>
        <w:spacing w:after="60" w:before="0"/>
        <w:jc w:val="center"/>
      </w:pPr>
      <w:r>
        <w:rPr>
          <w:rFonts w:ascii="Arial" w:cs="Arial" w:eastAsia="Arial" w:hAnsi="Arial"/>
          <w:b/>
          <w:bCs/>
          <w:color w:val="4A7C59"/>
          <w:sz w:val="30"/>
          <w:szCs w:val="30"/>
        </w:rPr>
        <w:t xml:space="preserve">Final Presentation — Anticipated Q&amp;A</w:t>
      </w:r>
    </w:p>
    <w:p>
      <w:pPr>
        <w:spacing w:after="40" w:before="0"/>
        <w:jc w:val="center"/>
      </w:pPr>
      <w:r>
        <w:rPr>
          <w:rFonts w:ascii="Arial" w:cs="Arial" w:eastAsia="Arial" w:hAnsi="Arial"/>
          <w:color w:val="666666"/>
          <w:sz w:val="22"/>
          <w:szCs w:val="22"/>
        </w:rPr>
        <w:t xml:space="preserve">Group 14 | BMEN 668</w:t>
      </w:r>
    </w:p>
    <w:p>
      <w:pPr>
        <w:spacing w:after="60" w:before="0"/>
        <w:jc w:val="center"/>
      </w:pPr>
      <w:r>
        <w:rPr>
          <w:rFonts w:ascii="Arial" w:cs="Arial" w:eastAsia="Arial" w:hAnsi="Arial"/>
          <w:i/>
          <w:iCs/>
          <w:color w:val="888888"/>
          <w:sz w:val="20"/>
          <w:szCs w:val="20"/>
        </w:rPr>
        <w:t xml:space="preserve">Based on presentation slides, rubric criteria, and review of full codebase</w:t>
      </w:r>
    </w:p>
    <w:p>
      <w:pPr>
        <w:pBdr>
          <w:bottom w:val="single" w:color="CCCCCC" w:sz="4"/>
        </w:pBdr>
        <w:spacing w:after="160" w:before="160"/>
      </w:pPr>
    </w:p>
    <w:p>
      <w:pPr>
        <w:spacing w:after="80" w:before="160"/>
      </w:pPr>
      <w:r>
        <w:rPr>
          <w:rFonts w:ascii="Arial" w:cs="Arial" w:eastAsia="Arial" w:hAnsi="Arial"/>
          <w:b/>
          <w:bCs/>
          <w:color w:val="2E4057"/>
          <w:sz w:val="24"/>
          <w:szCs w:val="24"/>
        </w:rPr>
        <w:t xml:space="preserve">How to use this guide</w:t>
      </w:r>
    </w:p>
    <w:p>
      <w:pPr>
        <w:spacing w:after="160" w:before="60"/>
      </w:pPr>
      <w:r>
        <w:rPr>
          <w:rFonts w:ascii="Arial" w:cs="Arial" w:eastAsia="Arial" w:hAnsi="Arial"/>
          <w:color w:val="333333"/>
          <w:sz w:val="21"/>
          <w:szCs w:val="21"/>
        </w:rPr>
        <w:t xml:space="preserve">Questions are grouped by the rubric categories your evaluators are most likely to probe. For each question, a model answer is provided that draws directly from your slides, codebase (firmware and Flutter app), and supporting literature. Answers are written as you would speak them — feel free to paraphrase rather than memorise. Sections are ordered from most likely to most technically deep.</w:t>
      </w:r>
    </w:p>
    <w:p>
      <w:pPr>
        <w:pBdr>
          <w:bottom w:val="single" w:color="CCCCCC" w:sz="4"/>
        </w:pBdr>
        <w:spacing w:after="160" w:before="160"/>
      </w:pPr>
    </w:p>
    <w:p>
      <w:pPr>
        <w:pStyle w:val="Heading1"/>
        <w:spacing w:after="120" w:before="360"/>
      </w:pPr>
      <w:r>
        <w:rPr>
          <w:rFonts w:ascii="Arial" w:cs="Arial" w:eastAsia="Arial" w:hAnsi="Arial"/>
          <w:b/>
          <w:bCs/>
          <w:color w:val="2E4057"/>
          <w:sz w:val="32"/>
          <w:szCs w:val="32"/>
        </w:rPr>
        <w:t xml:space="preserve">BME Problem &amp; Clinical Context</w:t>
      </w:r>
    </w:p>
    <w:p>
      <w:pPr>
        <w:spacing w:after="80" w:before="240"/>
      </w:pPr>
      <w:r>
        <w:rPr>
          <w:rFonts w:ascii="Arial" w:cs="Arial" w:eastAsia="Arial" w:hAnsi="Arial"/>
          <w:b/>
          <w:bCs/>
          <w:color w:val="2E4057"/>
          <w:sz w:val="24"/>
          <w:szCs w:val="24"/>
        </w:rPr>
        <w:t xml:space="preserve">Q1.  </w:t>
      </w:r>
      <w:r>
        <w:rPr>
          <w:rFonts w:ascii="Arial" w:cs="Arial" w:eastAsia="Arial" w:hAnsi="Arial"/>
          <w:b/>
          <w:bCs/>
          <w:color w:val="2E4057"/>
          <w:sz w:val="24"/>
          <w:szCs w:val="24"/>
        </w:rPr>
        <w:t xml:space="preserve">Your slide says 90% of women with endometriosis experience debilitating pain. Where does that figure come from, and is it specific to dysmenorrhea?</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That statistic comes from Health Canada (our Reference 1). It refers broadly to chronic pelvic pain associated with endometriosis, including dysmenorrhea (painful periods), dyspareunia, and non-menstrual pelvic pain. Dysmenorrhea is the most prevalent and is the pain type our device directly targets.</w:t>
      </w:r>
    </w:p>
    <w:p>
      <w:pPr>
        <w:spacing w:after="80" w:before="240"/>
      </w:pPr>
      <w:r>
        <w:rPr>
          <w:rFonts w:ascii="Arial" w:cs="Arial" w:eastAsia="Arial" w:hAnsi="Arial"/>
          <w:b/>
          <w:bCs/>
          <w:color w:val="2E4057"/>
          <w:sz w:val="24"/>
          <w:szCs w:val="24"/>
        </w:rPr>
        <w:t xml:space="preserve">Q2.  </w:t>
      </w:r>
      <w:r>
        <w:rPr>
          <w:rFonts w:ascii="Arial" w:cs="Arial" w:eastAsia="Arial" w:hAnsi="Arial"/>
          <w:b/>
          <w:bCs/>
          <w:color w:val="2E4057"/>
          <w:sz w:val="24"/>
          <w:szCs w:val="24"/>
        </w:rPr>
        <w:t xml:space="preserve">Why focus on pain management rather than treating the underlying disease?</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Endometriosis has no cure; even surgical excision has high recurrence rates. For the majority of patients, ongoing symptom management is the primary quality-of-life intervention. Our device addresses the unmet need for non-pharmacological, on-demand relief between clinic visits or procedures, complementing rather than replacing medical treatment.</w:t>
      </w:r>
    </w:p>
    <w:p>
      <w:pPr>
        <w:spacing w:after="80" w:before="240"/>
      </w:pPr>
      <w:r>
        <w:rPr>
          <w:rFonts w:ascii="Arial" w:cs="Arial" w:eastAsia="Arial" w:hAnsi="Arial"/>
          <w:b/>
          <w:bCs/>
          <w:color w:val="2E4057"/>
          <w:sz w:val="24"/>
          <w:szCs w:val="24"/>
        </w:rPr>
        <w:t xml:space="preserve">Q3.  </w:t>
      </w:r>
      <w:r>
        <w:rPr>
          <w:rFonts w:ascii="Arial" w:cs="Arial" w:eastAsia="Arial" w:hAnsi="Arial"/>
          <w:b/>
          <w:bCs/>
          <w:color w:val="2E4057"/>
          <w:sz w:val="24"/>
          <w:szCs w:val="24"/>
        </w:rPr>
        <w:t xml:space="preserve">You say pharmaceuticals are only effective in about 25% of cases. What does "effective" mean here, and for which drug class?</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25% figure refers to complete pain relief from NSAIDs, the first-line pharmacological option. Many patients experience partial relief or must escalate to hormonal therapies, which carry their own side-effect profiles including bone density loss and mood changes. Our device is positioned as an adjunct or alternative for patients who are non-responders or who want to reduce drug dependence.</w:t>
      </w:r>
    </w:p>
    <w:p>
      <w:pPr>
        <w:pStyle w:val="Heading1"/>
        <w:spacing w:after="120" w:before="360"/>
      </w:pPr>
      <w:r>
        <w:rPr>
          <w:rFonts w:ascii="Arial" w:cs="Arial" w:eastAsia="Arial" w:hAnsi="Arial"/>
          <w:b/>
          <w:bCs/>
          <w:color w:val="2E4057"/>
          <w:sz w:val="32"/>
          <w:szCs w:val="32"/>
        </w:rPr>
        <w:t xml:space="preserve">Design Concept &amp; Engineering Decisions</w:t>
      </w:r>
    </w:p>
    <w:p>
      <w:pPr>
        <w:spacing w:after="80" w:before="240"/>
      </w:pPr>
      <w:r>
        <w:rPr>
          <w:rFonts w:ascii="Arial" w:cs="Arial" w:eastAsia="Arial" w:hAnsi="Arial"/>
          <w:b/>
          <w:bCs/>
          <w:color w:val="2E4057"/>
          <w:sz w:val="24"/>
          <w:szCs w:val="24"/>
        </w:rPr>
        <w:t xml:space="preserve">Q4.  </w:t>
      </w:r>
      <w:r>
        <w:rPr>
          <w:rFonts w:ascii="Arial" w:cs="Arial" w:eastAsia="Arial" w:hAnsi="Arial"/>
          <w:b/>
          <w:bCs/>
          <w:color w:val="2E4057"/>
          <w:sz w:val="24"/>
          <w:szCs w:val="24"/>
        </w:rPr>
        <w:t xml:space="preserve">Why did you choose heat and vibration specifically? What is the physiological mechanism?</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Heat therapy increases blood flow and relaxes smooth muscle, reducing the ischaemia-driven cramping common in dysmenorrhea. Vibration (haptic stimulation) activates mechanoreceptors, which can engage gate-control pain modulation — essentially competing signals that partially block nociceptive transmission in the dorsal horn. Combining both modalities addresses different pain pathways simultaneously and aligns with existing TENS/heat wearable literature.</w:t>
      </w:r>
    </w:p>
    <w:p>
      <w:pPr>
        <w:spacing w:after="80" w:before="240"/>
      </w:pPr>
      <w:r>
        <w:rPr>
          <w:rFonts w:ascii="Arial" w:cs="Arial" w:eastAsia="Arial" w:hAnsi="Arial"/>
          <w:b/>
          <w:bCs/>
          <w:color w:val="2E4057"/>
          <w:sz w:val="24"/>
          <w:szCs w:val="24"/>
        </w:rPr>
        <w:t xml:space="preserve">Q5.  </w:t>
      </w:r>
      <w:r>
        <w:rPr>
          <w:rFonts w:ascii="Arial" w:cs="Arial" w:eastAsia="Arial" w:hAnsi="Arial"/>
          <w:b/>
          <w:bCs/>
          <w:color w:val="2E4057"/>
          <w:sz w:val="24"/>
          <w:szCs w:val="24"/>
        </w:rPr>
        <w:t xml:space="preserve">Why Bluetooth Low Energy rather than a wired or purely standalone device?</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BLE allows the app to enforce clinical safety constraints (session limits, cooldown, emergency shutoff) that would be difficult to implement reliably in firmware alone. It also enables session data logging for future clinical analysis. The low power consumption of BLE is important for a wearable that runs on a small battery, and the short-range, personal-area nature of BLE is appropriate for a one-to-one device-phone pairing.</w:t>
      </w:r>
    </w:p>
    <w:p>
      <w:pPr>
        <w:spacing w:after="80" w:before="240"/>
      </w:pPr>
      <w:r>
        <w:rPr>
          <w:rFonts w:ascii="Arial" w:cs="Arial" w:eastAsia="Arial" w:hAnsi="Arial"/>
          <w:b/>
          <w:bCs/>
          <w:color w:val="2E4057"/>
          <w:sz w:val="24"/>
          <w:szCs w:val="24"/>
        </w:rPr>
        <w:t xml:space="preserve">Q6.  </w:t>
      </w:r>
      <w:r>
        <w:rPr>
          <w:rFonts w:ascii="Arial" w:cs="Arial" w:eastAsia="Arial" w:hAnsi="Arial"/>
          <w:b/>
          <w:bCs/>
          <w:color w:val="2E4057"/>
          <w:sz w:val="24"/>
          <w:szCs w:val="24"/>
        </w:rPr>
        <w:t xml:space="preserve">Why did you pick the Arduino Nano ESP32 as the microcontroller rather than, say, a Nordic nRF52 or a standalone ESP32 module?</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Nano ESP32 offers a familiar Arduino development environment, integrated BLE, sufficient GPIO for our peripherals, and a compact form factor. For a research prototype with a small team, the ecosystem maturity and breadth of library support (ArduinoBLE, Adafruit sensor libraries) reduced development risk. A production device would likely move to a dedicated BLE SoC like the nRF52840 for better power efficiency and regulatory certification.</w:t>
      </w:r>
    </w:p>
    <w:p>
      <w:pPr>
        <w:spacing w:after="80" w:before="240"/>
      </w:pPr>
      <w:r>
        <w:rPr>
          <w:rFonts w:ascii="Arial" w:cs="Arial" w:eastAsia="Arial" w:hAnsi="Arial"/>
          <w:b/>
          <w:bCs/>
          <w:color w:val="2E4057"/>
          <w:sz w:val="24"/>
          <w:szCs w:val="24"/>
        </w:rPr>
        <w:t xml:space="preserve">Q7.  </w:t>
      </w:r>
      <w:r>
        <w:rPr>
          <w:rFonts w:ascii="Arial" w:cs="Arial" w:eastAsia="Arial" w:hAnsi="Arial"/>
          <w:b/>
          <w:bCs/>
          <w:color w:val="2E4057"/>
          <w:sz w:val="24"/>
          <w:szCs w:val="24"/>
        </w:rPr>
        <w:t xml:space="preserve">Why the MCP9808 temperature sensor specifically? What is its accuracy and how does that relate to your 42 °C safety threshold?</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MCP9808 has a typical accuracy of ±0.25 °C and a maximum error of ±0.5 °C at its highest resolution (mode 3, which we use). With a 42 °C cutoff, even the worst-case +0.5 °C error means the firmware may trip at 41.5 °C — a conservative, safe direction. We chose it over a simpler NTC thermistor because of its I2C interface, calibrated digital output, and because a ±0.5 °C tolerance is clinically meaningful when the safe upper bound for prolonged skin contact is around 43 °C.</w:t>
      </w:r>
    </w:p>
    <w:p>
      <w:pPr>
        <w:spacing w:after="80" w:before="240"/>
      </w:pPr>
      <w:r>
        <w:rPr>
          <w:rFonts w:ascii="Arial" w:cs="Arial" w:eastAsia="Arial" w:hAnsi="Arial"/>
          <w:b/>
          <w:bCs/>
          <w:color w:val="2E4057"/>
          <w:sz w:val="24"/>
          <w:szCs w:val="24"/>
        </w:rPr>
        <w:t xml:space="preserve">Q8.  </w:t>
      </w:r>
      <w:r>
        <w:rPr>
          <w:rFonts w:ascii="Arial" w:cs="Arial" w:eastAsia="Arial" w:hAnsi="Arial"/>
          <w:b/>
          <w:bCs/>
          <w:color w:val="2E4057"/>
          <w:sz w:val="24"/>
          <w:szCs w:val="24"/>
        </w:rPr>
        <w:t xml:space="preserve">Walk me through what happens at a hardware level when the temperature exceeds 42 °C.</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In the main loop the firmware reads the MCP9808 every 500 ms. If the reading is &gt;= 42 °C and the heater is active, safetyShutoff("TEMP_HIGH") is called. This immediately drives the MOSFET gate pin (D5/GPIO8) LOW, which closes the MOSFET and cuts heater current. The DRV2605L haptic driver is also stopped. The state flags heatActive and vibrateActive are cleared. The firmware then writes "SAFETY:TEMP_HIGH" to the BLE TX notify characteristic. On the app side, any incoming SAFETY: message triggers a non-dismissible alert and sends ALL_OFF to ensure the device also receives the shutdown command.</w:t>
      </w:r>
    </w:p>
    <w:p>
      <w:pPr>
        <w:spacing w:after="80" w:before="240"/>
      </w:pPr>
      <w:r>
        <w:rPr>
          <w:rFonts w:ascii="Arial" w:cs="Arial" w:eastAsia="Arial" w:hAnsi="Arial"/>
          <w:b/>
          <w:bCs/>
          <w:color w:val="2E4057"/>
          <w:sz w:val="24"/>
          <w:szCs w:val="24"/>
        </w:rPr>
        <w:t xml:space="preserve">Q9.  </w:t>
      </w:r>
      <w:r>
        <w:rPr>
          <w:rFonts w:ascii="Arial" w:cs="Arial" w:eastAsia="Arial" w:hAnsi="Arial"/>
          <w:b/>
          <w:bCs/>
          <w:color w:val="2E4057"/>
          <w:sz w:val="24"/>
          <w:szCs w:val="24"/>
        </w:rPr>
        <w:t xml:space="preserve">Why does the device only start BLE advertising when the physical switch is turned on?</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switch serves as a hardware-level patient consent and safety interlock. It prevents the device from being discoverable or activatable without deliberate user action, reduces battery drain, and provides a failsafe: even if the app or firmware has a bug, the patient can always flip the switch to immediately cut all outputs. The switch uses an internal pull-up; when pulled LOW (switch closed), deviceActive is set true and BLE.advertise() is called.</w:t>
      </w:r>
    </w:p>
    <w:p>
      <w:pPr>
        <w:pStyle w:val="Heading1"/>
        <w:spacing w:after="120" w:before="360"/>
      </w:pPr>
      <w:r>
        <w:rPr>
          <w:rFonts w:ascii="Arial" w:cs="Arial" w:eastAsia="Arial" w:hAnsi="Arial"/>
          <w:b/>
          <w:bCs/>
          <w:color w:val="2E4057"/>
          <w:sz w:val="32"/>
          <w:szCs w:val="32"/>
        </w:rPr>
        <w:t xml:space="preserve">Software &amp; Firmware Architecture</w:t>
      </w:r>
    </w:p>
    <w:p>
      <w:pPr>
        <w:spacing w:after="80" w:before="240"/>
      </w:pPr>
      <w:r>
        <w:rPr>
          <w:rFonts w:ascii="Arial" w:cs="Arial" w:eastAsia="Arial" w:hAnsi="Arial"/>
          <w:b/>
          <w:bCs/>
          <w:color w:val="2E4057"/>
          <w:sz w:val="24"/>
          <w:szCs w:val="24"/>
        </w:rPr>
        <w:t xml:space="preserve">Q10.  </w:t>
      </w:r>
      <w:r>
        <w:rPr>
          <w:rFonts w:ascii="Arial" w:cs="Arial" w:eastAsia="Arial" w:hAnsi="Arial"/>
          <w:b/>
          <w:bCs/>
          <w:color w:val="2E4057"/>
          <w:sz w:val="24"/>
          <w:szCs w:val="24"/>
        </w:rPr>
        <w:t xml:space="preserve">You said safety is handled independently at both the firmware and app layers. Can you give a concrete example of how that redundancy works?</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Consider a BLE disconnection mid-session. The app detects the disconnect via its connectionState listener and raises a SAFETY:BLE_LOST alert, returning the UI to a safe state. Simultaneously and independently, the firmware's safetyShutoff("BLE_LOST") function fires on disconnect, driving the MOSFET LOW and stopping the haptic driver. Neither layer depends on the other to cut outputs. Similarly, the 11-minute BLE timeout in firmware is entirely independent of the app's 10-minute session timer.</w:t>
      </w:r>
    </w:p>
    <w:p>
      <w:pPr>
        <w:spacing w:after="80" w:before="240"/>
      </w:pPr>
      <w:r>
        <w:rPr>
          <w:rFonts w:ascii="Arial" w:cs="Arial" w:eastAsia="Arial" w:hAnsi="Arial"/>
          <w:b/>
          <w:bCs/>
          <w:color w:val="2E4057"/>
          <w:sz w:val="24"/>
          <w:szCs w:val="24"/>
        </w:rPr>
        <w:t xml:space="preserve">Q11.  </w:t>
      </w:r>
      <w:r>
        <w:rPr>
          <w:rFonts w:ascii="Arial" w:cs="Arial" w:eastAsia="Arial" w:hAnsi="Arial"/>
          <w:b/>
          <w:bCs/>
          <w:color w:val="2E4057"/>
          <w:sz w:val="24"/>
          <w:szCs w:val="24"/>
        </w:rPr>
        <w:t xml:space="preserve">Why does the app poll READ_TEMP every 25 seconds? Why not rely on the firmware to push temperature data?</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READ_TEMP serves a dual purpose: it returns temperature data for display, but more critically it resets the firmware's lastCommandTime variable, which drives the 11-minute BLE inactivity timeout. Without periodic commands, a session where the user simply leaves the device running would trigger a firmware-level shutoff at 11 minutes. The 25-second interval is well within the 660-second timeout window, ensuring the keepalive is reliable even with BLE latency variation.</w:t>
      </w:r>
    </w:p>
    <w:p>
      <w:pPr>
        <w:spacing w:after="80" w:before="240"/>
      </w:pPr>
      <w:r>
        <w:rPr>
          <w:rFonts w:ascii="Arial" w:cs="Arial" w:eastAsia="Arial" w:hAnsi="Arial"/>
          <w:b/>
          <w:bCs/>
          <w:color w:val="2E4057"/>
          <w:sz w:val="24"/>
          <w:szCs w:val="24"/>
        </w:rPr>
        <w:t xml:space="preserve">Q12.  </w:t>
      </w:r>
      <w:r>
        <w:rPr>
          <w:rFonts w:ascii="Arial" w:cs="Arial" w:eastAsia="Arial" w:hAnsi="Arial"/>
          <w:b/>
          <w:bCs/>
          <w:color w:val="2E4057"/>
          <w:sz w:val="24"/>
          <w:szCs w:val="24"/>
        </w:rPr>
        <w:t xml:space="preserve">How does the app enforce the two-session maximum and 30-minute cooldown? What happens if the user kills and restarts the app mid-cooldown?</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session count and cooldown state are held in BleManager, which is a Provider-managed ChangeNotifier. Currently this state is in-memory only — if the app is killed, the session count resets. This is a known limitation of the prototype. In a production version, the session count and cooldown start time would be persisted to SQLite (the same database used for session records) so the constraint survives an app restart. The session records themselves are already stored persistently.</w:t>
      </w:r>
    </w:p>
    <w:p>
      <w:pPr>
        <w:spacing w:after="80" w:before="240"/>
      </w:pPr>
      <w:r>
        <w:rPr>
          <w:rFonts w:ascii="Arial" w:cs="Arial" w:eastAsia="Arial" w:hAnsi="Arial"/>
          <w:b/>
          <w:bCs/>
          <w:color w:val="2E4057"/>
          <w:sz w:val="24"/>
          <w:szCs w:val="24"/>
        </w:rPr>
        <w:t xml:space="preserve">Q13.  </w:t>
      </w:r>
      <w:r>
        <w:rPr>
          <w:rFonts w:ascii="Arial" w:cs="Arial" w:eastAsia="Arial" w:hAnsi="Arial"/>
          <w:b/>
          <w:bCs/>
          <w:color w:val="2E4057"/>
          <w:sz w:val="24"/>
          <w:szCs w:val="24"/>
        </w:rPr>
        <w:t xml:space="preserve">What data does the app log per session, and could it be used for clinical analysis?</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Each SessionRecord stores a UUID, start/end timestamps, initial and final pain scores (1-10 Likert), pain delta, exercise modality selected, actual session duration in seconds, whether the session ended early, a success flag (finalPain &lt; initialPain), any safety event that occurred, and the session number within the current cycle. This schema is rich enough to correlate therapy parameters with pain outcomes across users. Our testing showed 154/154 fields stored correctly with zero NULL IDs across 14 test sessions.</w:t>
      </w:r>
    </w:p>
    <w:p>
      <w:pPr>
        <w:pStyle w:val="Heading1"/>
        <w:spacing w:after="120" w:before="360"/>
      </w:pPr>
      <w:r>
        <w:rPr>
          <w:rFonts w:ascii="Arial" w:cs="Arial" w:eastAsia="Arial" w:hAnsi="Arial"/>
          <w:b/>
          <w:bCs/>
          <w:color w:val="2E4057"/>
          <w:sz w:val="32"/>
          <w:szCs w:val="32"/>
        </w:rPr>
        <w:t xml:space="preserve">Safety, Ethics &amp; Regulatory Considerations</w:t>
      </w:r>
    </w:p>
    <w:p>
      <w:pPr>
        <w:spacing w:after="80" w:before="240"/>
      </w:pPr>
      <w:r>
        <w:rPr>
          <w:rFonts w:ascii="Arial" w:cs="Arial" w:eastAsia="Arial" w:hAnsi="Arial"/>
          <w:b/>
          <w:bCs/>
          <w:color w:val="2E4057"/>
          <w:sz w:val="24"/>
          <w:szCs w:val="24"/>
        </w:rPr>
        <w:t xml:space="preserve">Q14.  </w:t>
      </w:r>
      <w:r>
        <w:rPr>
          <w:rFonts w:ascii="Arial" w:cs="Arial" w:eastAsia="Arial" w:hAnsi="Arial"/>
          <w:b/>
          <w:bCs/>
          <w:color w:val="2E4057"/>
          <w:sz w:val="24"/>
          <w:szCs w:val="24"/>
        </w:rPr>
        <w:t xml:space="preserve">Heat therapy devices have caused burns. How confident are you that 42 °C is a safe cutoff for prolonged skin contact?</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International standards such as IEC 60601-1 and published literature on contact heat injury (e.g., Moritz &amp; Henriques thresholds) indicate that skin burns from contact heat require sustained exposure above approximately 43-44 °C. Our 42 °C firmware cutoff includes a safety margin below that threshold, and the sensor's worst-case +0.5 °C error means we could trip as early as 41.5 °C. That said, the device is a prototype; a clinical product would require formal biocompatibility testing and adherence to ISO 14971 risk management.</w:t>
      </w:r>
    </w:p>
    <w:p>
      <w:pPr>
        <w:spacing w:after="80" w:before="240"/>
      </w:pPr>
      <w:r>
        <w:rPr>
          <w:rFonts w:ascii="Arial" w:cs="Arial" w:eastAsia="Arial" w:hAnsi="Arial"/>
          <w:b/>
          <w:bCs/>
          <w:color w:val="2E4057"/>
          <w:sz w:val="24"/>
          <w:szCs w:val="24"/>
        </w:rPr>
        <w:t xml:space="preserve">Q15.  </w:t>
      </w:r>
      <w:r>
        <w:rPr>
          <w:rFonts w:ascii="Arial" w:cs="Arial" w:eastAsia="Arial" w:hAnsi="Arial"/>
          <w:b/>
          <w:bCs/>
          <w:color w:val="2E4057"/>
          <w:sz w:val="24"/>
          <w:szCs w:val="24"/>
        </w:rPr>
        <w:t xml:space="preserve">Did you consider any ethical concerns around collecting pain data from users with a chronic condition?</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Yes. All session data is stored locally on the user's iPhone in a SQLite database — there is no server or cloud upload in the current prototype. This means data stays under the user's control. For a clinical study we would add informed consent flows, IRB/REB approval, and potentially de-identification before any data export. The app already exports structured JSON, which could feed an anonymised research database with appropriate governance.</w:t>
      </w:r>
    </w:p>
    <w:p>
      <w:pPr>
        <w:spacing w:after="80" w:before="240"/>
      </w:pPr>
      <w:r>
        <w:rPr>
          <w:rFonts w:ascii="Arial" w:cs="Arial" w:eastAsia="Arial" w:hAnsi="Arial"/>
          <w:b/>
          <w:bCs/>
          <w:color w:val="2E4057"/>
          <w:sz w:val="24"/>
          <w:szCs w:val="24"/>
        </w:rPr>
        <w:t xml:space="preserve">Q16.  </w:t>
      </w:r>
      <w:r>
        <w:rPr>
          <w:rFonts w:ascii="Arial" w:cs="Arial" w:eastAsia="Arial" w:hAnsi="Arial"/>
          <w:b/>
          <w:bCs/>
          <w:color w:val="2E4057"/>
          <w:sz w:val="24"/>
          <w:szCs w:val="24"/>
        </w:rPr>
        <w:t xml:space="preserve">You mention a "manual mechanical switch as a fail-safe." What failure mode does that protect against that software alone does not?</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Software and firmware can both enter undefined states due to bugs, memory corruption, or power rail glitches. If the microcontroller crashes mid-session, the firmware safety loop stops running, meaning the MOSFET could remain latched ON and the heater could continue drawing current indefinitely. The physical switch, wired in the MOSFET gate circuit, provides a hardware-level interrupt that requires zero firmware cooperation — the patient or caregiver can cut all outputs regardless of firmware state.</w:t>
      </w:r>
    </w:p>
    <w:p>
      <w:pPr>
        <w:pStyle w:val="Heading1"/>
        <w:spacing w:after="120" w:before="360"/>
      </w:pPr>
      <w:r>
        <w:rPr>
          <w:rFonts w:ascii="Arial" w:cs="Arial" w:eastAsia="Arial" w:hAnsi="Arial"/>
          <w:b/>
          <w:bCs/>
          <w:color w:val="2E4057"/>
          <w:sz w:val="32"/>
          <w:szCs w:val="32"/>
        </w:rPr>
        <w:t xml:space="preserve">Technical Evidence &amp; Testing</w:t>
      </w:r>
    </w:p>
    <w:p>
      <w:pPr>
        <w:spacing w:after="80" w:before="240"/>
      </w:pPr>
      <w:r>
        <w:rPr>
          <w:rFonts w:ascii="Arial" w:cs="Arial" w:eastAsia="Arial" w:hAnsi="Arial"/>
          <w:b/>
          <w:bCs/>
          <w:color w:val="2E4057"/>
          <w:sz w:val="24"/>
          <w:szCs w:val="24"/>
        </w:rPr>
        <w:t xml:space="preserve">Q17.  </w:t>
      </w:r>
      <w:r>
        <w:rPr>
          <w:rFonts w:ascii="Arial" w:cs="Arial" w:eastAsia="Arial" w:hAnsi="Arial"/>
          <w:b/>
          <w:bCs/>
          <w:color w:val="2E4057"/>
          <w:sz w:val="24"/>
          <w:szCs w:val="24"/>
        </w:rPr>
        <w:t xml:space="preserve">Your testing table shows "PASS" for all five specifications. How many trials did you run for each, and how did you handle statistical variability?</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For the session timer, we ran tests using a compressed debug time scale (30 s representing 600 s) across multiple cycles; for data integrity we tested 154 fields across 14 sessions. We acknowledge that formal statistical power analysis was out of scope for this prototype phase. For a clinical submission we would define sample sizes based on acceptable error rates and run repeated trials to establish confidence intervals, particularly for the thermal safety test.</w:t>
      </w:r>
    </w:p>
    <w:p>
      <w:pPr>
        <w:spacing w:after="80" w:before="240"/>
      </w:pPr>
      <w:r>
        <w:rPr>
          <w:rFonts w:ascii="Arial" w:cs="Arial" w:eastAsia="Arial" w:hAnsi="Arial"/>
          <w:b/>
          <w:bCs/>
          <w:color w:val="2E4057"/>
          <w:sz w:val="24"/>
          <w:szCs w:val="24"/>
        </w:rPr>
        <w:t xml:space="preserve">Q18.  </w:t>
      </w:r>
      <w:r>
        <w:rPr>
          <w:rFonts w:ascii="Arial" w:cs="Arial" w:eastAsia="Arial" w:hAnsi="Arial"/>
          <w:b/>
          <w:bCs/>
          <w:color w:val="2E4057"/>
          <w:sz w:val="24"/>
          <w:szCs w:val="24"/>
        </w:rPr>
        <w:t xml:space="preserve">You tested session duration with a 30-second debug timer. How do you validate that the production 10-minute timer is correct?</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debug and production durations are controlled by a single constant in ble_constants.dart (kDebugSkipBle and the corresponding timer values). We verified the compression ratio is exactly 20:1 (30 s debug = 600 s production). We also ran one full-duration real-time test to confirm the timer fires at 600 seconds without drift, and verified the BLE firmware watchdog fires at 660 seconds — 60 seconds after app-side termination, providing the expected overlap.</w:t>
      </w:r>
    </w:p>
    <w:p>
      <w:pPr>
        <w:spacing w:after="80" w:before="240"/>
      </w:pPr>
      <w:r>
        <w:rPr>
          <w:rFonts w:ascii="Arial" w:cs="Arial" w:eastAsia="Arial" w:hAnsi="Arial"/>
          <w:b/>
          <w:bCs/>
          <w:color w:val="2E4057"/>
          <w:sz w:val="24"/>
          <w:szCs w:val="24"/>
        </w:rPr>
        <w:t xml:space="preserve">Q19.  </w:t>
      </w:r>
      <w:r>
        <w:rPr>
          <w:rFonts w:ascii="Arial" w:cs="Arial" w:eastAsia="Arial" w:hAnsi="Arial"/>
          <w:b/>
          <w:bCs/>
          <w:color w:val="2E4057"/>
          <w:sz w:val="24"/>
          <w:szCs w:val="24"/>
        </w:rPr>
        <w:t xml:space="preserve">What is waveform 14 on the DRV2605L, and why does your firmware re-trigger it every 500 ms?</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DRV2605L ships with a built-in ROM library of haptic effects. Waveform 14 in library 1 is a "Strong Buzz" — a continuous, high-intensity vibration pattern. However, it is a one-shot effect with a finite play duration of roughly 1 second. Without periodic re-triggering, vibration would play briefly and stop. We call hapticDriver.go() every 500 ms (the same loop that handles temperature checks) to restart the effect seamlessly and maintain continuous vibration for the duration of the session.</w:t>
      </w:r>
    </w:p>
    <w:p>
      <w:pPr>
        <w:pStyle w:val="Heading1"/>
        <w:spacing w:after="120" w:before="360"/>
      </w:pPr>
      <w:r>
        <w:rPr>
          <w:rFonts w:ascii="Arial" w:cs="Arial" w:eastAsia="Arial" w:hAnsi="Arial"/>
          <w:b/>
          <w:bCs/>
          <w:color w:val="2E4057"/>
          <w:sz w:val="32"/>
          <w:szCs w:val="32"/>
        </w:rPr>
        <w:t xml:space="preserve">Impact &amp; Future Work</w:t>
      </w:r>
    </w:p>
    <w:p>
      <w:pPr>
        <w:spacing w:after="80" w:before="240"/>
      </w:pPr>
      <w:r>
        <w:rPr>
          <w:rFonts w:ascii="Arial" w:cs="Arial" w:eastAsia="Arial" w:hAnsi="Arial"/>
          <w:b/>
          <w:bCs/>
          <w:color w:val="2E4057"/>
          <w:sz w:val="24"/>
          <w:szCs w:val="24"/>
        </w:rPr>
        <w:t xml:space="preserve">Q20.  </w:t>
      </w:r>
      <w:r>
        <w:rPr>
          <w:rFonts w:ascii="Arial" w:cs="Arial" w:eastAsia="Arial" w:hAnsi="Arial"/>
          <w:b/>
          <w:bCs/>
          <w:color w:val="2E4057"/>
          <w:sz w:val="24"/>
          <w:szCs w:val="24"/>
        </w:rPr>
        <w:t xml:space="preserve">How do you measure success? Is a reduction in self-reported pain score on a 1-10 scale clinically meaningful?</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Minimal Clinically Important Difference (MCID) for pain on a 0-10 NRS is typically cited as 1-2 points. Our current definition of "successful" — any reduction (finalPain &lt; initialPain) — is intentionally broad for prototype validation. In a clinical study we would set an MCID-based threshold, use validated instruments like the NRS or VAS, and include follow-up time points rather than a single immediate post-session rating to assess durability of relief.</w:t>
      </w:r>
    </w:p>
    <w:p>
      <w:pPr>
        <w:spacing w:after="80" w:before="240"/>
      </w:pPr>
      <w:r>
        <w:rPr>
          <w:rFonts w:ascii="Arial" w:cs="Arial" w:eastAsia="Arial" w:hAnsi="Arial"/>
          <w:b/>
          <w:bCs/>
          <w:color w:val="2E4057"/>
          <w:sz w:val="24"/>
          <w:szCs w:val="24"/>
        </w:rPr>
        <w:t xml:space="preserve">Q21.  </w:t>
      </w:r>
      <w:r>
        <w:rPr>
          <w:rFonts w:ascii="Arial" w:cs="Arial" w:eastAsia="Arial" w:hAnsi="Arial"/>
          <w:b/>
          <w:bCs/>
          <w:color w:val="2E4057"/>
          <w:sz w:val="24"/>
          <w:szCs w:val="24"/>
        </w:rPr>
        <w:t xml:space="preserve">Your next steps include user cognitive walkthroughs. What specific failure modes are you most worried about discovering?</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Our primary concerns are: (1) users failing to flip the physical switch before attempting to scan, since the device is invisible to BLE until the switch is on; (2) confusion around the pain re-rating step if pain has not changed or has increased; and (3) the 30-minute cooldown screen causing users to abandon the app and lose session state. The walkthrough protocol targets exactly these interaction points.</w:t>
      </w:r>
    </w:p>
    <w:p>
      <w:pPr>
        <w:spacing w:after="80" w:before="240"/>
      </w:pPr>
      <w:r>
        <w:rPr>
          <w:rFonts w:ascii="Arial" w:cs="Arial" w:eastAsia="Arial" w:hAnsi="Arial"/>
          <w:b/>
          <w:bCs/>
          <w:color w:val="2E4057"/>
          <w:sz w:val="24"/>
          <w:szCs w:val="24"/>
        </w:rPr>
        <w:t xml:space="preserve">Q22.  </w:t>
      </w:r>
      <w:r>
        <w:rPr>
          <w:rFonts w:ascii="Arial" w:cs="Arial" w:eastAsia="Arial" w:hAnsi="Arial"/>
          <w:b/>
          <w:bCs/>
          <w:color w:val="2E4057"/>
          <w:sz w:val="24"/>
          <w:szCs w:val="24"/>
        </w:rPr>
        <w:t xml:space="preserve">You mention AI-driven predictive pain management as a future direction. How would you collect sufficient training data, and what would the model predict?</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The app already logs timestamps, pain scores, exercise modality, and session outcomes. Over many sessions, patterns may emerge linking time-of-cycle, initial pain score, and exercise type to session success. A simple baseline model could predict "likelihood of significant relief given current pain score and time since last session" to prompt proactive device use. Data collection would require opt-in aggregation across users under REB-approved consent, with careful attention to bias given that endometriosis affects diverse populations.</w:t>
      </w:r>
    </w:p>
    <w:p>
      <w:pPr>
        <w:spacing w:after="80" w:before="240"/>
      </w:pPr>
      <w:r>
        <w:rPr>
          <w:rFonts w:ascii="Arial" w:cs="Arial" w:eastAsia="Arial" w:hAnsi="Arial"/>
          <w:b/>
          <w:bCs/>
          <w:color w:val="2E4057"/>
          <w:sz w:val="24"/>
          <w:szCs w:val="24"/>
        </w:rPr>
        <w:t xml:space="preserve">Q23.  </w:t>
      </w:r>
      <w:r>
        <w:rPr>
          <w:rFonts w:ascii="Arial" w:cs="Arial" w:eastAsia="Arial" w:hAnsi="Arial"/>
          <w:b/>
          <w:bCs/>
          <w:color w:val="2E4057"/>
          <w:sz w:val="24"/>
          <w:szCs w:val="24"/>
        </w:rPr>
        <w:t xml:space="preserve">Your device is iOS-only right now. Is that a fundamental technical limitation or a scope decision?</w:t>
      </w:r>
    </w:p>
    <w:p>
      <w:pPr>
        <w:spacing w:after="60" w:before="60"/>
      </w:pPr>
      <w:r>
        <w:rPr>
          <w:rFonts w:ascii="Arial" w:cs="Arial" w:eastAsia="Arial" w:hAnsi="Arial"/>
          <w:b/>
          <w:bCs/>
          <w:i/>
          <w:iCs/>
          <w:color w:val="4A7C59"/>
          <w:sz w:val="21"/>
          <w:szCs w:val="21"/>
        </w:rPr>
        <w:t xml:space="preserve">Suggested Answer:  </w:t>
      </w:r>
      <w:r>
        <w:rPr>
          <w:rFonts w:ascii="Arial" w:cs="Arial" w:eastAsia="Arial" w:hAnsi="Arial"/>
          <w:color w:val="222222"/>
          <w:sz w:val="21"/>
          <w:szCs w:val="21"/>
        </w:rPr>
        <w:t xml:space="preserve">It is a scope decision. The BLE stack is implemented using flutter_blue_plus, which supports both iOS and Android. The iOS-only constraint was chosen to simplify testing and avoid Android BLE fragmentation issues during the prototype phase. Extending to Android would require permission handling differences (location permission for BLE on older Android versions) and testing across a wider device matrix, but no architectural changes to the codebase would be needed.</w:t>
      </w:r>
    </w:p>
    <w:p>
      <w:pPr>
        <w:pBdr>
          <w:bottom w:val="single" w:color="CCCCCC" w:sz="4"/>
        </w:pBdr>
        <w:spacing w:after="160" w:before="160"/>
      </w:pPr>
    </w:p>
    <w:p>
      <w:pPr>
        <w:spacing w:after="60" w:before="160"/>
      </w:pPr>
      <w:r>
        <w:rPr>
          <w:rFonts w:ascii="Arial" w:cs="Arial" w:eastAsia="Arial" w:hAnsi="Arial"/>
          <w:b/>
          <w:bCs/>
          <w:color w:val="2E4057"/>
          <w:sz w:val="24"/>
          <w:szCs w:val="24"/>
        </w:rPr>
        <w:t xml:space="preserve">General Tips for Q&amp;A Delivery</w:t>
      </w:r>
    </w:p>
    <w:p>
      <w:pPr>
        <w:pStyle w:val="ListParagraph"/>
        <w:numPr>
          <w:ilvl w:val="0"/>
          <w:numId w:val="2"/>
        </w:numPr>
        <w:spacing w:after="40" w:before="80"/>
      </w:pPr>
      <w:r>
        <w:rPr>
          <w:rFonts w:ascii="Arial" w:cs="Arial" w:eastAsia="Arial" w:hAnsi="Arial"/>
          <w:color w:val="333333"/>
          <w:sz w:val="21"/>
          <w:szCs w:val="21"/>
        </w:rPr>
        <w:t xml:space="preserve">If you are unsure of a number or reference, say "I'd have to double-check the exact figure, but the principle is..." — honesty under pressure scores better than a wrong confident answer.</w:t>
      </w:r>
    </w:p>
    <w:p>
      <w:pPr>
        <w:pStyle w:val="ListParagraph"/>
        <w:numPr>
          <w:ilvl w:val="0"/>
          <w:numId w:val="2"/>
        </w:numPr>
        <w:spacing w:after="40" w:before="80"/>
      </w:pPr>
      <w:r>
        <w:rPr>
          <w:rFonts w:ascii="Arial" w:cs="Arial" w:eastAsia="Arial" w:hAnsi="Arial"/>
          <w:color w:val="333333"/>
          <w:sz w:val="21"/>
          <w:szCs w:val="21"/>
        </w:rPr>
        <w:t xml:space="preserve">When discussing safety, lead with what is enforced at the hardware level (switch, MOSFET) before software layers — evaluators appreciate defence-in-depth thinking.</w:t>
      </w:r>
    </w:p>
    <w:p>
      <w:pPr>
        <w:pStyle w:val="ListParagraph"/>
        <w:numPr>
          <w:ilvl w:val="0"/>
          <w:numId w:val="2"/>
        </w:numPr>
        <w:spacing w:after="40" w:before="80"/>
      </w:pPr>
      <w:r>
        <w:rPr>
          <w:rFonts w:ascii="Arial" w:cs="Arial" w:eastAsia="Arial" w:hAnsi="Arial"/>
          <w:color w:val="333333"/>
          <w:sz w:val="21"/>
          <w:szCs w:val="21"/>
        </w:rPr>
        <w:t xml:space="preserve">Anticipate follow-ups on the 42 °C threshold: know that IEC 60601-1 and Moritz &amp; Henriques thresholds are the relevant standards.</w:t>
      </w:r>
    </w:p>
    <w:p>
      <w:pPr>
        <w:pStyle w:val="ListParagraph"/>
        <w:numPr>
          <w:ilvl w:val="0"/>
          <w:numId w:val="2"/>
        </w:numPr>
        <w:spacing w:after="40" w:before="80"/>
      </w:pPr>
      <w:r>
        <w:rPr>
          <w:rFonts w:ascii="Arial" w:cs="Arial" w:eastAsia="Arial" w:hAnsi="Arial"/>
          <w:color w:val="333333"/>
          <w:sz w:val="21"/>
          <w:szCs w:val="21"/>
        </w:rPr>
        <w:t xml:space="preserve">If asked about a limitation (e.g., in-memory cooldown state, iOS-only, self-reported pain), acknowledge it directly and immediately follow with how you would address it in a next iteration.</w:t>
      </w:r>
    </w:p>
    <w:p>
      <w:pPr>
        <w:pStyle w:val="ListParagraph"/>
        <w:numPr>
          <w:ilvl w:val="0"/>
          <w:numId w:val="2"/>
        </w:numPr>
        <w:spacing w:after="40" w:before="80"/>
      </w:pPr>
      <w:r>
        <w:rPr>
          <w:rFonts w:ascii="Arial" w:cs="Arial" w:eastAsia="Arial" w:hAnsi="Arial"/>
          <w:color w:val="333333"/>
          <w:sz w:val="21"/>
          <w:szCs w:val="21"/>
        </w:rPr>
        <w:t xml:space="preserve">On clinical validity: be upfront that your n=14 test sessions are proof-of-concept, not powered clinical evidence, and frame next steps (cognitive walkthrough, user survey) as the appropriate next validation tier.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A7C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2026-03-30T04:05:12.533Z</dcterms:created>
  <dcterms:modified xsi:type="dcterms:W3CDTF">2026-03-30T04:05:12.533Z</dcterms:modified>
</cp:coreProperties>
</file>

<file path=docProps/custom.xml><?xml version="1.0" encoding="utf-8"?>
<Properties xmlns="http://schemas.openxmlformats.org/officeDocument/2006/custom-properties" xmlns:vt="http://schemas.openxmlformats.org/officeDocument/2006/docPropsVTypes"/>
</file>