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DMSOforPCA217</w:t>
      </w:r>
    </w:p>
    <w:p>
      <w:pPr>
        <w:pStyle w:val="FirstParagraph"/>
      </w:pPr>
      <w:r>
        <w:t xml:space="preserve">This dataset contains 234 individuals and 22 variables, 9 quantitative variables are considered as illustrative, 4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52.14%</w:t>
      </w:r>
      <w:r>
        <w:t xml:space="preserve"> </w:t>
      </w:r>
      <w:r>
        <w:t xml:space="preserve">of the total dataset inertia ; that means that 52.14% of the individuals (or variables) cloud total variability is explained by the plane.</w:t>
      </w:r>
      <w:r>
        <w:t xml:space="preserve"> </w:t>
      </w:r>
      <w:r>
        <w:t xml:space="preserve">This percentage is relatively high and thus the first plane well represents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29.35%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11902 data tables of equivalent size on the basis of a normal distribution).</w:t>
      </w:r>
    </w:p>
    <w:p>
      <w:pPr>
        <w:pStyle w:val="BodyText"/>
      </w:pPr>
      <w:r>
        <w:t xml:space="preserve">From these observations, it should be better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2-17_files/figure-docx/unnamed-chunk-1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3 axis.</w:t>
      </w:r>
      <w:r>
        <w:t xml:space="preserve"> </w:t>
      </w:r>
      <w:r>
        <w:t xml:space="preserve">These axis present an amount of inertia greater than those obtained by the 0.95-quantile of random distributions (67.03% against 42%).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2-17_files/figure-docx/unnamed-chunk-1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Metadata_Ratio      Metadata_ECMs            Abb_ECM </w:t>
      </w:r>
      <w:r>
        <w:br/>
      </w:r>
      <w:r>
        <w:rPr>
          <w:rStyle w:val="VerbatimChar"/>
        </w:rPr>
        <w:t xml:space="preserve">##       2.649745e-37       1.714267e-01       4.748250e-01       4.748250e-01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2-17_files/figure-docx/unnamed-chunk-1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SourceCode"/>
      </w:pPr>
      <w:r>
        <w:rPr>
          <w:rStyle w:val="VerbatimChar"/>
        </w:rPr>
        <w:t xml:space="preserve">## Warning: ggrepel: 6 unlabeled data points (too many overlaps). Consider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2-17_files/figure-docx/unnamed-chunk-1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variables in black are considered as active whereas those in blue are illustrative.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2-17_files/figure-docx/unnamed-chunk-1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51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Fibronectin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51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Decorin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Note that the variables</w:t>
      </w:r>
      <w:r>
        <w:t xml:space="preserve"> </w:t>
      </w:r>
      <w:r>
        <w:rPr>
          <w:i/>
          <w:iCs/>
        </w:rPr>
        <w:t xml:space="preserve">Galectin 3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G3</w:t>
      </w:r>
      <w:r>
        <w:t xml:space="preserve"> </w:t>
      </w:r>
      <w:r>
        <w:t xml:space="preserve">are highly correlated with this dimension (respective correlation of 0.91, 0.91). These variables could therefore summarize themselve the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51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characterized by a strongly negative coordinate on the axis (to the bottom of the graph).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51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Decorin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negative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Fibronectin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2-17_files/figure-docx/unnamed-chunk-2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Proliferation_10.uM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7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51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95</w:t>
      </w:r>
      <w:r>
        <w:t xml:space="preserve">. This group is characterized by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Osteopontin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Decorin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DMSOforPCA217</dc:creator>
  <cp:keywords/>
  <dcterms:created xsi:type="dcterms:W3CDTF">2025-02-18T03:52:07Z</dcterms:created>
  <dcterms:modified xsi:type="dcterms:W3CDTF">2025-02-18T03:52:07Z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