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res.PCA</w:t>
      </w:r>
    </w:p>
    <w:p>
      <w:pPr>
        <w:pStyle w:val="FirstParagraph"/>
      </w:pP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2025-02-18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1.1 - Hierarchical tree.</w:t>
      </w:r>
    </w:p>
    <w:p>
      <w:pPr>
        <w:pStyle w:val="BodyText"/>
      </w:pPr>
      <w:r>
        <w:t xml:space="preserve">The classification made on individuals reveals 4 clusters.</w:t>
      </w:r>
    </w:p>
    <w:p>
      <w:pPr>
        <w:pStyle w:val="BodyText"/>
      </w:pPr>
      <w:r>
        <w:drawing>
          <wp:inline>
            <wp:extent cx="5082138" cy="508213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2025-02-18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1.2 - Ascending Hierarchical Classification of the individuals.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. This group is characterized by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4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34</w:t>
      </w:r>
      <w:r>
        <w:t xml:space="preserve">. This group is characterized by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2025-02-18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1.3 - Hierarchical tree on the factorial map.</w:t>
      </w:r>
    </w:p>
    <w:p>
      <w:pPr>
        <w:pStyle w:val="BodyText"/>
      </w:pPr>
      <w:r>
        <w:t xml:space="preserve">The hierarchical tree can be drawn on the factorial map with the individuals colored according to their clusters.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Dataset res.PCA</dc:creator>
  <cp:keywords/>
  <dcterms:created xsi:type="dcterms:W3CDTF">2025-02-18T20:14:40Z</dcterms:created>
  <dcterms:modified xsi:type="dcterms:W3CDTF">2025-02-18T20:14:40Z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