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DMSOforPCA217</w:t>
      </w:r>
    </w:p>
    <w:p>
      <w:pPr>
        <w:pStyle w:val="FirstParagraph"/>
      </w:pPr>
      <w:r>
        <w:t xml:space="preserve">This dataset contains 234 individuals and 21 variables, 12 quantitative variables are considered as illustrative, 3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69.24%</w:t>
      </w:r>
      <w:r>
        <w:t xml:space="preserve"> </w:t>
      </w:r>
      <w:r>
        <w:t xml:space="preserve">of the total dataset inertia ; that means that 69.24% of the individuals (or variables) cloud total variability is explained by the plane.</w:t>
      </w:r>
      <w:r>
        <w:t xml:space="preserve"> </w:t>
      </w:r>
      <w:r>
        <w:t xml:space="preserve">This percentage is relatively high and thus the first plane well represents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40.76%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10867 data tables of equivalent size on the basis of a normal distribution).</w:t>
      </w:r>
    </w:p>
    <w:p>
      <w:pPr>
        <w:pStyle w:val="BodyText"/>
      </w:pPr>
      <w:r>
        <w:t xml:space="preserve">From these observations, it should be better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2-18_PCA_files/figure-docx/unnamed-chunk-1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(69.24% against 40.76%).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2-18_PCA_files/figure-docx/unnamed-chunk-1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Metadata_Ratio            Abb_ECM </w:t>
      </w:r>
      <w:r>
        <w:br/>
      </w:r>
      <w:r>
        <w:rPr>
          <w:rStyle w:val="VerbatimChar"/>
        </w:rPr>
        <w:t xml:space="preserve">##       5.657889e-45       2.636299e-01       5.516341e-01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2-18_PCA_files/figure-docx/unnamed-chunk-1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2-18_PCA_files/figure-docx/unnamed-chunk-2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variables in black are considered as active whereas those in blue are illustrative.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2-18_PCA_files/figure-docx/unnamed-chunk-2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Note that the variable</w:t>
      </w:r>
      <w:r>
        <w:t xml:space="preserve"> </w:t>
      </w:r>
      <w:r>
        <w:rPr>
          <w:i/>
          <w:iCs/>
        </w:rPr>
        <w:t xml:space="preserve">G3</w:t>
      </w:r>
      <w:r>
        <w:t xml:space="preserve"> </w:t>
      </w:r>
      <w:r>
        <w:t xml:space="preserve">is highly correlated with this dimension (correlation of 0.96). This variable could therefore summarize itself the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characterized by a strongly positive coordinate on the axis (to the top of the graph)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2-18_PCA_files/figure-docx/unnamed-chunk-2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7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95</w:t>
      </w:r>
      <w:r>
        <w:t xml:space="preserve">. This group is characterized by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Decorin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DMSOforPCA217</dc:creator>
  <cp:keywords/>
  <dcterms:created xsi:type="dcterms:W3CDTF">2025-02-18T20:35:08Z</dcterms:created>
  <dcterms:modified xsi:type="dcterms:W3CDTF">2025-02-18T20:35:08Z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