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21 variables, 12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63.83%</w:t>
      </w:r>
      <w:r>
        <w:t xml:space="preserve"> </w:t>
      </w:r>
      <w:r>
        <w:t xml:space="preserve">of the total dataset inertia ; that means that 63.83%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40.81%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11133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(63.83% against 40.81%).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    Metadata_Ratio </w:t>
      </w:r>
      <w:r>
        <w:br/>
      </w:r>
      <w:r>
        <w:rPr>
          <w:rStyle w:val="VerbatimChar"/>
        </w:rPr>
        <w:t xml:space="preserve">##       7.777021e-34       2.122906e-03       2.099355e-01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5-12_PCA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9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9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2025-05-13T02:07:47Z</dcterms:created>
  <dcterms:modified xsi:type="dcterms:W3CDTF">2025-05-13T02:07:47Z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