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</w:t>
      </w:r>
    </w:p>
    <w:p>
      <w:pPr>
        <w:pStyle w:val="FirstParagraph"/>
      </w:pPr>
      <w:r>
        <w:t xml:space="preserve">This dataset contains 234 individuals and 9 variables,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65.55%</w:t>
      </w:r>
      <w:r>
        <w:t xml:space="preserve"> </w:t>
      </w:r>
      <w:r>
        <w:t xml:space="preserve">of the total dataset inertia ; that means that 65.55%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40.89%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4901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(65.55% against 40.89%).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Metadata_Ratio            Abb_ECM </w:t>
      </w:r>
      <w:r>
        <w:br/>
      </w:r>
      <w:r>
        <w:rPr>
          <w:rStyle w:val="VerbatimChar"/>
        </w:rPr>
        <w:t xml:space="preserve">##       8.593980e-32       9.858737e-02       4.107607e-01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characterized by a strongly negative coordinate on the axis (to the left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0.95).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1-10_files/figure-docx/unnamed-chunk-3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,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Adhesion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</dc:creator>
  <cp:keywords/>
  <dcterms:created xsi:type="dcterms:W3CDTF">2025-01-10T22:11:01Z</dcterms:created>
  <dcterms:modified xsi:type="dcterms:W3CDTF">2025-01-10T22:11:01Z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