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23004" w14:textId="42C43839" w:rsidR="0022055A" w:rsidRPr="00E7045D" w:rsidRDefault="0022055A" w:rsidP="00FB372A">
      <w:pPr>
        <w:spacing w:after="0" w:line="240" w:lineRule="auto"/>
        <w:jc w:val="center"/>
        <w:rPr>
          <w:rFonts w:cs="Times New Roman"/>
          <w:b/>
          <w:sz w:val="28"/>
          <w:szCs w:val="28"/>
        </w:rPr>
      </w:pPr>
      <w:r w:rsidRPr="00E7045D">
        <w:rPr>
          <w:rFonts w:cs="Times New Roman"/>
          <w:b/>
          <w:sz w:val="28"/>
          <w:szCs w:val="28"/>
        </w:rPr>
        <w:t>Review of Method Performance and Uncertainty for 20</w:t>
      </w:r>
      <w:r w:rsidR="00D550FB">
        <w:rPr>
          <w:rFonts w:cs="Times New Roman"/>
          <w:b/>
          <w:sz w:val="28"/>
          <w:szCs w:val="28"/>
        </w:rPr>
        <w:t>2</w:t>
      </w:r>
      <w:r w:rsidR="00D91ED7">
        <w:rPr>
          <w:rFonts w:cs="Times New Roman"/>
          <w:b/>
          <w:sz w:val="28"/>
          <w:szCs w:val="28"/>
        </w:rPr>
        <w:t>1</w:t>
      </w:r>
    </w:p>
    <w:p w14:paraId="4A423005" w14:textId="602B711C" w:rsidR="00F94722" w:rsidRPr="00E7045D" w:rsidRDefault="00F94722" w:rsidP="00FB372A">
      <w:pPr>
        <w:spacing w:after="0" w:line="240" w:lineRule="auto"/>
        <w:jc w:val="center"/>
        <w:rPr>
          <w:rFonts w:cs="Times New Roman"/>
          <w:b/>
          <w:sz w:val="28"/>
          <w:szCs w:val="28"/>
        </w:rPr>
      </w:pPr>
      <w:r w:rsidRPr="00E7045D">
        <w:rPr>
          <w:rFonts w:cs="Times New Roman"/>
          <w:b/>
          <w:sz w:val="28"/>
          <w:szCs w:val="28"/>
        </w:rPr>
        <w:t xml:space="preserve">Actual and Apparent </w:t>
      </w:r>
      <w:r w:rsidR="00B32846" w:rsidRPr="00E7045D">
        <w:rPr>
          <w:rFonts w:cs="Times New Roman"/>
          <w:b/>
          <w:sz w:val="28"/>
          <w:szCs w:val="28"/>
        </w:rPr>
        <w:t xml:space="preserve">Alcohol </w:t>
      </w:r>
      <w:r w:rsidRPr="00E7045D">
        <w:rPr>
          <w:rFonts w:cs="Times New Roman"/>
          <w:b/>
          <w:sz w:val="28"/>
          <w:szCs w:val="28"/>
        </w:rPr>
        <w:t>Strength</w:t>
      </w:r>
      <w:r w:rsidR="00B32846" w:rsidRPr="00E7045D">
        <w:rPr>
          <w:rFonts w:cs="Times New Roman"/>
          <w:b/>
          <w:sz w:val="28"/>
          <w:szCs w:val="28"/>
        </w:rPr>
        <w:t xml:space="preserve"> (OP221 &amp; OP222)</w:t>
      </w:r>
    </w:p>
    <w:p w14:paraId="4A423006" w14:textId="77777777" w:rsidR="0022055A" w:rsidRPr="00E7045D" w:rsidRDefault="0022055A" w:rsidP="002F2599">
      <w:pPr>
        <w:spacing w:after="0" w:line="240" w:lineRule="auto"/>
        <w:jc w:val="both"/>
        <w:rPr>
          <w:rFonts w:cs="Times New Roman"/>
          <w:b/>
        </w:rPr>
      </w:pPr>
    </w:p>
    <w:p w14:paraId="4A423007" w14:textId="2776DFF6" w:rsidR="0022055A" w:rsidRPr="00E7045D" w:rsidRDefault="0022055A" w:rsidP="002F2599">
      <w:pPr>
        <w:pStyle w:val="ListParagraph"/>
        <w:numPr>
          <w:ilvl w:val="0"/>
          <w:numId w:val="1"/>
        </w:numPr>
        <w:spacing w:after="0" w:line="240" w:lineRule="auto"/>
        <w:ind w:left="426" w:hanging="426"/>
        <w:jc w:val="both"/>
        <w:rPr>
          <w:rFonts w:cs="Times New Roman"/>
          <w:b/>
        </w:rPr>
      </w:pPr>
      <w:r w:rsidRPr="00E7045D">
        <w:rPr>
          <w:rFonts w:cs="Times New Roman"/>
          <w:b/>
        </w:rPr>
        <w:t>Determination of Apparent Alcohol Strength (OP221)</w:t>
      </w:r>
    </w:p>
    <w:p w14:paraId="4A423008" w14:textId="77777777" w:rsidR="0022055A" w:rsidRPr="00E7045D" w:rsidRDefault="0022055A" w:rsidP="002F2599">
      <w:pPr>
        <w:spacing w:after="0" w:line="240" w:lineRule="auto"/>
        <w:jc w:val="both"/>
        <w:rPr>
          <w:rFonts w:cs="Times New Roman"/>
        </w:rPr>
      </w:pPr>
    </w:p>
    <w:p w14:paraId="4A423009" w14:textId="3CB4C4B3" w:rsidR="0022055A" w:rsidRPr="00E7045D" w:rsidRDefault="0022055A" w:rsidP="002F2599">
      <w:pPr>
        <w:spacing w:after="0" w:line="240" w:lineRule="auto"/>
        <w:jc w:val="both"/>
        <w:rPr>
          <w:rFonts w:cs="Times New Roman"/>
        </w:rPr>
      </w:pPr>
      <w:r w:rsidRPr="00E7045D">
        <w:rPr>
          <w:rFonts w:cs="Times New Roman"/>
        </w:rPr>
        <w:t xml:space="preserve">A total of </w:t>
      </w:r>
      <w:r w:rsidR="00D51F54">
        <w:rPr>
          <w:rFonts w:cs="Times New Roman"/>
        </w:rPr>
        <w:t>4</w:t>
      </w:r>
      <w:r w:rsidRPr="00E7045D">
        <w:rPr>
          <w:rFonts w:cs="Times New Roman"/>
        </w:rPr>
        <w:t xml:space="preserve"> QC sample</w:t>
      </w:r>
      <w:r w:rsidR="006E63F1">
        <w:rPr>
          <w:rFonts w:cs="Times New Roman"/>
        </w:rPr>
        <w:t>s</w:t>
      </w:r>
      <w:r w:rsidR="00D51F54">
        <w:rPr>
          <w:rFonts w:cs="Times New Roman"/>
        </w:rPr>
        <w:t xml:space="preserve"> </w:t>
      </w:r>
      <w:r w:rsidRPr="00E7045D">
        <w:rPr>
          <w:rFonts w:cs="Times New Roman"/>
        </w:rPr>
        <w:t>were used in 20</w:t>
      </w:r>
      <w:r w:rsidR="00D550FB">
        <w:rPr>
          <w:rFonts w:cs="Times New Roman"/>
        </w:rPr>
        <w:t>2</w:t>
      </w:r>
      <w:r w:rsidR="00D51F54">
        <w:rPr>
          <w:rFonts w:cs="Times New Roman"/>
        </w:rPr>
        <w:t>1</w:t>
      </w:r>
      <w:r w:rsidRPr="00E7045D">
        <w:rPr>
          <w:rFonts w:cs="Times New Roman"/>
        </w:rPr>
        <w:t xml:space="preserve"> and performance data </w:t>
      </w:r>
      <w:r w:rsidR="0045600F">
        <w:rPr>
          <w:rFonts w:cs="Times New Roman"/>
        </w:rPr>
        <w:t>is</w:t>
      </w:r>
      <w:r w:rsidRPr="00E7045D">
        <w:rPr>
          <w:rFonts w:cs="Times New Roman"/>
        </w:rPr>
        <w:t xml:space="preserve"> summarised in Table 1</w:t>
      </w:r>
      <w:r w:rsidR="00A86D66" w:rsidRPr="00E7045D">
        <w:rPr>
          <w:rFonts w:cs="Times New Roman"/>
        </w:rPr>
        <w:t>.</w:t>
      </w:r>
      <w:r w:rsidR="00346055" w:rsidRPr="00E7045D">
        <w:rPr>
          <w:rFonts w:cs="Times New Roman"/>
        </w:rPr>
        <w:t xml:space="preserve">  The data from each QC is compared against the uncertainty document from 2007</w:t>
      </w:r>
      <w:r w:rsidR="003D0D01">
        <w:rPr>
          <w:rStyle w:val="FootnoteReference"/>
          <w:rFonts w:cs="Times New Roman"/>
        </w:rPr>
        <w:footnoteReference w:id="2"/>
      </w:r>
      <w:r w:rsidR="006A1946">
        <w:rPr>
          <w:rFonts w:cs="Times New Roman"/>
          <w:vertAlign w:val="superscript"/>
        </w:rPr>
        <w:t>&amp;</w:t>
      </w:r>
      <w:r w:rsidR="006A1946">
        <w:rPr>
          <w:rStyle w:val="FootnoteReference"/>
          <w:rFonts w:cs="Times New Roman"/>
        </w:rPr>
        <w:footnoteReference w:id="3"/>
      </w:r>
      <w:r w:rsidR="00346055" w:rsidRPr="00E7045D">
        <w:rPr>
          <w:rFonts w:cs="Times New Roman"/>
        </w:rPr>
        <w:t>.</w:t>
      </w:r>
      <w:r w:rsidR="00A86D66" w:rsidRPr="00E7045D">
        <w:rPr>
          <w:rFonts w:cs="Times New Roman"/>
        </w:rPr>
        <w:t xml:space="preserve">  </w:t>
      </w:r>
    </w:p>
    <w:p w14:paraId="67B98443" w14:textId="4A08C796" w:rsidR="006B250E" w:rsidRDefault="006B250E" w:rsidP="002F2599">
      <w:pPr>
        <w:spacing w:after="0" w:line="240" w:lineRule="auto"/>
        <w:jc w:val="both"/>
        <w:rPr>
          <w:rFonts w:cs="Times New Roman"/>
        </w:rPr>
      </w:pPr>
    </w:p>
    <w:p w14:paraId="3C7CC95D" w14:textId="4DDB70FE" w:rsidR="00EE7C08" w:rsidRDefault="00EE7C08" w:rsidP="009F5F11">
      <w:pPr>
        <w:jc w:val="both"/>
        <w:rPr>
          <w:rFonts w:cs="Times New Roman"/>
        </w:rPr>
      </w:pPr>
      <w:r w:rsidRPr="00EE7C08">
        <w:rPr>
          <w:rFonts w:cs="Times New Roman"/>
          <w:b/>
          <w:bCs/>
        </w:rPr>
        <w:t>Table 1:</w:t>
      </w:r>
      <w:r>
        <w:rPr>
          <w:rFonts w:cs="Times New Roman"/>
        </w:rPr>
        <w:t xml:space="preserve"> </w:t>
      </w:r>
      <w:r w:rsidR="009F5F11">
        <w:rPr>
          <w:rFonts w:cs="Times New Roman"/>
        </w:rPr>
        <w:tab/>
      </w:r>
      <w:r w:rsidRPr="00E7045D">
        <w:rPr>
          <w:rFonts w:cs="Times New Roman"/>
        </w:rPr>
        <w:t xml:space="preserve">Summary statistics for </w:t>
      </w:r>
      <w:r>
        <w:rPr>
          <w:rFonts w:cs="Times New Roman"/>
        </w:rPr>
        <w:t>apparent</w:t>
      </w:r>
      <w:r w:rsidRPr="00E7045D">
        <w:rPr>
          <w:rFonts w:cs="Times New Roman"/>
        </w:rPr>
        <w:t xml:space="preserve"> strength quality control samples</w:t>
      </w:r>
      <w:r w:rsidR="00CA19B1">
        <w:rPr>
          <w:rFonts w:cs="Times New Roman"/>
        </w:rPr>
        <w:t xml:space="preserve"> in 2021</w:t>
      </w:r>
    </w:p>
    <w:tbl>
      <w:tblPr>
        <w:tblStyle w:val="TableGrid"/>
        <w:tblW w:w="8831" w:type="dxa"/>
        <w:jc w:val="center"/>
        <w:tblLook w:val="04A0" w:firstRow="1" w:lastRow="0" w:firstColumn="1" w:lastColumn="0" w:noHBand="0" w:noVBand="1"/>
      </w:tblPr>
      <w:tblGrid>
        <w:gridCol w:w="2852"/>
        <w:gridCol w:w="1509"/>
        <w:gridCol w:w="1490"/>
        <w:gridCol w:w="1490"/>
        <w:gridCol w:w="1490"/>
      </w:tblGrid>
      <w:tr w:rsidR="00EE7C08" w:rsidRPr="00E7045D" w14:paraId="213E9978" w14:textId="03A372F6" w:rsidTr="00EE7C08">
        <w:trPr>
          <w:jc w:val="center"/>
        </w:trPr>
        <w:tc>
          <w:tcPr>
            <w:tcW w:w="2852" w:type="dxa"/>
            <w:tcBorders>
              <w:top w:val="single" w:sz="4" w:space="0" w:color="auto"/>
              <w:left w:val="single" w:sz="4" w:space="0" w:color="auto"/>
              <w:bottom w:val="single" w:sz="4" w:space="0" w:color="auto"/>
              <w:right w:val="single" w:sz="4" w:space="0" w:color="auto"/>
            </w:tcBorders>
          </w:tcPr>
          <w:p w14:paraId="5B3CE72D" w14:textId="5F09576B" w:rsidR="00EE7C08" w:rsidRPr="00FE5081" w:rsidRDefault="00EE7C08" w:rsidP="00EE7C08">
            <w:pPr>
              <w:jc w:val="center"/>
              <w:rPr>
                <w:rFonts w:cs="Times New Roman"/>
                <w:b/>
                <w:bCs/>
              </w:rPr>
            </w:pPr>
            <w:r w:rsidRPr="27FF0EBE">
              <w:rPr>
                <w:rFonts w:cs="Times New Roman"/>
                <w:b/>
                <w:bCs/>
              </w:rPr>
              <w:t>QC Name</w:t>
            </w:r>
          </w:p>
        </w:tc>
        <w:tc>
          <w:tcPr>
            <w:tcW w:w="1509" w:type="dxa"/>
            <w:tcBorders>
              <w:top w:val="single" w:sz="4" w:space="0" w:color="auto"/>
              <w:left w:val="single" w:sz="4" w:space="0" w:color="auto"/>
              <w:bottom w:val="single" w:sz="4" w:space="0" w:color="auto"/>
              <w:right w:val="single" w:sz="4" w:space="0" w:color="auto"/>
            </w:tcBorders>
          </w:tcPr>
          <w:p w14:paraId="4A7D9804" w14:textId="5A4DA558" w:rsidR="00EE7C08" w:rsidRPr="00FE5081" w:rsidRDefault="00EE7C08" w:rsidP="00EE7C08">
            <w:pPr>
              <w:jc w:val="center"/>
              <w:rPr>
                <w:rFonts w:cs="Times New Roman"/>
                <w:b/>
                <w:color w:val="000000"/>
              </w:rPr>
            </w:pPr>
            <w:r w:rsidRPr="00FE5081">
              <w:rPr>
                <w:rFonts w:cs="Times New Roman"/>
                <w:b/>
                <w:color w:val="000000"/>
              </w:rPr>
              <w:t>AppS0</w:t>
            </w:r>
            <w:r>
              <w:rPr>
                <w:rFonts w:cs="Times New Roman"/>
                <w:b/>
                <w:color w:val="000000"/>
              </w:rPr>
              <w:t>48</w:t>
            </w:r>
          </w:p>
        </w:tc>
        <w:tc>
          <w:tcPr>
            <w:tcW w:w="1490" w:type="dxa"/>
            <w:tcBorders>
              <w:top w:val="single" w:sz="4" w:space="0" w:color="auto"/>
              <w:left w:val="single" w:sz="4" w:space="0" w:color="auto"/>
              <w:bottom w:val="single" w:sz="4" w:space="0" w:color="auto"/>
              <w:right w:val="single" w:sz="4" w:space="0" w:color="auto"/>
            </w:tcBorders>
            <w:vAlign w:val="center"/>
          </w:tcPr>
          <w:p w14:paraId="4F3DB628" w14:textId="1EB58C9A" w:rsidR="00EE7C08" w:rsidRPr="00FE5081" w:rsidRDefault="00EE7C08" w:rsidP="00EE7C08">
            <w:pPr>
              <w:jc w:val="center"/>
              <w:rPr>
                <w:rFonts w:cs="Times New Roman"/>
                <w:b/>
                <w:color w:val="FF0000"/>
              </w:rPr>
            </w:pPr>
            <w:r w:rsidRPr="00FE5081">
              <w:rPr>
                <w:rFonts w:cs="Times New Roman"/>
                <w:b/>
                <w:color w:val="000000"/>
              </w:rPr>
              <w:t>AppS04</w:t>
            </w:r>
            <w:r>
              <w:rPr>
                <w:rFonts w:cs="Times New Roman"/>
                <w:b/>
                <w:color w:val="000000"/>
              </w:rPr>
              <w:t>9</w:t>
            </w:r>
          </w:p>
        </w:tc>
        <w:tc>
          <w:tcPr>
            <w:tcW w:w="1490" w:type="dxa"/>
            <w:tcBorders>
              <w:top w:val="single" w:sz="4" w:space="0" w:color="auto"/>
              <w:left w:val="single" w:sz="4" w:space="0" w:color="auto"/>
              <w:bottom w:val="single" w:sz="4" w:space="0" w:color="auto"/>
              <w:right w:val="single" w:sz="4" w:space="0" w:color="auto"/>
            </w:tcBorders>
          </w:tcPr>
          <w:p w14:paraId="5910AC85" w14:textId="085C809B" w:rsidR="00EE7C08" w:rsidRPr="00FE5081" w:rsidRDefault="00EE7C08" w:rsidP="00EE7C08">
            <w:pPr>
              <w:jc w:val="center"/>
              <w:rPr>
                <w:rFonts w:cs="Times New Roman"/>
                <w:b/>
                <w:color w:val="000000"/>
              </w:rPr>
            </w:pPr>
            <w:r>
              <w:rPr>
                <w:rFonts w:cs="Times New Roman"/>
                <w:b/>
                <w:color w:val="000000"/>
              </w:rPr>
              <w:t>AppS050</w:t>
            </w:r>
          </w:p>
        </w:tc>
        <w:tc>
          <w:tcPr>
            <w:tcW w:w="1490" w:type="dxa"/>
            <w:tcBorders>
              <w:top w:val="single" w:sz="4" w:space="0" w:color="auto"/>
              <w:left w:val="single" w:sz="4" w:space="0" w:color="auto"/>
              <w:bottom w:val="single" w:sz="4" w:space="0" w:color="auto"/>
              <w:right w:val="single" w:sz="4" w:space="0" w:color="auto"/>
            </w:tcBorders>
          </w:tcPr>
          <w:p w14:paraId="307E01D0" w14:textId="0D12603E" w:rsidR="00EE7C08" w:rsidRPr="00FE5081" w:rsidRDefault="00EE7C08" w:rsidP="00EE7C08">
            <w:pPr>
              <w:jc w:val="center"/>
              <w:rPr>
                <w:rFonts w:cs="Times New Roman"/>
                <w:b/>
                <w:color w:val="000000"/>
              </w:rPr>
            </w:pPr>
            <w:r>
              <w:rPr>
                <w:rFonts w:cs="Times New Roman"/>
                <w:b/>
                <w:color w:val="000000"/>
              </w:rPr>
              <w:t>AppS051</w:t>
            </w:r>
          </w:p>
        </w:tc>
      </w:tr>
      <w:tr w:rsidR="00EE7C08" w:rsidRPr="00E7045D" w14:paraId="457CEB32" w14:textId="6D18561C" w:rsidTr="00EE7C08">
        <w:trPr>
          <w:jc w:val="center"/>
        </w:trPr>
        <w:tc>
          <w:tcPr>
            <w:tcW w:w="2852" w:type="dxa"/>
            <w:tcBorders>
              <w:top w:val="single" w:sz="4" w:space="0" w:color="auto"/>
              <w:left w:val="single" w:sz="4" w:space="0" w:color="auto"/>
              <w:bottom w:val="single" w:sz="4" w:space="0" w:color="auto"/>
              <w:right w:val="single" w:sz="4" w:space="0" w:color="auto"/>
            </w:tcBorders>
          </w:tcPr>
          <w:p w14:paraId="7992506E" w14:textId="374BE7FF" w:rsidR="00EE7C08" w:rsidRPr="00287975" w:rsidRDefault="00EE7C08" w:rsidP="00EE7C08">
            <w:pPr>
              <w:jc w:val="center"/>
              <w:rPr>
                <w:rFonts w:cs="Times New Roman"/>
                <w:b/>
                <w:bCs/>
              </w:rPr>
            </w:pPr>
            <w:r w:rsidRPr="137086F5">
              <w:rPr>
                <w:rFonts w:cs="Times New Roman"/>
                <w:b/>
                <w:bCs/>
              </w:rPr>
              <w:t>Dates this QC was in use</w:t>
            </w:r>
          </w:p>
        </w:tc>
        <w:tc>
          <w:tcPr>
            <w:tcW w:w="1509" w:type="dxa"/>
            <w:tcBorders>
              <w:top w:val="single" w:sz="4" w:space="0" w:color="auto"/>
              <w:left w:val="single" w:sz="4" w:space="0" w:color="auto"/>
              <w:bottom w:val="single" w:sz="4" w:space="0" w:color="auto"/>
              <w:right w:val="single" w:sz="4" w:space="0" w:color="auto"/>
            </w:tcBorders>
          </w:tcPr>
          <w:p w14:paraId="7D2482DE" w14:textId="5D742CC2" w:rsidR="00EE7C08" w:rsidRPr="00287975" w:rsidRDefault="00EE7C08" w:rsidP="00EE7C08">
            <w:pPr>
              <w:jc w:val="center"/>
              <w:rPr>
                <w:rFonts w:cs="Times New Roman"/>
              </w:rPr>
            </w:pPr>
            <w:commentRangeStart w:id="0"/>
            <w:commentRangeStart w:id="1"/>
            <w:r>
              <w:rPr>
                <w:rFonts w:cs="Times New Roman"/>
              </w:rPr>
              <w:t>03/02</w:t>
            </w:r>
            <w:r w:rsidRPr="00287975">
              <w:rPr>
                <w:rFonts w:cs="Times New Roman"/>
              </w:rPr>
              <w:t>/20</w:t>
            </w:r>
            <w:r>
              <w:rPr>
                <w:rFonts w:cs="Times New Roman"/>
              </w:rPr>
              <w:t>20</w:t>
            </w:r>
            <w:r w:rsidRPr="00287975">
              <w:rPr>
                <w:rFonts w:cs="Times New Roman"/>
              </w:rPr>
              <w:t xml:space="preserve"> </w:t>
            </w:r>
            <w:commentRangeEnd w:id="0"/>
            <w:r w:rsidR="00184E07">
              <w:rPr>
                <w:rStyle w:val="CommentReference"/>
              </w:rPr>
              <w:commentReference w:id="0"/>
            </w:r>
            <w:commentRangeEnd w:id="1"/>
            <w:r w:rsidR="00501885">
              <w:rPr>
                <w:rStyle w:val="CommentReference"/>
              </w:rPr>
              <w:commentReference w:id="1"/>
            </w:r>
            <w:r w:rsidRPr="00287975">
              <w:rPr>
                <w:rFonts w:cs="Times New Roman"/>
              </w:rPr>
              <w:t xml:space="preserve">to </w:t>
            </w:r>
            <w:r>
              <w:rPr>
                <w:rFonts w:cs="Times New Roman"/>
              </w:rPr>
              <w:t>05</w:t>
            </w:r>
            <w:r w:rsidRPr="00287975">
              <w:rPr>
                <w:rFonts w:cs="Times New Roman"/>
              </w:rPr>
              <w:t>/0</w:t>
            </w:r>
            <w:r>
              <w:rPr>
                <w:rFonts w:cs="Times New Roman"/>
              </w:rPr>
              <w:t>5</w:t>
            </w:r>
            <w:r w:rsidRPr="00287975">
              <w:rPr>
                <w:rFonts w:cs="Times New Roman"/>
              </w:rPr>
              <w:t>/20</w:t>
            </w:r>
            <w:r>
              <w:rPr>
                <w:rFonts w:cs="Times New Roman"/>
              </w:rPr>
              <w:t>21</w:t>
            </w:r>
          </w:p>
        </w:tc>
        <w:tc>
          <w:tcPr>
            <w:tcW w:w="1490" w:type="dxa"/>
            <w:tcBorders>
              <w:top w:val="single" w:sz="4" w:space="0" w:color="auto"/>
              <w:left w:val="single" w:sz="4" w:space="0" w:color="auto"/>
              <w:bottom w:val="single" w:sz="4" w:space="0" w:color="auto"/>
              <w:right w:val="single" w:sz="4" w:space="0" w:color="auto"/>
            </w:tcBorders>
            <w:vAlign w:val="center"/>
          </w:tcPr>
          <w:p w14:paraId="7CBD890A" w14:textId="62A3B457" w:rsidR="00EE7C08" w:rsidRPr="00287975" w:rsidRDefault="00EE7C08" w:rsidP="00EE7C08">
            <w:pPr>
              <w:jc w:val="center"/>
              <w:rPr>
                <w:rFonts w:cs="Times New Roman"/>
              </w:rPr>
            </w:pPr>
            <w:r>
              <w:rPr>
                <w:rFonts w:cs="Times New Roman"/>
              </w:rPr>
              <w:t>19</w:t>
            </w:r>
            <w:r w:rsidRPr="00287975">
              <w:rPr>
                <w:rFonts w:cs="Times New Roman"/>
              </w:rPr>
              <w:t>/0</w:t>
            </w:r>
            <w:r>
              <w:rPr>
                <w:rFonts w:cs="Times New Roman"/>
              </w:rPr>
              <w:t>3</w:t>
            </w:r>
            <w:r w:rsidRPr="00287975">
              <w:rPr>
                <w:rFonts w:cs="Times New Roman"/>
              </w:rPr>
              <w:t>/20</w:t>
            </w:r>
            <w:r>
              <w:rPr>
                <w:rFonts w:cs="Times New Roman"/>
              </w:rPr>
              <w:t>21</w:t>
            </w:r>
            <w:r w:rsidRPr="00287975">
              <w:rPr>
                <w:rFonts w:cs="Times New Roman"/>
              </w:rPr>
              <w:t xml:space="preserve"> to </w:t>
            </w:r>
            <w:r>
              <w:rPr>
                <w:rFonts w:cs="Times New Roman"/>
              </w:rPr>
              <w:t>20</w:t>
            </w:r>
            <w:r w:rsidRPr="00287975">
              <w:rPr>
                <w:rFonts w:cs="Times New Roman"/>
              </w:rPr>
              <w:t>/0</w:t>
            </w:r>
            <w:r>
              <w:rPr>
                <w:rFonts w:cs="Times New Roman"/>
              </w:rPr>
              <w:t>7</w:t>
            </w:r>
            <w:r w:rsidRPr="00287975">
              <w:rPr>
                <w:rFonts w:cs="Times New Roman"/>
              </w:rPr>
              <w:t>/20</w:t>
            </w:r>
            <w:r>
              <w:rPr>
                <w:rFonts w:cs="Times New Roman"/>
              </w:rPr>
              <w:t>21</w:t>
            </w:r>
          </w:p>
        </w:tc>
        <w:tc>
          <w:tcPr>
            <w:tcW w:w="1490" w:type="dxa"/>
            <w:tcBorders>
              <w:top w:val="single" w:sz="4" w:space="0" w:color="auto"/>
              <w:left w:val="single" w:sz="4" w:space="0" w:color="auto"/>
              <w:bottom w:val="single" w:sz="4" w:space="0" w:color="auto"/>
              <w:right w:val="single" w:sz="4" w:space="0" w:color="auto"/>
            </w:tcBorders>
          </w:tcPr>
          <w:p w14:paraId="68679A0A" w14:textId="112F097B" w:rsidR="00EE7C08" w:rsidRDefault="00EE7C08" w:rsidP="00EE7C08">
            <w:pPr>
              <w:jc w:val="center"/>
              <w:rPr>
                <w:rFonts w:cs="Times New Roman"/>
              </w:rPr>
            </w:pPr>
            <w:r>
              <w:rPr>
                <w:rFonts w:cs="Times New Roman"/>
              </w:rPr>
              <w:t>06/07/2021 to 13/01/2022</w:t>
            </w:r>
          </w:p>
        </w:tc>
        <w:tc>
          <w:tcPr>
            <w:tcW w:w="1490" w:type="dxa"/>
            <w:tcBorders>
              <w:top w:val="single" w:sz="4" w:space="0" w:color="auto"/>
              <w:left w:val="single" w:sz="4" w:space="0" w:color="auto"/>
              <w:bottom w:val="single" w:sz="4" w:space="0" w:color="auto"/>
              <w:right w:val="single" w:sz="4" w:space="0" w:color="auto"/>
            </w:tcBorders>
          </w:tcPr>
          <w:p w14:paraId="59AC704C" w14:textId="169A972B" w:rsidR="00EE7C08" w:rsidRDefault="00EE7C08" w:rsidP="00EE7C08">
            <w:pPr>
              <w:jc w:val="center"/>
              <w:rPr>
                <w:rFonts w:cs="Times New Roman"/>
              </w:rPr>
            </w:pPr>
            <w:r>
              <w:rPr>
                <w:rFonts w:cs="Times New Roman"/>
              </w:rPr>
              <w:t>12/11/2021 to 19/01/2022</w:t>
            </w:r>
          </w:p>
        </w:tc>
      </w:tr>
      <w:tr w:rsidR="00EE7C08" w:rsidRPr="00E7045D" w14:paraId="2B05E880" w14:textId="475D04D3" w:rsidTr="00EE7C08">
        <w:trPr>
          <w:jc w:val="center"/>
        </w:trPr>
        <w:tc>
          <w:tcPr>
            <w:tcW w:w="2852" w:type="dxa"/>
            <w:tcBorders>
              <w:top w:val="single" w:sz="4" w:space="0" w:color="auto"/>
              <w:left w:val="single" w:sz="4" w:space="0" w:color="auto"/>
              <w:bottom w:val="single" w:sz="4" w:space="0" w:color="auto"/>
              <w:right w:val="single" w:sz="4" w:space="0" w:color="auto"/>
            </w:tcBorders>
            <w:vAlign w:val="center"/>
          </w:tcPr>
          <w:p w14:paraId="6457B8F3" w14:textId="77777777" w:rsidR="00EE7C08" w:rsidRPr="00287975" w:rsidRDefault="00EE7C08" w:rsidP="00EE7C08">
            <w:pPr>
              <w:jc w:val="center"/>
              <w:rPr>
                <w:rFonts w:cs="Times New Roman"/>
                <w:b/>
                <w:bCs/>
              </w:rPr>
            </w:pPr>
            <w:r w:rsidRPr="137086F5">
              <w:rPr>
                <w:rFonts w:cs="Times New Roman"/>
                <w:b/>
                <w:bCs/>
              </w:rPr>
              <w:t>No. of Points</w:t>
            </w:r>
          </w:p>
        </w:tc>
        <w:tc>
          <w:tcPr>
            <w:tcW w:w="1509" w:type="dxa"/>
            <w:tcBorders>
              <w:top w:val="single" w:sz="4" w:space="0" w:color="auto"/>
              <w:left w:val="single" w:sz="4" w:space="0" w:color="auto"/>
              <w:bottom w:val="single" w:sz="4" w:space="0" w:color="auto"/>
              <w:right w:val="single" w:sz="4" w:space="0" w:color="auto"/>
            </w:tcBorders>
            <w:vAlign w:val="bottom"/>
          </w:tcPr>
          <w:p w14:paraId="145F2FAD" w14:textId="3F6D16B5" w:rsidR="00EE7C08" w:rsidRPr="00287975" w:rsidRDefault="00EE7C08" w:rsidP="00EE7C08">
            <w:pPr>
              <w:jc w:val="center"/>
              <w:rPr>
                <w:rFonts w:cs="Times New Roman"/>
              </w:rPr>
            </w:pPr>
            <w:r>
              <w:rPr>
                <w:rFonts w:cs="Times New Roman"/>
              </w:rPr>
              <w:t>86</w:t>
            </w:r>
          </w:p>
        </w:tc>
        <w:tc>
          <w:tcPr>
            <w:tcW w:w="1490" w:type="dxa"/>
            <w:tcBorders>
              <w:top w:val="single" w:sz="4" w:space="0" w:color="auto"/>
              <w:left w:val="single" w:sz="4" w:space="0" w:color="auto"/>
              <w:bottom w:val="single" w:sz="4" w:space="0" w:color="auto"/>
              <w:right w:val="single" w:sz="4" w:space="0" w:color="auto"/>
            </w:tcBorders>
            <w:vAlign w:val="bottom"/>
          </w:tcPr>
          <w:p w14:paraId="22B4BAD1" w14:textId="6835F478" w:rsidR="00EE7C08" w:rsidRPr="00287975" w:rsidRDefault="00EE7C08" w:rsidP="00EE7C08">
            <w:pPr>
              <w:jc w:val="center"/>
              <w:rPr>
                <w:rFonts w:cs="Times New Roman"/>
              </w:rPr>
            </w:pPr>
            <w:r>
              <w:rPr>
                <w:rFonts w:cs="Times New Roman"/>
              </w:rPr>
              <w:t>42</w:t>
            </w:r>
          </w:p>
        </w:tc>
        <w:tc>
          <w:tcPr>
            <w:tcW w:w="1490" w:type="dxa"/>
            <w:tcBorders>
              <w:top w:val="single" w:sz="4" w:space="0" w:color="auto"/>
              <w:left w:val="single" w:sz="4" w:space="0" w:color="auto"/>
              <w:bottom w:val="single" w:sz="4" w:space="0" w:color="auto"/>
              <w:right w:val="single" w:sz="4" w:space="0" w:color="auto"/>
            </w:tcBorders>
          </w:tcPr>
          <w:p w14:paraId="7226F27B" w14:textId="3DBD7486" w:rsidR="00EE7C08" w:rsidRPr="00287975" w:rsidRDefault="00EE7C08" w:rsidP="00EE7C08">
            <w:pPr>
              <w:jc w:val="center"/>
              <w:rPr>
                <w:rFonts w:cs="Times New Roman"/>
              </w:rPr>
            </w:pPr>
            <w:r>
              <w:rPr>
                <w:rFonts w:cs="Times New Roman"/>
              </w:rPr>
              <w:t>48</w:t>
            </w:r>
          </w:p>
        </w:tc>
        <w:tc>
          <w:tcPr>
            <w:tcW w:w="1490" w:type="dxa"/>
            <w:tcBorders>
              <w:top w:val="single" w:sz="4" w:space="0" w:color="auto"/>
              <w:left w:val="single" w:sz="4" w:space="0" w:color="auto"/>
              <w:bottom w:val="single" w:sz="4" w:space="0" w:color="auto"/>
              <w:right w:val="single" w:sz="4" w:space="0" w:color="auto"/>
            </w:tcBorders>
          </w:tcPr>
          <w:p w14:paraId="568EFE19" w14:textId="4E03F215" w:rsidR="00EE7C08" w:rsidRPr="00287975" w:rsidRDefault="00EE7C08" w:rsidP="00EE7C08">
            <w:pPr>
              <w:jc w:val="center"/>
              <w:rPr>
                <w:rFonts w:cs="Times New Roman"/>
              </w:rPr>
            </w:pPr>
            <w:r>
              <w:rPr>
                <w:rFonts w:cs="Times New Roman"/>
              </w:rPr>
              <w:t>10</w:t>
            </w:r>
          </w:p>
        </w:tc>
      </w:tr>
      <w:tr w:rsidR="00EE7C08" w:rsidRPr="00E7045D" w14:paraId="08C675A3" w14:textId="46B6F10E" w:rsidTr="00EE7C08">
        <w:trPr>
          <w:jc w:val="center"/>
        </w:trPr>
        <w:tc>
          <w:tcPr>
            <w:tcW w:w="2852" w:type="dxa"/>
            <w:tcBorders>
              <w:top w:val="single" w:sz="4" w:space="0" w:color="auto"/>
              <w:left w:val="single" w:sz="4" w:space="0" w:color="auto"/>
              <w:bottom w:val="single" w:sz="4" w:space="0" w:color="auto"/>
              <w:right w:val="single" w:sz="4" w:space="0" w:color="auto"/>
            </w:tcBorders>
            <w:vAlign w:val="center"/>
          </w:tcPr>
          <w:p w14:paraId="1CB53B5D" w14:textId="77777777" w:rsidR="00EE7C08" w:rsidRPr="00287975" w:rsidRDefault="00EE7C08" w:rsidP="00EE7C08">
            <w:pPr>
              <w:jc w:val="center"/>
              <w:rPr>
                <w:rFonts w:cs="Times New Roman"/>
                <w:b/>
                <w:bCs/>
              </w:rPr>
            </w:pPr>
            <w:r w:rsidRPr="137086F5">
              <w:rPr>
                <w:rFonts w:cs="Times New Roman"/>
                <w:b/>
                <w:bCs/>
              </w:rPr>
              <w:t>Mean</w:t>
            </w:r>
          </w:p>
        </w:tc>
        <w:tc>
          <w:tcPr>
            <w:tcW w:w="1509" w:type="dxa"/>
            <w:tcBorders>
              <w:top w:val="single" w:sz="4" w:space="0" w:color="auto"/>
              <w:left w:val="single" w:sz="4" w:space="0" w:color="auto"/>
              <w:bottom w:val="single" w:sz="4" w:space="0" w:color="auto"/>
              <w:right w:val="single" w:sz="4" w:space="0" w:color="auto"/>
            </w:tcBorders>
            <w:vAlign w:val="bottom"/>
          </w:tcPr>
          <w:p w14:paraId="6FB30F7C" w14:textId="7DCD8138" w:rsidR="00EE7C08" w:rsidRPr="00287975" w:rsidRDefault="00EE7C08" w:rsidP="00EE7C08">
            <w:pPr>
              <w:jc w:val="center"/>
              <w:rPr>
                <w:rFonts w:cs="Times New Roman"/>
              </w:rPr>
            </w:pPr>
            <w:commentRangeStart w:id="2"/>
            <w:r>
              <w:rPr>
                <w:rFonts w:cs="Times New Roman"/>
              </w:rPr>
              <w:t>42.5</w:t>
            </w:r>
            <w:r w:rsidR="001E33FC">
              <w:rPr>
                <w:rFonts w:cs="Times New Roman"/>
              </w:rPr>
              <w:t>0</w:t>
            </w:r>
            <w:commentRangeEnd w:id="2"/>
            <w:r w:rsidR="001E33FC">
              <w:rPr>
                <w:rStyle w:val="CommentReference"/>
              </w:rPr>
              <w:commentReference w:id="2"/>
            </w:r>
          </w:p>
        </w:tc>
        <w:tc>
          <w:tcPr>
            <w:tcW w:w="1490" w:type="dxa"/>
            <w:tcBorders>
              <w:top w:val="single" w:sz="4" w:space="0" w:color="auto"/>
              <w:left w:val="single" w:sz="4" w:space="0" w:color="auto"/>
              <w:bottom w:val="single" w:sz="4" w:space="0" w:color="auto"/>
              <w:right w:val="single" w:sz="4" w:space="0" w:color="auto"/>
            </w:tcBorders>
            <w:vAlign w:val="bottom"/>
          </w:tcPr>
          <w:p w14:paraId="43660ACC" w14:textId="3EAB6F43" w:rsidR="00EE7C08" w:rsidRPr="00287975" w:rsidRDefault="00EE7C08" w:rsidP="00EE7C08">
            <w:pPr>
              <w:jc w:val="center"/>
              <w:rPr>
                <w:rFonts w:cs="Times New Roman"/>
              </w:rPr>
            </w:pPr>
            <w:r>
              <w:rPr>
                <w:rFonts w:cs="Times New Roman"/>
              </w:rPr>
              <w:t>42.33</w:t>
            </w:r>
          </w:p>
        </w:tc>
        <w:tc>
          <w:tcPr>
            <w:tcW w:w="1490" w:type="dxa"/>
            <w:tcBorders>
              <w:top w:val="single" w:sz="4" w:space="0" w:color="auto"/>
              <w:left w:val="single" w:sz="4" w:space="0" w:color="auto"/>
              <w:bottom w:val="single" w:sz="4" w:space="0" w:color="auto"/>
              <w:right w:val="single" w:sz="4" w:space="0" w:color="auto"/>
            </w:tcBorders>
          </w:tcPr>
          <w:p w14:paraId="0D7CA19D" w14:textId="13111DA5" w:rsidR="00EE7C08" w:rsidRDefault="00EE7C08" w:rsidP="00EE7C08">
            <w:pPr>
              <w:jc w:val="center"/>
              <w:rPr>
                <w:rFonts w:cs="Times New Roman"/>
              </w:rPr>
            </w:pPr>
            <w:r>
              <w:rPr>
                <w:rFonts w:cs="Times New Roman"/>
              </w:rPr>
              <w:t>40.47</w:t>
            </w:r>
          </w:p>
        </w:tc>
        <w:tc>
          <w:tcPr>
            <w:tcW w:w="1490" w:type="dxa"/>
            <w:tcBorders>
              <w:top w:val="single" w:sz="4" w:space="0" w:color="auto"/>
              <w:left w:val="single" w:sz="4" w:space="0" w:color="auto"/>
              <w:bottom w:val="single" w:sz="4" w:space="0" w:color="auto"/>
              <w:right w:val="single" w:sz="4" w:space="0" w:color="auto"/>
            </w:tcBorders>
          </w:tcPr>
          <w:p w14:paraId="734A761B" w14:textId="10A66E13" w:rsidR="00EE7C08" w:rsidRDefault="00EE7C08" w:rsidP="00EE7C08">
            <w:pPr>
              <w:jc w:val="center"/>
              <w:rPr>
                <w:rFonts w:cs="Times New Roman"/>
              </w:rPr>
            </w:pPr>
            <w:r>
              <w:rPr>
                <w:rFonts w:cs="Times New Roman"/>
              </w:rPr>
              <w:t>40.55</w:t>
            </w:r>
          </w:p>
        </w:tc>
      </w:tr>
      <w:tr w:rsidR="00EE7C08" w:rsidRPr="00E7045D" w14:paraId="522469E3" w14:textId="0AA1E9B7" w:rsidTr="00EE7C08">
        <w:trPr>
          <w:jc w:val="center"/>
        </w:trPr>
        <w:tc>
          <w:tcPr>
            <w:tcW w:w="2852" w:type="dxa"/>
            <w:tcBorders>
              <w:top w:val="single" w:sz="4" w:space="0" w:color="auto"/>
              <w:left w:val="single" w:sz="4" w:space="0" w:color="auto"/>
              <w:bottom w:val="single" w:sz="4" w:space="0" w:color="auto"/>
              <w:right w:val="single" w:sz="4" w:space="0" w:color="auto"/>
            </w:tcBorders>
            <w:vAlign w:val="center"/>
          </w:tcPr>
          <w:p w14:paraId="409BB5B2" w14:textId="77777777" w:rsidR="00EE7C08" w:rsidRPr="00287975" w:rsidRDefault="00EE7C08" w:rsidP="00EE7C08">
            <w:pPr>
              <w:jc w:val="center"/>
              <w:rPr>
                <w:rFonts w:cs="Times New Roman"/>
                <w:b/>
                <w:bCs/>
              </w:rPr>
            </w:pPr>
            <w:r w:rsidRPr="137086F5">
              <w:rPr>
                <w:rFonts w:cs="Times New Roman"/>
                <w:b/>
                <w:bCs/>
              </w:rPr>
              <w:t>Standard Deviation</w:t>
            </w:r>
          </w:p>
        </w:tc>
        <w:tc>
          <w:tcPr>
            <w:tcW w:w="1509" w:type="dxa"/>
            <w:tcBorders>
              <w:top w:val="single" w:sz="4" w:space="0" w:color="auto"/>
              <w:left w:val="single" w:sz="4" w:space="0" w:color="auto"/>
              <w:bottom w:val="single" w:sz="4" w:space="0" w:color="auto"/>
              <w:right w:val="single" w:sz="4" w:space="0" w:color="auto"/>
            </w:tcBorders>
            <w:vAlign w:val="bottom"/>
          </w:tcPr>
          <w:p w14:paraId="30965272" w14:textId="008EA1F9" w:rsidR="00EE7C08" w:rsidRPr="00287975" w:rsidRDefault="00EE7C08" w:rsidP="00EE7C08">
            <w:pPr>
              <w:jc w:val="center"/>
              <w:rPr>
                <w:rFonts w:cs="Times New Roman"/>
              </w:rPr>
            </w:pPr>
            <w:r>
              <w:rPr>
                <w:rFonts w:cs="Times New Roman"/>
              </w:rPr>
              <w:t>0.0</w:t>
            </w:r>
            <w:r w:rsidR="00D91ED7">
              <w:rPr>
                <w:rFonts w:cs="Times New Roman"/>
              </w:rPr>
              <w:t>09</w:t>
            </w:r>
          </w:p>
        </w:tc>
        <w:tc>
          <w:tcPr>
            <w:tcW w:w="1490" w:type="dxa"/>
            <w:tcBorders>
              <w:top w:val="single" w:sz="4" w:space="0" w:color="auto"/>
              <w:left w:val="single" w:sz="4" w:space="0" w:color="auto"/>
              <w:bottom w:val="single" w:sz="4" w:space="0" w:color="auto"/>
              <w:right w:val="single" w:sz="4" w:space="0" w:color="auto"/>
            </w:tcBorders>
            <w:vAlign w:val="bottom"/>
          </w:tcPr>
          <w:p w14:paraId="11E59EA8" w14:textId="6C908AFD" w:rsidR="00EE7C08" w:rsidRPr="00287975" w:rsidRDefault="00EE7C08" w:rsidP="00EE7C08">
            <w:pPr>
              <w:jc w:val="center"/>
              <w:rPr>
                <w:rFonts w:cs="Times New Roman"/>
              </w:rPr>
            </w:pPr>
            <w:r w:rsidRPr="00287975">
              <w:rPr>
                <w:rFonts w:cs="Times New Roman"/>
              </w:rPr>
              <w:t>0.0</w:t>
            </w:r>
            <w:r>
              <w:rPr>
                <w:rFonts w:cs="Times New Roman"/>
              </w:rPr>
              <w:t>24</w:t>
            </w:r>
          </w:p>
        </w:tc>
        <w:tc>
          <w:tcPr>
            <w:tcW w:w="1490" w:type="dxa"/>
            <w:tcBorders>
              <w:top w:val="single" w:sz="4" w:space="0" w:color="auto"/>
              <w:left w:val="single" w:sz="4" w:space="0" w:color="auto"/>
              <w:bottom w:val="single" w:sz="4" w:space="0" w:color="auto"/>
              <w:right w:val="single" w:sz="4" w:space="0" w:color="auto"/>
            </w:tcBorders>
          </w:tcPr>
          <w:p w14:paraId="123DBB83" w14:textId="45DE4F73" w:rsidR="00EE7C08" w:rsidRPr="00287975" w:rsidRDefault="00EE7C08" w:rsidP="00EE7C08">
            <w:pPr>
              <w:jc w:val="center"/>
              <w:rPr>
                <w:rFonts w:cs="Times New Roman"/>
              </w:rPr>
            </w:pPr>
            <w:r>
              <w:rPr>
                <w:rFonts w:cs="Times New Roman"/>
              </w:rPr>
              <w:t>0.0</w:t>
            </w:r>
            <w:r w:rsidR="00BB3A44">
              <w:rPr>
                <w:rFonts w:cs="Times New Roman"/>
              </w:rPr>
              <w:t>08</w:t>
            </w:r>
          </w:p>
        </w:tc>
        <w:tc>
          <w:tcPr>
            <w:tcW w:w="1490" w:type="dxa"/>
            <w:tcBorders>
              <w:top w:val="single" w:sz="4" w:space="0" w:color="auto"/>
              <w:left w:val="single" w:sz="4" w:space="0" w:color="auto"/>
              <w:bottom w:val="single" w:sz="4" w:space="0" w:color="auto"/>
              <w:right w:val="single" w:sz="4" w:space="0" w:color="auto"/>
            </w:tcBorders>
          </w:tcPr>
          <w:p w14:paraId="008FC75C" w14:textId="5D555ADF" w:rsidR="00EE7C08" w:rsidRPr="00287975" w:rsidRDefault="00EE7C08" w:rsidP="00EE7C08">
            <w:pPr>
              <w:jc w:val="center"/>
              <w:rPr>
                <w:rFonts w:cs="Times New Roman"/>
              </w:rPr>
            </w:pPr>
            <w:r>
              <w:rPr>
                <w:rFonts w:cs="Times New Roman"/>
              </w:rPr>
              <w:t>0.0</w:t>
            </w:r>
            <w:r w:rsidR="00A53F42">
              <w:rPr>
                <w:rFonts w:cs="Times New Roman"/>
              </w:rPr>
              <w:t>09</w:t>
            </w:r>
          </w:p>
        </w:tc>
      </w:tr>
      <w:tr w:rsidR="00EE7C08" w:rsidRPr="00E7045D" w14:paraId="2ADB6F98" w14:textId="26DFB88A" w:rsidTr="00EE7C08">
        <w:trPr>
          <w:jc w:val="center"/>
        </w:trPr>
        <w:tc>
          <w:tcPr>
            <w:tcW w:w="2852" w:type="dxa"/>
            <w:tcBorders>
              <w:top w:val="single" w:sz="4" w:space="0" w:color="auto"/>
              <w:left w:val="single" w:sz="4" w:space="0" w:color="auto"/>
              <w:bottom w:val="single" w:sz="4" w:space="0" w:color="auto"/>
              <w:right w:val="single" w:sz="4" w:space="0" w:color="auto"/>
            </w:tcBorders>
            <w:vAlign w:val="center"/>
          </w:tcPr>
          <w:p w14:paraId="4A5EF635" w14:textId="77777777" w:rsidR="00EE7C08" w:rsidRPr="00287975" w:rsidRDefault="00EE7C08" w:rsidP="00EE7C08">
            <w:pPr>
              <w:jc w:val="center"/>
              <w:rPr>
                <w:rFonts w:cs="Times New Roman"/>
                <w:b/>
                <w:bCs/>
              </w:rPr>
            </w:pPr>
            <w:r w:rsidRPr="137086F5">
              <w:rPr>
                <w:rFonts w:cs="Times New Roman"/>
                <w:b/>
                <w:bCs/>
              </w:rPr>
              <w:t>%CV</w:t>
            </w:r>
          </w:p>
        </w:tc>
        <w:tc>
          <w:tcPr>
            <w:tcW w:w="1509" w:type="dxa"/>
            <w:tcBorders>
              <w:top w:val="single" w:sz="4" w:space="0" w:color="auto"/>
              <w:left w:val="single" w:sz="4" w:space="0" w:color="auto"/>
              <w:bottom w:val="single" w:sz="4" w:space="0" w:color="auto"/>
              <w:right w:val="single" w:sz="4" w:space="0" w:color="auto"/>
            </w:tcBorders>
            <w:vAlign w:val="bottom"/>
          </w:tcPr>
          <w:p w14:paraId="381834EF" w14:textId="5E36D42D" w:rsidR="00EE7C08" w:rsidRPr="00287975" w:rsidRDefault="00EE7C08" w:rsidP="00EE7C08">
            <w:pPr>
              <w:jc w:val="center"/>
              <w:rPr>
                <w:rFonts w:cs="Times New Roman"/>
              </w:rPr>
            </w:pPr>
            <w:commentRangeStart w:id="3"/>
            <w:r w:rsidRPr="00287975">
              <w:rPr>
                <w:rFonts w:cs="Times New Roman"/>
              </w:rPr>
              <w:t>0.0</w:t>
            </w:r>
            <w:r>
              <w:rPr>
                <w:rFonts w:cs="Times New Roman"/>
              </w:rPr>
              <w:t>2</w:t>
            </w:r>
          </w:p>
        </w:tc>
        <w:tc>
          <w:tcPr>
            <w:tcW w:w="1490" w:type="dxa"/>
            <w:tcBorders>
              <w:top w:val="single" w:sz="4" w:space="0" w:color="auto"/>
              <w:left w:val="single" w:sz="4" w:space="0" w:color="auto"/>
              <w:bottom w:val="single" w:sz="4" w:space="0" w:color="auto"/>
              <w:right w:val="single" w:sz="4" w:space="0" w:color="auto"/>
            </w:tcBorders>
            <w:vAlign w:val="bottom"/>
          </w:tcPr>
          <w:p w14:paraId="13B37AF6" w14:textId="7066376C" w:rsidR="00EE7C08" w:rsidRPr="00287975" w:rsidRDefault="00EE7C08" w:rsidP="00EE7C08">
            <w:pPr>
              <w:jc w:val="center"/>
              <w:rPr>
                <w:rFonts w:cs="Times New Roman"/>
              </w:rPr>
            </w:pPr>
            <w:r w:rsidRPr="00287975">
              <w:rPr>
                <w:rFonts w:cs="Times New Roman"/>
              </w:rPr>
              <w:t>0.02</w:t>
            </w:r>
          </w:p>
        </w:tc>
        <w:tc>
          <w:tcPr>
            <w:tcW w:w="1490" w:type="dxa"/>
            <w:tcBorders>
              <w:top w:val="single" w:sz="4" w:space="0" w:color="auto"/>
              <w:left w:val="single" w:sz="4" w:space="0" w:color="auto"/>
              <w:bottom w:val="single" w:sz="4" w:space="0" w:color="auto"/>
              <w:right w:val="single" w:sz="4" w:space="0" w:color="auto"/>
            </w:tcBorders>
          </w:tcPr>
          <w:p w14:paraId="2F51A210" w14:textId="0FCCD295" w:rsidR="00EE7C08" w:rsidRPr="00287975" w:rsidRDefault="00EE7C08" w:rsidP="00EE7C08">
            <w:pPr>
              <w:jc w:val="center"/>
              <w:rPr>
                <w:rFonts w:cs="Times New Roman"/>
              </w:rPr>
            </w:pPr>
            <w:r>
              <w:rPr>
                <w:rFonts w:cs="Times New Roman"/>
              </w:rPr>
              <w:t>0.02</w:t>
            </w:r>
          </w:p>
        </w:tc>
        <w:tc>
          <w:tcPr>
            <w:tcW w:w="1490" w:type="dxa"/>
            <w:tcBorders>
              <w:top w:val="single" w:sz="4" w:space="0" w:color="auto"/>
              <w:left w:val="single" w:sz="4" w:space="0" w:color="auto"/>
              <w:bottom w:val="single" w:sz="4" w:space="0" w:color="auto"/>
              <w:right w:val="single" w:sz="4" w:space="0" w:color="auto"/>
            </w:tcBorders>
          </w:tcPr>
          <w:p w14:paraId="6FB74EBD" w14:textId="5D6F22AC" w:rsidR="00EE7C08" w:rsidRPr="00287975" w:rsidRDefault="00EE7C08" w:rsidP="00EE7C08">
            <w:pPr>
              <w:jc w:val="center"/>
              <w:rPr>
                <w:rFonts w:cs="Times New Roman"/>
              </w:rPr>
            </w:pPr>
            <w:r>
              <w:rPr>
                <w:rFonts w:cs="Times New Roman"/>
              </w:rPr>
              <w:t>0.02</w:t>
            </w:r>
            <w:commentRangeEnd w:id="3"/>
            <w:r w:rsidR="003E0B6F">
              <w:rPr>
                <w:rStyle w:val="CommentReference"/>
              </w:rPr>
              <w:commentReference w:id="3"/>
            </w:r>
          </w:p>
        </w:tc>
      </w:tr>
      <w:tr w:rsidR="00EE7C08" w:rsidRPr="00E7045D" w14:paraId="0D7EDCA7" w14:textId="66548E60" w:rsidTr="00EE7C08">
        <w:trPr>
          <w:jc w:val="center"/>
        </w:trPr>
        <w:tc>
          <w:tcPr>
            <w:tcW w:w="2852" w:type="dxa"/>
            <w:tcBorders>
              <w:top w:val="single" w:sz="4" w:space="0" w:color="auto"/>
              <w:left w:val="single" w:sz="4" w:space="0" w:color="auto"/>
              <w:bottom w:val="single" w:sz="4" w:space="0" w:color="auto"/>
              <w:right w:val="single" w:sz="4" w:space="0" w:color="auto"/>
            </w:tcBorders>
            <w:vAlign w:val="center"/>
          </w:tcPr>
          <w:p w14:paraId="3F54EB71" w14:textId="779EF535" w:rsidR="00EE7C08" w:rsidRPr="00287975" w:rsidRDefault="00EE7C08" w:rsidP="00EE7C08">
            <w:pPr>
              <w:jc w:val="center"/>
              <w:rPr>
                <w:rFonts w:cs="Times New Roman"/>
                <w:b/>
                <w:bCs/>
              </w:rPr>
            </w:pPr>
            <w:r w:rsidRPr="2EB2F12E">
              <w:rPr>
                <w:rFonts w:cs="Times New Roman"/>
                <w:b/>
                <w:bCs/>
              </w:rPr>
              <w:t>Minimum on QC Chart</w:t>
            </w:r>
          </w:p>
        </w:tc>
        <w:tc>
          <w:tcPr>
            <w:tcW w:w="1509" w:type="dxa"/>
            <w:tcBorders>
              <w:top w:val="single" w:sz="4" w:space="0" w:color="auto"/>
              <w:left w:val="single" w:sz="4" w:space="0" w:color="auto"/>
              <w:bottom w:val="single" w:sz="4" w:space="0" w:color="auto"/>
              <w:right w:val="single" w:sz="4" w:space="0" w:color="auto"/>
            </w:tcBorders>
            <w:vAlign w:val="bottom"/>
          </w:tcPr>
          <w:p w14:paraId="37D923FF" w14:textId="50604666" w:rsidR="00EE7C08" w:rsidRPr="00287975" w:rsidRDefault="00EE7C08" w:rsidP="00EE7C08">
            <w:pPr>
              <w:jc w:val="center"/>
              <w:rPr>
                <w:rFonts w:cs="Times New Roman"/>
              </w:rPr>
            </w:pPr>
            <w:r w:rsidRPr="00287975">
              <w:rPr>
                <w:rFonts w:cs="Times New Roman"/>
              </w:rPr>
              <w:t>4</w:t>
            </w:r>
            <w:r>
              <w:rPr>
                <w:rFonts w:cs="Times New Roman"/>
              </w:rPr>
              <w:t>2.47</w:t>
            </w:r>
          </w:p>
        </w:tc>
        <w:tc>
          <w:tcPr>
            <w:tcW w:w="1490" w:type="dxa"/>
            <w:tcBorders>
              <w:top w:val="single" w:sz="4" w:space="0" w:color="auto"/>
              <w:left w:val="single" w:sz="4" w:space="0" w:color="auto"/>
              <w:bottom w:val="single" w:sz="4" w:space="0" w:color="auto"/>
              <w:right w:val="single" w:sz="4" w:space="0" w:color="auto"/>
            </w:tcBorders>
            <w:vAlign w:val="bottom"/>
          </w:tcPr>
          <w:p w14:paraId="2046AE3A" w14:textId="097F8B65" w:rsidR="00EE7C08" w:rsidRPr="00287975" w:rsidRDefault="00EE7C08" w:rsidP="00EE7C08">
            <w:pPr>
              <w:jc w:val="center"/>
              <w:rPr>
                <w:rFonts w:cs="Times New Roman"/>
              </w:rPr>
            </w:pPr>
            <w:r>
              <w:rPr>
                <w:rFonts w:cs="Times New Roman"/>
              </w:rPr>
              <w:t>42.26</w:t>
            </w:r>
          </w:p>
        </w:tc>
        <w:tc>
          <w:tcPr>
            <w:tcW w:w="1490" w:type="dxa"/>
            <w:tcBorders>
              <w:top w:val="single" w:sz="4" w:space="0" w:color="auto"/>
              <w:left w:val="single" w:sz="4" w:space="0" w:color="auto"/>
              <w:bottom w:val="single" w:sz="4" w:space="0" w:color="auto"/>
              <w:right w:val="single" w:sz="4" w:space="0" w:color="auto"/>
            </w:tcBorders>
          </w:tcPr>
          <w:p w14:paraId="7B09E0DD" w14:textId="076BE2D1" w:rsidR="00EE7C08" w:rsidRDefault="00EE7C08" w:rsidP="00EE7C08">
            <w:pPr>
              <w:jc w:val="center"/>
              <w:rPr>
                <w:rFonts w:cs="Times New Roman"/>
              </w:rPr>
            </w:pPr>
            <w:r>
              <w:rPr>
                <w:rFonts w:cs="Times New Roman"/>
              </w:rPr>
              <w:t>40.45</w:t>
            </w:r>
          </w:p>
        </w:tc>
        <w:tc>
          <w:tcPr>
            <w:tcW w:w="1490" w:type="dxa"/>
            <w:tcBorders>
              <w:top w:val="single" w:sz="4" w:space="0" w:color="auto"/>
              <w:left w:val="single" w:sz="4" w:space="0" w:color="auto"/>
              <w:bottom w:val="single" w:sz="4" w:space="0" w:color="auto"/>
              <w:right w:val="single" w:sz="4" w:space="0" w:color="auto"/>
            </w:tcBorders>
          </w:tcPr>
          <w:p w14:paraId="54E6D5B6" w14:textId="28756046" w:rsidR="00EE7C08" w:rsidRDefault="00EE7C08" w:rsidP="00EE7C08">
            <w:pPr>
              <w:jc w:val="center"/>
              <w:rPr>
                <w:rFonts w:cs="Times New Roman"/>
              </w:rPr>
            </w:pPr>
            <w:r>
              <w:rPr>
                <w:rFonts w:cs="Times New Roman"/>
              </w:rPr>
              <w:t>40.53</w:t>
            </w:r>
          </w:p>
        </w:tc>
      </w:tr>
      <w:tr w:rsidR="00EE7C08" w:rsidRPr="00E7045D" w14:paraId="5130ABD4" w14:textId="36A182FB" w:rsidTr="00EE7C08">
        <w:trPr>
          <w:jc w:val="center"/>
        </w:trPr>
        <w:tc>
          <w:tcPr>
            <w:tcW w:w="2852" w:type="dxa"/>
            <w:tcBorders>
              <w:top w:val="single" w:sz="4" w:space="0" w:color="auto"/>
              <w:left w:val="single" w:sz="4" w:space="0" w:color="auto"/>
              <w:bottom w:val="single" w:sz="4" w:space="0" w:color="auto"/>
              <w:right w:val="single" w:sz="4" w:space="0" w:color="auto"/>
            </w:tcBorders>
            <w:vAlign w:val="center"/>
          </w:tcPr>
          <w:p w14:paraId="56E3BC06" w14:textId="5C62137F" w:rsidR="00EE7C08" w:rsidRPr="00287975" w:rsidRDefault="00EE7C08" w:rsidP="00EE7C08">
            <w:pPr>
              <w:jc w:val="center"/>
              <w:rPr>
                <w:rFonts w:cs="Times New Roman"/>
                <w:b/>
                <w:bCs/>
              </w:rPr>
            </w:pPr>
            <w:r w:rsidRPr="2EB2F12E">
              <w:rPr>
                <w:rFonts w:cs="Times New Roman"/>
                <w:b/>
                <w:bCs/>
              </w:rPr>
              <w:t>Maximum of QC Chart</w:t>
            </w:r>
          </w:p>
        </w:tc>
        <w:tc>
          <w:tcPr>
            <w:tcW w:w="1509" w:type="dxa"/>
            <w:tcBorders>
              <w:top w:val="single" w:sz="4" w:space="0" w:color="auto"/>
              <w:left w:val="single" w:sz="4" w:space="0" w:color="auto"/>
              <w:bottom w:val="single" w:sz="4" w:space="0" w:color="auto"/>
              <w:right w:val="single" w:sz="4" w:space="0" w:color="auto"/>
            </w:tcBorders>
            <w:vAlign w:val="bottom"/>
          </w:tcPr>
          <w:p w14:paraId="79B10559" w14:textId="3BFF8B9B" w:rsidR="00EE7C08" w:rsidRPr="00287975" w:rsidRDefault="00EE7C08" w:rsidP="00EE7C08">
            <w:pPr>
              <w:jc w:val="center"/>
              <w:rPr>
                <w:rFonts w:cs="Times New Roman"/>
              </w:rPr>
            </w:pPr>
            <w:r w:rsidRPr="00287975">
              <w:rPr>
                <w:rFonts w:cs="Times New Roman"/>
              </w:rPr>
              <w:t>4</w:t>
            </w:r>
            <w:r>
              <w:rPr>
                <w:rFonts w:cs="Times New Roman"/>
              </w:rPr>
              <w:t>2.52</w:t>
            </w:r>
          </w:p>
        </w:tc>
        <w:tc>
          <w:tcPr>
            <w:tcW w:w="1490" w:type="dxa"/>
            <w:tcBorders>
              <w:top w:val="single" w:sz="4" w:space="0" w:color="auto"/>
              <w:left w:val="single" w:sz="4" w:space="0" w:color="auto"/>
              <w:bottom w:val="single" w:sz="4" w:space="0" w:color="auto"/>
              <w:right w:val="single" w:sz="4" w:space="0" w:color="auto"/>
            </w:tcBorders>
            <w:vAlign w:val="bottom"/>
          </w:tcPr>
          <w:p w14:paraId="17271900" w14:textId="6C0469C7" w:rsidR="00EE7C08" w:rsidRPr="00287975" w:rsidRDefault="00EE7C08" w:rsidP="00EE7C08">
            <w:pPr>
              <w:jc w:val="center"/>
              <w:rPr>
                <w:rFonts w:cs="Times New Roman"/>
              </w:rPr>
            </w:pPr>
            <w:r>
              <w:rPr>
                <w:rFonts w:cs="Times New Roman"/>
              </w:rPr>
              <w:t>42.36</w:t>
            </w:r>
          </w:p>
        </w:tc>
        <w:tc>
          <w:tcPr>
            <w:tcW w:w="1490" w:type="dxa"/>
            <w:tcBorders>
              <w:top w:val="single" w:sz="4" w:space="0" w:color="auto"/>
              <w:left w:val="single" w:sz="4" w:space="0" w:color="auto"/>
              <w:bottom w:val="single" w:sz="4" w:space="0" w:color="auto"/>
              <w:right w:val="single" w:sz="4" w:space="0" w:color="auto"/>
            </w:tcBorders>
          </w:tcPr>
          <w:p w14:paraId="59A8E565" w14:textId="18877C35" w:rsidR="00EE7C08" w:rsidRDefault="00EE7C08" w:rsidP="00EE7C08">
            <w:pPr>
              <w:jc w:val="center"/>
              <w:rPr>
                <w:rFonts w:cs="Times New Roman"/>
              </w:rPr>
            </w:pPr>
            <w:r>
              <w:rPr>
                <w:rFonts w:cs="Times New Roman"/>
              </w:rPr>
              <w:t>40.48</w:t>
            </w:r>
          </w:p>
        </w:tc>
        <w:tc>
          <w:tcPr>
            <w:tcW w:w="1490" w:type="dxa"/>
            <w:tcBorders>
              <w:top w:val="single" w:sz="4" w:space="0" w:color="auto"/>
              <w:left w:val="single" w:sz="4" w:space="0" w:color="auto"/>
              <w:bottom w:val="single" w:sz="4" w:space="0" w:color="auto"/>
              <w:right w:val="single" w:sz="4" w:space="0" w:color="auto"/>
            </w:tcBorders>
          </w:tcPr>
          <w:p w14:paraId="6D2AA52E" w14:textId="57548A9F" w:rsidR="00EE7C08" w:rsidRDefault="00EE7C08" w:rsidP="00EE7C08">
            <w:pPr>
              <w:jc w:val="center"/>
              <w:rPr>
                <w:rFonts w:cs="Times New Roman"/>
              </w:rPr>
            </w:pPr>
            <w:r>
              <w:rPr>
                <w:rFonts w:cs="Times New Roman"/>
              </w:rPr>
              <w:t>40.56</w:t>
            </w:r>
          </w:p>
        </w:tc>
      </w:tr>
      <w:tr w:rsidR="00EE7C08" w:rsidRPr="00E7045D" w14:paraId="0227CC03" w14:textId="180FD94A" w:rsidTr="00EE7C08">
        <w:trPr>
          <w:jc w:val="center"/>
        </w:trPr>
        <w:tc>
          <w:tcPr>
            <w:tcW w:w="2852" w:type="dxa"/>
            <w:tcBorders>
              <w:top w:val="single" w:sz="4" w:space="0" w:color="auto"/>
              <w:left w:val="single" w:sz="4" w:space="0" w:color="auto"/>
              <w:bottom w:val="single" w:sz="4" w:space="0" w:color="auto"/>
              <w:right w:val="single" w:sz="4" w:space="0" w:color="auto"/>
            </w:tcBorders>
            <w:vAlign w:val="center"/>
          </w:tcPr>
          <w:p w14:paraId="533CCF2A" w14:textId="2C355C38" w:rsidR="00EE7C08" w:rsidRPr="00287975" w:rsidRDefault="00EE7C08" w:rsidP="00EE7C08">
            <w:pPr>
              <w:jc w:val="center"/>
              <w:rPr>
                <w:rFonts w:cs="Times New Roman"/>
                <w:b/>
                <w:bCs/>
              </w:rPr>
            </w:pPr>
            <w:r w:rsidRPr="137086F5">
              <w:rPr>
                <w:rFonts w:cs="Times New Roman"/>
                <w:b/>
                <w:bCs/>
              </w:rPr>
              <w:t>Uncertainty (2007)</w:t>
            </w:r>
          </w:p>
        </w:tc>
        <w:tc>
          <w:tcPr>
            <w:tcW w:w="1509" w:type="dxa"/>
            <w:tcBorders>
              <w:top w:val="single" w:sz="4" w:space="0" w:color="auto"/>
              <w:left w:val="single" w:sz="4" w:space="0" w:color="auto"/>
              <w:bottom w:val="single" w:sz="4" w:space="0" w:color="auto"/>
              <w:right w:val="single" w:sz="4" w:space="0" w:color="auto"/>
            </w:tcBorders>
          </w:tcPr>
          <w:p w14:paraId="5EE44E5B" w14:textId="1728A67D" w:rsidR="00EE7C08" w:rsidRPr="00287975" w:rsidRDefault="00EE7C08" w:rsidP="00EE7C08">
            <w:pPr>
              <w:jc w:val="center"/>
              <w:rPr>
                <w:rFonts w:cs="Times New Roman"/>
              </w:rPr>
            </w:pPr>
            <w:r w:rsidRPr="00287975">
              <w:rPr>
                <w:rFonts w:cs="Times New Roman"/>
              </w:rPr>
              <w:t>0.05% abv</w:t>
            </w:r>
          </w:p>
        </w:tc>
        <w:tc>
          <w:tcPr>
            <w:tcW w:w="1490" w:type="dxa"/>
            <w:tcBorders>
              <w:top w:val="single" w:sz="4" w:space="0" w:color="auto"/>
              <w:left w:val="single" w:sz="4" w:space="0" w:color="auto"/>
              <w:bottom w:val="single" w:sz="4" w:space="0" w:color="auto"/>
              <w:right w:val="single" w:sz="4" w:space="0" w:color="auto"/>
            </w:tcBorders>
            <w:vAlign w:val="center"/>
          </w:tcPr>
          <w:p w14:paraId="779ED990" w14:textId="3CA796F4" w:rsidR="00EE7C08" w:rsidRPr="00287975" w:rsidRDefault="00EE7C08" w:rsidP="00EE7C08">
            <w:pPr>
              <w:jc w:val="center"/>
              <w:rPr>
                <w:rFonts w:cs="Times New Roman"/>
              </w:rPr>
            </w:pPr>
            <w:r w:rsidRPr="00287975">
              <w:rPr>
                <w:rFonts w:cs="Times New Roman"/>
              </w:rPr>
              <w:t>0.05%abv</w:t>
            </w:r>
          </w:p>
        </w:tc>
        <w:tc>
          <w:tcPr>
            <w:tcW w:w="1490" w:type="dxa"/>
            <w:tcBorders>
              <w:top w:val="single" w:sz="4" w:space="0" w:color="auto"/>
              <w:left w:val="single" w:sz="4" w:space="0" w:color="auto"/>
              <w:bottom w:val="single" w:sz="4" w:space="0" w:color="auto"/>
              <w:right w:val="single" w:sz="4" w:space="0" w:color="auto"/>
            </w:tcBorders>
          </w:tcPr>
          <w:p w14:paraId="0C8EB586" w14:textId="00FC93B8" w:rsidR="00EE7C08" w:rsidRPr="00287975" w:rsidRDefault="00EE7C08" w:rsidP="00EE7C08">
            <w:pPr>
              <w:jc w:val="center"/>
              <w:rPr>
                <w:rFonts w:cs="Times New Roman"/>
              </w:rPr>
            </w:pPr>
            <w:r w:rsidRPr="00287975">
              <w:rPr>
                <w:rFonts w:cs="Times New Roman"/>
              </w:rPr>
              <w:t>0.05%abv</w:t>
            </w:r>
          </w:p>
        </w:tc>
        <w:tc>
          <w:tcPr>
            <w:tcW w:w="1490" w:type="dxa"/>
            <w:tcBorders>
              <w:top w:val="single" w:sz="4" w:space="0" w:color="auto"/>
              <w:left w:val="single" w:sz="4" w:space="0" w:color="auto"/>
              <w:bottom w:val="single" w:sz="4" w:space="0" w:color="auto"/>
              <w:right w:val="single" w:sz="4" w:space="0" w:color="auto"/>
            </w:tcBorders>
          </w:tcPr>
          <w:p w14:paraId="330F9DDC" w14:textId="74BB9A6F" w:rsidR="00EE7C08" w:rsidRPr="00287975" w:rsidRDefault="00EE7C08" w:rsidP="00EE7C08">
            <w:pPr>
              <w:jc w:val="center"/>
              <w:rPr>
                <w:rFonts w:cs="Times New Roman"/>
              </w:rPr>
            </w:pPr>
            <w:r w:rsidRPr="00287975">
              <w:rPr>
                <w:rFonts w:cs="Times New Roman"/>
              </w:rPr>
              <w:t>0.05%abv</w:t>
            </w:r>
          </w:p>
        </w:tc>
      </w:tr>
      <w:tr w:rsidR="00EE7C08" w:rsidRPr="00E7045D" w14:paraId="0D43D078" w14:textId="7927E0AD" w:rsidTr="00EE7C08">
        <w:trPr>
          <w:jc w:val="center"/>
        </w:trPr>
        <w:tc>
          <w:tcPr>
            <w:tcW w:w="2852" w:type="dxa"/>
            <w:tcBorders>
              <w:top w:val="single" w:sz="4" w:space="0" w:color="auto"/>
              <w:left w:val="single" w:sz="4" w:space="0" w:color="auto"/>
              <w:bottom w:val="single" w:sz="4" w:space="0" w:color="auto"/>
              <w:right w:val="single" w:sz="4" w:space="0" w:color="auto"/>
            </w:tcBorders>
            <w:vAlign w:val="center"/>
          </w:tcPr>
          <w:p w14:paraId="4BCA5034" w14:textId="3617FB83" w:rsidR="00EE7C08" w:rsidRPr="00E7045D" w:rsidRDefault="00EE7C08" w:rsidP="00EE7C08">
            <w:pPr>
              <w:jc w:val="center"/>
              <w:rPr>
                <w:rFonts w:cs="Times New Roman"/>
                <w:b/>
                <w:bCs/>
                <w:color w:val="000000" w:themeColor="text1"/>
              </w:rPr>
            </w:pPr>
            <w:r w:rsidRPr="2EB2F12E">
              <w:rPr>
                <w:rFonts w:cs="Times New Roman"/>
                <w:b/>
                <w:bCs/>
                <w:color w:val="000000" w:themeColor="text1"/>
              </w:rPr>
              <w:t>Lower Limit</w:t>
            </w:r>
          </w:p>
        </w:tc>
        <w:tc>
          <w:tcPr>
            <w:tcW w:w="1509" w:type="dxa"/>
            <w:tcBorders>
              <w:top w:val="single" w:sz="4" w:space="0" w:color="auto"/>
              <w:left w:val="single" w:sz="4" w:space="0" w:color="auto"/>
              <w:bottom w:val="single" w:sz="4" w:space="0" w:color="auto"/>
              <w:right w:val="single" w:sz="4" w:space="0" w:color="auto"/>
            </w:tcBorders>
          </w:tcPr>
          <w:p w14:paraId="2B73AED0" w14:textId="6C6F27DF" w:rsidR="00EE7C08" w:rsidRPr="00E7045D" w:rsidRDefault="00EE7C08" w:rsidP="00EE7C08">
            <w:pPr>
              <w:jc w:val="center"/>
              <w:rPr>
                <w:rFonts w:cs="Times New Roman"/>
                <w:color w:val="000000"/>
              </w:rPr>
            </w:pPr>
            <w:r>
              <w:rPr>
                <w:rFonts w:cs="Times New Roman"/>
                <w:color w:val="000000"/>
              </w:rPr>
              <w:t>42.47</w:t>
            </w:r>
          </w:p>
        </w:tc>
        <w:tc>
          <w:tcPr>
            <w:tcW w:w="1490" w:type="dxa"/>
            <w:tcBorders>
              <w:top w:val="single" w:sz="4" w:space="0" w:color="auto"/>
              <w:left w:val="single" w:sz="4" w:space="0" w:color="auto"/>
              <w:bottom w:val="single" w:sz="4" w:space="0" w:color="auto"/>
              <w:right w:val="single" w:sz="4" w:space="0" w:color="auto"/>
            </w:tcBorders>
            <w:vAlign w:val="center"/>
          </w:tcPr>
          <w:p w14:paraId="10063CD4" w14:textId="147DBE1E" w:rsidR="00EE7C08" w:rsidRPr="00EE5C7E" w:rsidRDefault="00EE7C08" w:rsidP="00EE7C08">
            <w:pPr>
              <w:jc w:val="center"/>
              <w:rPr>
                <w:rFonts w:cs="Times New Roman"/>
              </w:rPr>
            </w:pPr>
            <w:r>
              <w:rPr>
                <w:rFonts w:cs="Times New Roman"/>
              </w:rPr>
              <w:t>42.27</w:t>
            </w:r>
          </w:p>
        </w:tc>
        <w:tc>
          <w:tcPr>
            <w:tcW w:w="1490" w:type="dxa"/>
            <w:tcBorders>
              <w:top w:val="single" w:sz="4" w:space="0" w:color="auto"/>
              <w:left w:val="single" w:sz="4" w:space="0" w:color="auto"/>
              <w:bottom w:val="single" w:sz="4" w:space="0" w:color="auto"/>
              <w:right w:val="single" w:sz="4" w:space="0" w:color="auto"/>
            </w:tcBorders>
          </w:tcPr>
          <w:p w14:paraId="155E8075" w14:textId="512DEA36" w:rsidR="00EE7C08" w:rsidRDefault="00EE7C08" w:rsidP="00EE7C08">
            <w:pPr>
              <w:jc w:val="center"/>
              <w:rPr>
                <w:rFonts w:cs="Times New Roman"/>
              </w:rPr>
            </w:pPr>
            <w:r>
              <w:rPr>
                <w:rFonts w:cs="Times New Roman"/>
              </w:rPr>
              <w:t>40.44</w:t>
            </w:r>
          </w:p>
        </w:tc>
        <w:tc>
          <w:tcPr>
            <w:tcW w:w="1490" w:type="dxa"/>
            <w:tcBorders>
              <w:top w:val="single" w:sz="4" w:space="0" w:color="auto"/>
              <w:left w:val="single" w:sz="4" w:space="0" w:color="auto"/>
              <w:bottom w:val="single" w:sz="4" w:space="0" w:color="auto"/>
              <w:right w:val="single" w:sz="4" w:space="0" w:color="auto"/>
            </w:tcBorders>
          </w:tcPr>
          <w:p w14:paraId="09E3524C" w14:textId="0321A0DF" w:rsidR="00EE7C08" w:rsidRDefault="00EE7C08" w:rsidP="00EE7C08">
            <w:pPr>
              <w:jc w:val="center"/>
              <w:rPr>
                <w:rFonts w:cs="Times New Roman"/>
              </w:rPr>
            </w:pPr>
            <w:r>
              <w:rPr>
                <w:rFonts w:cs="Times New Roman"/>
              </w:rPr>
              <w:t>40.52</w:t>
            </w:r>
          </w:p>
        </w:tc>
      </w:tr>
      <w:tr w:rsidR="00EE7C08" w:rsidRPr="00E7045D" w14:paraId="6AB7FB34" w14:textId="70D8F46A" w:rsidTr="00EE7C08">
        <w:trPr>
          <w:jc w:val="center"/>
        </w:trPr>
        <w:tc>
          <w:tcPr>
            <w:tcW w:w="2852" w:type="dxa"/>
            <w:tcBorders>
              <w:top w:val="single" w:sz="4" w:space="0" w:color="auto"/>
              <w:left w:val="single" w:sz="4" w:space="0" w:color="auto"/>
              <w:bottom w:val="single" w:sz="4" w:space="0" w:color="auto"/>
              <w:right w:val="single" w:sz="4" w:space="0" w:color="auto"/>
            </w:tcBorders>
            <w:vAlign w:val="center"/>
          </w:tcPr>
          <w:p w14:paraId="7DA13ACC" w14:textId="78D9FC7A" w:rsidR="00EE7C08" w:rsidRPr="00E7045D" w:rsidRDefault="00EE7C08" w:rsidP="00EE7C08">
            <w:pPr>
              <w:jc w:val="center"/>
              <w:rPr>
                <w:rFonts w:cs="Times New Roman"/>
                <w:b/>
                <w:bCs/>
                <w:color w:val="000000" w:themeColor="text1"/>
              </w:rPr>
            </w:pPr>
            <w:r w:rsidRPr="27FF0EBE">
              <w:rPr>
                <w:rFonts w:cs="Times New Roman"/>
                <w:b/>
                <w:bCs/>
                <w:color w:val="000000" w:themeColor="text1"/>
              </w:rPr>
              <w:t xml:space="preserve">Upper Limit </w:t>
            </w:r>
          </w:p>
        </w:tc>
        <w:tc>
          <w:tcPr>
            <w:tcW w:w="1509" w:type="dxa"/>
            <w:tcBorders>
              <w:top w:val="single" w:sz="4" w:space="0" w:color="auto"/>
              <w:left w:val="single" w:sz="4" w:space="0" w:color="auto"/>
              <w:bottom w:val="single" w:sz="4" w:space="0" w:color="auto"/>
              <w:right w:val="single" w:sz="4" w:space="0" w:color="auto"/>
            </w:tcBorders>
          </w:tcPr>
          <w:p w14:paraId="2D598E95" w14:textId="46A82C43" w:rsidR="00EE7C08" w:rsidRPr="00E7045D" w:rsidRDefault="00EE7C08" w:rsidP="00EE7C08">
            <w:pPr>
              <w:jc w:val="center"/>
              <w:rPr>
                <w:rFonts w:cs="Times New Roman"/>
                <w:color w:val="000000"/>
              </w:rPr>
            </w:pPr>
            <w:r>
              <w:rPr>
                <w:rFonts w:cs="Times New Roman"/>
                <w:color w:val="000000"/>
              </w:rPr>
              <w:t>42.53</w:t>
            </w:r>
          </w:p>
        </w:tc>
        <w:tc>
          <w:tcPr>
            <w:tcW w:w="1490" w:type="dxa"/>
            <w:tcBorders>
              <w:top w:val="single" w:sz="4" w:space="0" w:color="auto"/>
              <w:left w:val="single" w:sz="4" w:space="0" w:color="auto"/>
              <w:bottom w:val="single" w:sz="4" w:space="0" w:color="auto"/>
              <w:right w:val="single" w:sz="4" w:space="0" w:color="auto"/>
            </w:tcBorders>
            <w:vAlign w:val="center"/>
          </w:tcPr>
          <w:p w14:paraId="5FBFC850" w14:textId="2BB26D74" w:rsidR="00EE7C08" w:rsidRPr="00EE5C7E" w:rsidRDefault="00EE7C08" w:rsidP="00EE7C08">
            <w:pPr>
              <w:jc w:val="center"/>
              <w:rPr>
                <w:rFonts w:cs="Times New Roman"/>
              </w:rPr>
            </w:pPr>
            <w:r>
              <w:rPr>
                <w:rFonts w:cs="Times New Roman"/>
              </w:rPr>
              <w:t>42.39</w:t>
            </w:r>
          </w:p>
        </w:tc>
        <w:tc>
          <w:tcPr>
            <w:tcW w:w="1490" w:type="dxa"/>
            <w:tcBorders>
              <w:top w:val="single" w:sz="4" w:space="0" w:color="auto"/>
              <w:left w:val="single" w:sz="4" w:space="0" w:color="auto"/>
              <w:bottom w:val="single" w:sz="4" w:space="0" w:color="auto"/>
              <w:right w:val="single" w:sz="4" w:space="0" w:color="auto"/>
            </w:tcBorders>
          </w:tcPr>
          <w:p w14:paraId="7F8DE7BD" w14:textId="5CB83400" w:rsidR="00EE7C08" w:rsidRDefault="00EE7C08" w:rsidP="00EE7C08">
            <w:pPr>
              <w:jc w:val="center"/>
              <w:rPr>
                <w:rFonts w:cs="Times New Roman"/>
              </w:rPr>
            </w:pPr>
            <w:r>
              <w:rPr>
                <w:rFonts w:cs="Times New Roman"/>
              </w:rPr>
              <w:t>40.50</w:t>
            </w:r>
          </w:p>
        </w:tc>
        <w:tc>
          <w:tcPr>
            <w:tcW w:w="1490" w:type="dxa"/>
            <w:tcBorders>
              <w:top w:val="single" w:sz="4" w:space="0" w:color="auto"/>
              <w:left w:val="single" w:sz="4" w:space="0" w:color="auto"/>
              <w:bottom w:val="single" w:sz="4" w:space="0" w:color="auto"/>
              <w:right w:val="single" w:sz="4" w:space="0" w:color="auto"/>
            </w:tcBorders>
          </w:tcPr>
          <w:p w14:paraId="4E25794C" w14:textId="4A102125" w:rsidR="00EE7C08" w:rsidRDefault="00EE7C08" w:rsidP="00EE7C08">
            <w:pPr>
              <w:jc w:val="center"/>
              <w:rPr>
                <w:rFonts w:cs="Times New Roman"/>
              </w:rPr>
            </w:pPr>
            <w:r>
              <w:rPr>
                <w:rFonts w:cs="Times New Roman"/>
              </w:rPr>
              <w:t>40.61</w:t>
            </w:r>
          </w:p>
        </w:tc>
      </w:tr>
    </w:tbl>
    <w:p w14:paraId="1D0E9ADC" w14:textId="626FCD31" w:rsidR="00562AA0" w:rsidRDefault="00562AA0" w:rsidP="002F2599">
      <w:pPr>
        <w:spacing w:after="0" w:line="240" w:lineRule="auto"/>
        <w:jc w:val="both"/>
        <w:rPr>
          <w:rFonts w:cs="Times New Roman"/>
        </w:rPr>
      </w:pPr>
    </w:p>
    <w:p w14:paraId="761FAA43" w14:textId="2C6FE877" w:rsidR="001E0956" w:rsidRDefault="003D11E3" w:rsidP="002F2599">
      <w:pPr>
        <w:spacing w:after="0" w:line="240" w:lineRule="auto"/>
        <w:jc w:val="both"/>
        <w:rPr>
          <w:rFonts w:cs="Times New Roman"/>
        </w:rPr>
      </w:pPr>
      <w:r w:rsidRPr="27FF0EBE">
        <w:rPr>
          <w:rFonts w:cs="Times New Roman"/>
        </w:rPr>
        <w:t>Precision data from the 2007 uncertainty document used data from 6 quality control samples, all approximately 40%</w:t>
      </w:r>
      <w:r w:rsidR="76B2E62D" w:rsidRPr="27FF0EBE">
        <w:rPr>
          <w:rFonts w:cs="Times New Roman"/>
        </w:rPr>
        <w:t xml:space="preserve"> alcohol v/v</w:t>
      </w:r>
      <w:r w:rsidRPr="27FF0EBE">
        <w:rPr>
          <w:rFonts w:cs="Times New Roman"/>
        </w:rPr>
        <w:t xml:space="preserve">, and repeated analyses of these gave standard deviations between 0.009 and 0.021% abv.  Standard deviations </w:t>
      </w:r>
      <w:r w:rsidR="5F2224C7" w:rsidRPr="27FF0EBE">
        <w:rPr>
          <w:rFonts w:cs="Times New Roman"/>
        </w:rPr>
        <w:t>for t</w:t>
      </w:r>
      <w:r w:rsidR="00A53F42">
        <w:rPr>
          <w:rFonts w:cs="Times New Roman"/>
        </w:rPr>
        <w:t>wo</w:t>
      </w:r>
      <w:r w:rsidR="00CE6271">
        <w:rPr>
          <w:rFonts w:cs="Times New Roman"/>
        </w:rPr>
        <w:t xml:space="preserve"> of the </w:t>
      </w:r>
      <w:r w:rsidR="5F2224C7" w:rsidRPr="27FF0EBE">
        <w:rPr>
          <w:rFonts w:cs="Times New Roman"/>
        </w:rPr>
        <w:t xml:space="preserve">QC </w:t>
      </w:r>
      <w:r w:rsidR="740AE9AA" w:rsidRPr="27FF0EBE">
        <w:rPr>
          <w:rFonts w:cs="Times New Roman"/>
        </w:rPr>
        <w:t>sample</w:t>
      </w:r>
      <w:r w:rsidR="006E63F1">
        <w:rPr>
          <w:rFonts w:cs="Times New Roman"/>
        </w:rPr>
        <w:t>s</w:t>
      </w:r>
      <w:r w:rsidR="740AE9AA" w:rsidRPr="27FF0EBE">
        <w:rPr>
          <w:rFonts w:cs="Times New Roman"/>
        </w:rPr>
        <w:t xml:space="preserve"> used in 202</w:t>
      </w:r>
      <w:r w:rsidR="008B646D">
        <w:rPr>
          <w:rFonts w:cs="Times New Roman"/>
        </w:rPr>
        <w:t>1</w:t>
      </w:r>
      <w:r w:rsidR="00970992">
        <w:rPr>
          <w:rFonts w:cs="Times New Roman"/>
        </w:rPr>
        <w:t>, AppS048 and AppS051,</w:t>
      </w:r>
      <w:r w:rsidRPr="27FF0EBE">
        <w:rPr>
          <w:rFonts w:cs="Times New Roman"/>
        </w:rPr>
        <w:t xml:space="preserve"> are </w:t>
      </w:r>
      <w:r w:rsidR="008B646D">
        <w:rPr>
          <w:rFonts w:cs="Times New Roman"/>
        </w:rPr>
        <w:t>within this range.</w:t>
      </w:r>
      <w:r w:rsidR="00CE6271">
        <w:rPr>
          <w:rFonts w:cs="Times New Roman"/>
        </w:rPr>
        <w:t xml:space="preserve"> AppS049 is </w:t>
      </w:r>
      <w:r w:rsidR="00F7053D">
        <w:rPr>
          <w:rFonts w:cs="Times New Roman"/>
        </w:rPr>
        <w:t xml:space="preserve">slightly </w:t>
      </w:r>
      <w:r w:rsidR="00CE6271">
        <w:rPr>
          <w:rFonts w:cs="Times New Roman"/>
        </w:rPr>
        <w:t>above this range</w:t>
      </w:r>
      <w:r w:rsidR="00F7053D">
        <w:rPr>
          <w:rFonts w:cs="Times New Roman"/>
        </w:rPr>
        <w:t xml:space="preserve"> with a standard deviation of </w:t>
      </w:r>
      <w:commentRangeStart w:id="4"/>
      <w:r w:rsidR="00F7053D">
        <w:rPr>
          <w:rFonts w:cs="Times New Roman"/>
        </w:rPr>
        <w:t>0.024</w:t>
      </w:r>
      <w:commentRangeEnd w:id="4"/>
      <w:r w:rsidR="003E0B6F">
        <w:rPr>
          <w:rStyle w:val="CommentReference"/>
        </w:rPr>
        <w:commentReference w:id="4"/>
      </w:r>
      <w:r w:rsidR="00F7053D">
        <w:rPr>
          <w:rFonts w:cs="Times New Roman"/>
        </w:rPr>
        <w:t>% abv</w:t>
      </w:r>
      <w:r w:rsidR="00970992">
        <w:rPr>
          <w:rFonts w:cs="Times New Roman"/>
        </w:rPr>
        <w:t xml:space="preserve"> and AppS050 is slightly below this range at 0.008</w:t>
      </w:r>
      <w:r w:rsidR="006E63F1">
        <w:rPr>
          <w:rFonts w:cs="Times New Roman"/>
        </w:rPr>
        <w:t>% abv</w:t>
      </w:r>
      <w:r w:rsidR="00F7053D">
        <w:rPr>
          <w:rFonts w:cs="Times New Roman"/>
        </w:rPr>
        <w:t xml:space="preserve">. </w:t>
      </w:r>
      <w:r w:rsidR="00D23CF6">
        <w:rPr>
          <w:rFonts w:cs="Times New Roman"/>
        </w:rPr>
        <w:t>T</w:t>
      </w:r>
      <w:r w:rsidR="00F7053D" w:rsidRPr="00D23CF6">
        <w:rPr>
          <w:rFonts w:cs="Times New Roman"/>
        </w:rPr>
        <w:t xml:space="preserve">his indicates </w:t>
      </w:r>
      <w:r w:rsidRPr="00D23CF6">
        <w:rPr>
          <w:rFonts w:cs="Times New Roman"/>
        </w:rPr>
        <w:t>the method has been performed with satisfactory precision during 20</w:t>
      </w:r>
      <w:r w:rsidR="00D550FB" w:rsidRPr="00D23CF6">
        <w:rPr>
          <w:rFonts w:cs="Times New Roman"/>
        </w:rPr>
        <w:t>2</w:t>
      </w:r>
      <w:r w:rsidR="008B646D" w:rsidRPr="00D23CF6">
        <w:rPr>
          <w:rFonts w:cs="Times New Roman"/>
        </w:rPr>
        <w:t>1</w:t>
      </w:r>
      <w:r w:rsidR="00D550FB" w:rsidRPr="00D23CF6">
        <w:rPr>
          <w:rFonts w:cs="Times New Roman"/>
        </w:rPr>
        <w:t>.</w:t>
      </w:r>
      <w:r w:rsidR="17E4A5B7" w:rsidRPr="27FF0EBE">
        <w:rPr>
          <w:rFonts w:cs="Times New Roman"/>
        </w:rPr>
        <w:t xml:space="preserve"> </w:t>
      </w:r>
      <w:r w:rsidR="00783A2D">
        <w:rPr>
          <w:rFonts w:cs="Times New Roman"/>
        </w:rPr>
        <w:t>Note that the expiry date for AppS048 was extended for a further 6 months after review when the laboratory reopened</w:t>
      </w:r>
      <w:r w:rsidR="004E5662">
        <w:rPr>
          <w:rFonts w:cs="Times New Roman"/>
        </w:rPr>
        <w:t xml:space="preserve"> during the COVID-19 pandemic</w:t>
      </w:r>
      <w:r w:rsidR="00783A2D">
        <w:rPr>
          <w:rFonts w:cs="Times New Roman"/>
        </w:rPr>
        <w:t>.</w:t>
      </w:r>
    </w:p>
    <w:p w14:paraId="61EF36AD" w14:textId="7326C526" w:rsidR="001A4673" w:rsidRDefault="001A4673" w:rsidP="002F2599">
      <w:pPr>
        <w:spacing w:after="0" w:line="240" w:lineRule="auto"/>
        <w:jc w:val="both"/>
        <w:rPr>
          <w:rFonts w:cs="Times New Roman"/>
        </w:rPr>
      </w:pPr>
    </w:p>
    <w:p w14:paraId="0D90AA45" w14:textId="5C0E7F31" w:rsidR="00593EDC" w:rsidRPr="00985EA4" w:rsidRDefault="003D11E3" w:rsidP="003D11E3">
      <w:pPr>
        <w:spacing w:after="0" w:line="240" w:lineRule="auto"/>
        <w:jc w:val="both"/>
        <w:rPr>
          <w:rFonts w:cs="Times New Roman"/>
          <w:b/>
        </w:rPr>
      </w:pPr>
      <w:r w:rsidRPr="00985EA4">
        <w:rPr>
          <w:rFonts w:cs="Times New Roman"/>
          <w:b/>
        </w:rPr>
        <w:t>Certified Reference Material</w:t>
      </w:r>
    </w:p>
    <w:p w14:paraId="33326965" w14:textId="6CBAD2FA" w:rsidR="003C08A7" w:rsidRPr="00985EA4" w:rsidRDefault="003C08A7" w:rsidP="003D11E3">
      <w:pPr>
        <w:spacing w:after="0" w:line="240" w:lineRule="auto"/>
        <w:jc w:val="both"/>
        <w:rPr>
          <w:rFonts w:cs="Times New Roman"/>
          <w:b/>
        </w:rPr>
      </w:pPr>
    </w:p>
    <w:p w14:paraId="563CB3D6" w14:textId="3CEFE380" w:rsidR="003C08A7" w:rsidRPr="00985EA4" w:rsidRDefault="003C08A7" w:rsidP="2EB2F12E">
      <w:pPr>
        <w:spacing w:after="0" w:line="240" w:lineRule="auto"/>
        <w:jc w:val="both"/>
        <w:rPr>
          <w:rFonts w:cs="Times New Roman"/>
        </w:rPr>
      </w:pPr>
      <w:r w:rsidRPr="27FF0EBE">
        <w:rPr>
          <w:rFonts w:cs="Times New Roman"/>
        </w:rPr>
        <w:t>Certified reference materials with strengths between 5 and 70</w:t>
      </w:r>
      <w:r w:rsidR="00BD2C61">
        <w:rPr>
          <w:rFonts w:cs="Times New Roman"/>
        </w:rPr>
        <w:t>.08</w:t>
      </w:r>
      <w:r w:rsidRPr="27FF0EBE">
        <w:rPr>
          <w:rFonts w:cs="Times New Roman"/>
        </w:rPr>
        <w:t xml:space="preserve">% abv were analysed </w:t>
      </w:r>
      <w:r w:rsidR="00EE7C08">
        <w:rPr>
          <w:rFonts w:cs="Times New Roman"/>
        </w:rPr>
        <w:t>12</w:t>
      </w:r>
      <w:r w:rsidRPr="27FF0EBE">
        <w:rPr>
          <w:rFonts w:cs="Times New Roman"/>
        </w:rPr>
        <w:t xml:space="preserve"> times in 20</w:t>
      </w:r>
      <w:r w:rsidR="00985EA4" w:rsidRPr="27FF0EBE">
        <w:rPr>
          <w:rFonts w:cs="Times New Roman"/>
        </w:rPr>
        <w:t>2</w:t>
      </w:r>
      <w:r w:rsidR="00EE7C08">
        <w:rPr>
          <w:rFonts w:cs="Times New Roman"/>
        </w:rPr>
        <w:t>1</w:t>
      </w:r>
      <w:r w:rsidRPr="27FF0EBE">
        <w:rPr>
          <w:rFonts w:cs="Times New Roman"/>
        </w:rPr>
        <w:t xml:space="preserve"> and the results listed in Table 2.</w:t>
      </w:r>
    </w:p>
    <w:p w14:paraId="3A9A4C9B" w14:textId="4C799B52" w:rsidR="0031277B" w:rsidRPr="00D550FB" w:rsidRDefault="0031277B" w:rsidP="003D11E3">
      <w:pPr>
        <w:spacing w:after="0" w:line="240" w:lineRule="auto"/>
        <w:jc w:val="both"/>
        <w:rPr>
          <w:rFonts w:cs="Times New Roman"/>
          <w:bCs/>
          <w:color w:val="FF0000"/>
        </w:rPr>
      </w:pPr>
    </w:p>
    <w:p w14:paraId="79D7FD05" w14:textId="77F38017" w:rsidR="0031277B" w:rsidRPr="00965439" w:rsidRDefault="0031277B" w:rsidP="2EB2F12E">
      <w:pPr>
        <w:spacing w:after="0" w:line="240" w:lineRule="auto"/>
        <w:jc w:val="both"/>
        <w:rPr>
          <w:rFonts w:cs="Times New Roman"/>
        </w:rPr>
      </w:pPr>
      <w:r w:rsidRPr="27FF0EBE">
        <w:rPr>
          <w:rFonts w:cs="Times New Roman"/>
        </w:rPr>
        <w:t xml:space="preserve">Across all strengths the results give a root mean square bias of </w:t>
      </w:r>
      <w:commentRangeStart w:id="5"/>
      <w:r w:rsidRPr="27FF0EBE">
        <w:rPr>
          <w:rFonts w:cs="Times New Roman"/>
        </w:rPr>
        <w:t>0.0</w:t>
      </w:r>
      <w:r w:rsidR="00EE7C08">
        <w:rPr>
          <w:rFonts w:cs="Times New Roman"/>
        </w:rPr>
        <w:t>20</w:t>
      </w:r>
      <w:commentRangeEnd w:id="5"/>
      <w:r w:rsidR="001E33FC">
        <w:rPr>
          <w:rStyle w:val="CommentReference"/>
        </w:rPr>
        <w:commentReference w:id="5"/>
      </w:r>
      <w:r w:rsidRPr="27FF0EBE">
        <w:rPr>
          <w:rFonts w:cs="Times New Roman"/>
        </w:rPr>
        <w:t xml:space="preserve">% abv.  </w:t>
      </w:r>
      <w:r w:rsidR="468B4599" w:rsidRPr="27FF0EBE">
        <w:rPr>
          <w:rFonts w:cs="Times New Roman"/>
        </w:rPr>
        <w:t xml:space="preserve">Taking into account </w:t>
      </w:r>
      <w:r w:rsidRPr="27FF0EBE">
        <w:rPr>
          <w:rFonts w:cs="Times New Roman"/>
        </w:rPr>
        <w:t xml:space="preserve">the uncertainties of the certified reference material </w:t>
      </w:r>
      <w:proofErr w:type="gramStart"/>
      <w:r w:rsidRPr="27FF0EBE">
        <w:rPr>
          <w:rFonts w:cs="Times New Roman"/>
        </w:rPr>
        <w:t>gives</w:t>
      </w:r>
      <w:proofErr w:type="gramEnd"/>
      <w:r w:rsidRPr="27FF0EBE">
        <w:rPr>
          <w:rFonts w:cs="Times New Roman"/>
        </w:rPr>
        <w:t xml:space="preserve"> a combined uncertainty arising from the accuracy of the method of </w:t>
      </w:r>
      <w:commentRangeStart w:id="6"/>
      <w:r w:rsidRPr="27FF0EBE">
        <w:rPr>
          <w:rFonts w:cs="Times New Roman"/>
        </w:rPr>
        <w:t>0.02</w:t>
      </w:r>
      <w:r w:rsidR="00EE7C08">
        <w:rPr>
          <w:rFonts w:cs="Times New Roman"/>
        </w:rPr>
        <w:t>9</w:t>
      </w:r>
      <w:commentRangeEnd w:id="6"/>
      <w:r w:rsidR="001E33FC">
        <w:rPr>
          <w:rStyle w:val="CommentReference"/>
        </w:rPr>
        <w:commentReference w:id="6"/>
      </w:r>
      <w:r w:rsidR="00C73BA1">
        <w:rPr>
          <w:rFonts w:cs="Times New Roman"/>
        </w:rPr>
        <w:t>%</w:t>
      </w:r>
      <w:r w:rsidRPr="27FF0EBE">
        <w:rPr>
          <w:rFonts w:cs="Times New Roman"/>
        </w:rPr>
        <w:t xml:space="preserve"> </w:t>
      </w:r>
      <w:commentRangeStart w:id="7"/>
      <w:commentRangeStart w:id="8"/>
      <w:r w:rsidRPr="27FF0EBE">
        <w:rPr>
          <w:rFonts w:cs="Times New Roman"/>
        </w:rPr>
        <w:t>abv.</w:t>
      </w:r>
      <w:commentRangeEnd w:id="7"/>
      <w:r w:rsidR="001E33FC">
        <w:rPr>
          <w:rStyle w:val="CommentReference"/>
        </w:rPr>
        <w:commentReference w:id="7"/>
      </w:r>
      <w:commentRangeEnd w:id="8"/>
      <w:r w:rsidR="001A7AD6">
        <w:rPr>
          <w:rStyle w:val="CommentReference"/>
        </w:rPr>
        <w:commentReference w:id="8"/>
      </w:r>
      <w:r w:rsidRPr="27FF0EBE">
        <w:rPr>
          <w:rFonts w:cs="Times New Roman"/>
        </w:rPr>
        <w:t xml:space="preserve">  This is greater than the values in the uncertainty document </w:t>
      </w:r>
      <w:r w:rsidRPr="27FF0EBE">
        <w:rPr>
          <w:rFonts w:cs="Times New Roman"/>
        </w:rPr>
        <w:lastRenderedPageBreak/>
        <w:t xml:space="preserve">(0.020% abv at 40%).  Combined with the maximum standard deviation from Table 1, this would give a standard uncertainty for the method of </w:t>
      </w:r>
      <w:commentRangeStart w:id="9"/>
      <w:r w:rsidRPr="27FF0EBE">
        <w:rPr>
          <w:rFonts w:cs="Times New Roman"/>
        </w:rPr>
        <w:t>0.0</w:t>
      </w:r>
      <w:r w:rsidR="004C5256">
        <w:rPr>
          <w:rFonts w:cs="Times New Roman"/>
        </w:rPr>
        <w:t>38</w:t>
      </w:r>
      <w:r w:rsidRPr="27FF0EBE">
        <w:rPr>
          <w:rFonts w:cs="Times New Roman"/>
        </w:rPr>
        <w:t xml:space="preserve">% </w:t>
      </w:r>
      <w:commentRangeEnd w:id="9"/>
      <w:r w:rsidR="004C5256">
        <w:rPr>
          <w:rStyle w:val="CommentReference"/>
        </w:rPr>
        <w:commentReference w:id="9"/>
      </w:r>
      <w:r w:rsidRPr="27FF0EBE">
        <w:rPr>
          <w:rFonts w:cs="Times New Roman"/>
        </w:rPr>
        <w:t xml:space="preserve">abv and expanded uncertainty of </w:t>
      </w:r>
      <w:commentRangeStart w:id="10"/>
      <w:r w:rsidRPr="27FF0EBE">
        <w:rPr>
          <w:rFonts w:cs="Times New Roman"/>
        </w:rPr>
        <w:t>0.0</w:t>
      </w:r>
      <w:r w:rsidR="004C5256">
        <w:rPr>
          <w:rFonts w:cs="Times New Roman"/>
        </w:rPr>
        <w:t>75</w:t>
      </w:r>
      <w:commentRangeEnd w:id="10"/>
      <w:r w:rsidR="004C5256">
        <w:rPr>
          <w:rStyle w:val="CommentReference"/>
        </w:rPr>
        <w:commentReference w:id="10"/>
      </w:r>
      <w:r w:rsidRPr="27FF0EBE">
        <w:rPr>
          <w:rFonts w:cs="Times New Roman"/>
        </w:rPr>
        <w:t>%</w:t>
      </w:r>
      <w:r w:rsidR="004C5256">
        <w:rPr>
          <w:rFonts w:cs="Times New Roman"/>
        </w:rPr>
        <w:t xml:space="preserve"> abv</w:t>
      </w:r>
      <w:r w:rsidR="00965439" w:rsidRPr="27FF0EBE">
        <w:rPr>
          <w:rFonts w:cs="Times New Roman"/>
        </w:rPr>
        <w:t>.</w:t>
      </w:r>
    </w:p>
    <w:p w14:paraId="6E12A4E5" w14:textId="77777777" w:rsidR="0031277B" w:rsidRDefault="0031277B" w:rsidP="0031277B">
      <w:pPr>
        <w:spacing w:after="0" w:line="240" w:lineRule="auto"/>
        <w:jc w:val="both"/>
        <w:rPr>
          <w:rFonts w:cs="Times New Roman"/>
          <w:b/>
        </w:rPr>
      </w:pPr>
    </w:p>
    <w:p w14:paraId="29F01164" w14:textId="77777777" w:rsidR="0031277B" w:rsidRDefault="0031277B" w:rsidP="003D11E3">
      <w:pPr>
        <w:spacing w:after="0" w:line="240" w:lineRule="auto"/>
        <w:jc w:val="both"/>
        <w:rPr>
          <w:rFonts w:cs="Times New Roman"/>
          <w:bCs/>
        </w:rPr>
      </w:pPr>
    </w:p>
    <w:p w14:paraId="70486E6E" w14:textId="19DFC3A0" w:rsidR="003C08A7" w:rsidRPr="00CB2CD0" w:rsidRDefault="003C08A7" w:rsidP="003D11E3">
      <w:pPr>
        <w:spacing w:after="0" w:line="240" w:lineRule="auto"/>
        <w:jc w:val="both"/>
        <w:rPr>
          <w:rFonts w:cs="Times New Roman"/>
          <w:bCs/>
        </w:rPr>
      </w:pPr>
      <w:r w:rsidRPr="00CB2CD0">
        <w:rPr>
          <w:rFonts w:cs="Times New Roman"/>
          <w:b/>
        </w:rPr>
        <w:t>Table 2</w:t>
      </w:r>
      <w:r w:rsidR="0031277B" w:rsidRPr="00CB2CD0">
        <w:rPr>
          <w:rFonts w:cs="Times New Roman"/>
          <w:bCs/>
        </w:rPr>
        <w:t xml:space="preserve">: </w:t>
      </w:r>
      <w:r w:rsidR="00C4006B" w:rsidRPr="00CB2CD0">
        <w:rPr>
          <w:rFonts w:cs="Times New Roman"/>
          <w:bCs/>
        </w:rPr>
        <w:tab/>
      </w:r>
      <w:r w:rsidRPr="00CB2CD0">
        <w:rPr>
          <w:rFonts w:cs="Times New Roman"/>
          <w:bCs/>
        </w:rPr>
        <w:t>Summary of the analysis of certified reference materials in 20</w:t>
      </w:r>
      <w:r w:rsidR="00CA19B1">
        <w:rPr>
          <w:rFonts w:cs="Times New Roman"/>
          <w:bCs/>
        </w:rPr>
        <w:t>21</w:t>
      </w:r>
    </w:p>
    <w:p w14:paraId="2BF551C6" w14:textId="77777777" w:rsidR="003C08A7" w:rsidRPr="00D550FB" w:rsidRDefault="003C08A7" w:rsidP="003D11E3">
      <w:pPr>
        <w:spacing w:after="0" w:line="240" w:lineRule="auto"/>
        <w:jc w:val="both"/>
        <w:rPr>
          <w:rFonts w:cs="Times New Roman"/>
          <w:b/>
          <w:color w:val="FF0000"/>
        </w:rPr>
      </w:pP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450"/>
        <w:gridCol w:w="1843"/>
        <w:gridCol w:w="1297"/>
        <w:gridCol w:w="1422"/>
        <w:gridCol w:w="851"/>
      </w:tblGrid>
      <w:tr w:rsidR="0001756D" w:rsidRPr="0001756D" w14:paraId="181C413E" w14:textId="77777777" w:rsidTr="0001756D">
        <w:trPr>
          <w:trHeight w:val="288"/>
          <w:jc w:val="center"/>
        </w:trPr>
        <w:tc>
          <w:tcPr>
            <w:tcW w:w="1380" w:type="dxa"/>
            <w:shd w:val="clear" w:color="auto" w:fill="auto"/>
            <w:noWrap/>
            <w:vAlign w:val="bottom"/>
            <w:hideMark/>
          </w:tcPr>
          <w:p w14:paraId="2C99DEF1" w14:textId="77777777" w:rsidR="0001756D" w:rsidRPr="0001756D" w:rsidRDefault="0001756D" w:rsidP="0001756D">
            <w:pPr>
              <w:spacing w:after="0" w:line="240" w:lineRule="auto"/>
              <w:rPr>
                <w:rFonts w:ascii="Calibri" w:eastAsia="Times New Roman" w:hAnsi="Calibri" w:cs="Calibri"/>
                <w:b/>
                <w:bCs/>
                <w:color w:val="000000"/>
                <w:lang w:eastAsia="en-GB"/>
              </w:rPr>
            </w:pPr>
            <w:r w:rsidRPr="0001756D">
              <w:rPr>
                <w:rFonts w:ascii="Calibri" w:eastAsia="Times New Roman" w:hAnsi="Calibri" w:cs="Calibri"/>
                <w:b/>
                <w:bCs/>
                <w:color w:val="000000"/>
                <w:lang w:eastAsia="en-GB"/>
              </w:rPr>
              <w:t>Date</w:t>
            </w:r>
          </w:p>
        </w:tc>
        <w:tc>
          <w:tcPr>
            <w:tcW w:w="1450" w:type="dxa"/>
            <w:shd w:val="clear" w:color="auto" w:fill="auto"/>
            <w:noWrap/>
            <w:vAlign w:val="bottom"/>
            <w:hideMark/>
          </w:tcPr>
          <w:p w14:paraId="260A85A4" w14:textId="77777777" w:rsidR="0001756D" w:rsidRPr="0001756D" w:rsidRDefault="0001756D" w:rsidP="0001756D">
            <w:pPr>
              <w:spacing w:after="0" w:line="240" w:lineRule="auto"/>
              <w:rPr>
                <w:rFonts w:ascii="Calibri" w:eastAsia="Times New Roman" w:hAnsi="Calibri" w:cs="Calibri"/>
                <w:b/>
                <w:bCs/>
                <w:color w:val="000000"/>
                <w:lang w:eastAsia="en-GB"/>
              </w:rPr>
            </w:pPr>
            <w:r w:rsidRPr="0001756D">
              <w:rPr>
                <w:rFonts w:ascii="Calibri" w:eastAsia="Times New Roman" w:hAnsi="Calibri" w:cs="Calibri"/>
                <w:b/>
                <w:bCs/>
                <w:color w:val="000000"/>
                <w:lang w:eastAsia="en-GB"/>
              </w:rPr>
              <w:t>SWRI ref no.</w:t>
            </w:r>
          </w:p>
        </w:tc>
        <w:tc>
          <w:tcPr>
            <w:tcW w:w="1843" w:type="dxa"/>
            <w:shd w:val="clear" w:color="auto" w:fill="auto"/>
            <w:noWrap/>
            <w:vAlign w:val="bottom"/>
            <w:hideMark/>
          </w:tcPr>
          <w:p w14:paraId="7CB59FFE" w14:textId="77777777" w:rsidR="0001756D" w:rsidRPr="0001756D" w:rsidRDefault="0001756D" w:rsidP="0001756D">
            <w:pPr>
              <w:spacing w:after="0" w:line="240" w:lineRule="auto"/>
              <w:rPr>
                <w:rFonts w:ascii="Calibri" w:eastAsia="Times New Roman" w:hAnsi="Calibri" w:cs="Calibri"/>
                <w:b/>
                <w:bCs/>
                <w:color w:val="000000"/>
                <w:lang w:eastAsia="en-GB"/>
              </w:rPr>
            </w:pPr>
            <w:r w:rsidRPr="0001756D">
              <w:rPr>
                <w:rFonts w:ascii="Calibri" w:eastAsia="Times New Roman" w:hAnsi="Calibri" w:cs="Calibri"/>
                <w:b/>
                <w:bCs/>
                <w:color w:val="000000"/>
                <w:lang w:eastAsia="en-GB"/>
              </w:rPr>
              <w:t>Certified Strength</w:t>
            </w:r>
          </w:p>
        </w:tc>
        <w:tc>
          <w:tcPr>
            <w:tcW w:w="1271" w:type="dxa"/>
            <w:shd w:val="clear" w:color="auto" w:fill="auto"/>
            <w:noWrap/>
            <w:vAlign w:val="bottom"/>
            <w:hideMark/>
          </w:tcPr>
          <w:p w14:paraId="5EC7D50C" w14:textId="77777777" w:rsidR="0001756D" w:rsidRPr="0001756D" w:rsidRDefault="0001756D" w:rsidP="0001756D">
            <w:pPr>
              <w:spacing w:after="0" w:line="240" w:lineRule="auto"/>
              <w:rPr>
                <w:rFonts w:ascii="Calibri" w:eastAsia="Times New Roman" w:hAnsi="Calibri" w:cs="Calibri"/>
                <w:b/>
                <w:bCs/>
                <w:color w:val="000000"/>
                <w:lang w:eastAsia="en-GB"/>
              </w:rPr>
            </w:pPr>
            <w:r w:rsidRPr="0001756D">
              <w:rPr>
                <w:rFonts w:ascii="Calibri" w:eastAsia="Times New Roman" w:hAnsi="Calibri" w:cs="Calibri"/>
                <w:b/>
                <w:bCs/>
                <w:color w:val="000000"/>
                <w:lang w:eastAsia="en-GB"/>
              </w:rPr>
              <w:t>Uncertainty</w:t>
            </w:r>
          </w:p>
        </w:tc>
        <w:tc>
          <w:tcPr>
            <w:tcW w:w="1422" w:type="dxa"/>
            <w:shd w:val="clear" w:color="auto" w:fill="auto"/>
            <w:noWrap/>
            <w:vAlign w:val="bottom"/>
            <w:hideMark/>
          </w:tcPr>
          <w:p w14:paraId="33451E47" w14:textId="77777777" w:rsidR="0001756D" w:rsidRPr="0001756D" w:rsidRDefault="0001756D" w:rsidP="0001756D">
            <w:pPr>
              <w:spacing w:after="0" w:line="240" w:lineRule="auto"/>
              <w:rPr>
                <w:rFonts w:ascii="Calibri" w:eastAsia="Times New Roman" w:hAnsi="Calibri" w:cs="Calibri"/>
                <w:b/>
                <w:bCs/>
                <w:color w:val="000000"/>
                <w:lang w:eastAsia="en-GB"/>
              </w:rPr>
            </w:pPr>
            <w:r w:rsidRPr="0001756D">
              <w:rPr>
                <w:rFonts w:ascii="Calibri" w:eastAsia="Times New Roman" w:hAnsi="Calibri" w:cs="Calibri"/>
                <w:b/>
                <w:bCs/>
                <w:color w:val="000000"/>
                <w:lang w:eastAsia="en-GB"/>
              </w:rPr>
              <w:t>SWRI Result</w:t>
            </w:r>
          </w:p>
        </w:tc>
        <w:tc>
          <w:tcPr>
            <w:tcW w:w="851" w:type="dxa"/>
            <w:shd w:val="clear" w:color="auto" w:fill="auto"/>
            <w:noWrap/>
            <w:vAlign w:val="bottom"/>
            <w:hideMark/>
          </w:tcPr>
          <w:p w14:paraId="7DA7595D" w14:textId="77777777" w:rsidR="0001756D" w:rsidRPr="0001756D" w:rsidRDefault="0001756D" w:rsidP="0001756D">
            <w:pPr>
              <w:spacing w:after="0" w:line="240" w:lineRule="auto"/>
              <w:rPr>
                <w:rFonts w:ascii="Calibri" w:eastAsia="Times New Roman" w:hAnsi="Calibri" w:cs="Calibri"/>
                <w:b/>
                <w:bCs/>
                <w:color w:val="000000"/>
                <w:lang w:eastAsia="en-GB"/>
              </w:rPr>
            </w:pPr>
            <w:r w:rsidRPr="0001756D">
              <w:rPr>
                <w:rFonts w:ascii="Calibri" w:eastAsia="Times New Roman" w:hAnsi="Calibri" w:cs="Calibri"/>
                <w:b/>
                <w:bCs/>
                <w:color w:val="000000"/>
                <w:lang w:eastAsia="en-GB"/>
              </w:rPr>
              <w:t>Bias</w:t>
            </w:r>
          </w:p>
        </w:tc>
      </w:tr>
      <w:tr w:rsidR="0001756D" w:rsidRPr="0001756D" w14:paraId="2181DFAB" w14:textId="77777777" w:rsidTr="0001756D">
        <w:trPr>
          <w:trHeight w:val="288"/>
          <w:jc w:val="center"/>
        </w:trPr>
        <w:tc>
          <w:tcPr>
            <w:tcW w:w="1380" w:type="dxa"/>
            <w:shd w:val="clear" w:color="auto" w:fill="auto"/>
            <w:noWrap/>
            <w:vAlign w:val="bottom"/>
            <w:hideMark/>
          </w:tcPr>
          <w:p w14:paraId="0EFFB620"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15/03/2021</w:t>
            </w:r>
          </w:p>
        </w:tc>
        <w:tc>
          <w:tcPr>
            <w:tcW w:w="1450" w:type="dxa"/>
            <w:shd w:val="clear" w:color="auto" w:fill="auto"/>
            <w:noWrap/>
            <w:vAlign w:val="bottom"/>
            <w:hideMark/>
          </w:tcPr>
          <w:p w14:paraId="02FAB1DC" w14:textId="77777777" w:rsidR="0001756D" w:rsidRPr="0001756D" w:rsidRDefault="0001756D" w:rsidP="0001756D">
            <w:pPr>
              <w:spacing w:after="0" w:line="240" w:lineRule="auto"/>
              <w:rPr>
                <w:rFonts w:ascii="Calibri" w:eastAsia="Times New Roman" w:hAnsi="Calibri" w:cs="Calibri"/>
                <w:color w:val="000000"/>
                <w:lang w:eastAsia="en-GB"/>
              </w:rPr>
            </w:pPr>
            <w:r w:rsidRPr="0001756D">
              <w:rPr>
                <w:rFonts w:ascii="Calibri" w:eastAsia="Times New Roman" w:hAnsi="Calibri" w:cs="Calibri"/>
                <w:color w:val="000000"/>
                <w:lang w:eastAsia="en-GB"/>
              </w:rPr>
              <w:t>C-7235</w:t>
            </w:r>
          </w:p>
        </w:tc>
        <w:tc>
          <w:tcPr>
            <w:tcW w:w="1843" w:type="dxa"/>
            <w:shd w:val="clear" w:color="auto" w:fill="auto"/>
            <w:noWrap/>
            <w:vAlign w:val="bottom"/>
            <w:hideMark/>
          </w:tcPr>
          <w:p w14:paraId="6685FC4B"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5.00</w:t>
            </w:r>
          </w:p>
        </w:tc>
        <w:tc>
          <w:tcPr>
            <w:tcW w:w="1271" w:type="dxa"/>
            <w:shd w:val="clear" w:color="auto" w:fill="auto"/>
            <w:noWrap/>
            <w:vAlign w:val="bottom"/>
            <w:hideMark/>
          </w:tcPr>
          <w:p w14:paraId="3D2CAC01"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0.03</w:t>
            </w:r>
          </w:p>
        </w:tc>
        <w:tc>
          <w:tcPr>
            <w:tcW w:w="1422" w:type="dxa"/>
            <w:shd w:val="clear" w:color="auto" w:fill="auto"/>
            <w:noWrap/>
            <w:vAlign w:val="bottom"/>
            <w:hideMark/>
          </w:tcPr>
          <w:p w14:paraId="75CF7C46"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4.99</w:t>
            </w:r>
          </w:p>
        </w:tc>
        <w:tc>
          <w:tcPr>
            <w:tcW w:w="851" w:type="dxa"/>
            <w:shd w:val="clear" w:color="auto" w:fill="auto"/>
            <w:noWrap/>
            <w:vAlign w:val="bottom"/>
            <w:hideMark/>
          </w:tcPr>
          <w:p w14:paraId="33DF886F"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-0.01</w:t>
            </w:r>
          </w:p>
        </w:tc>
      </w:tr>
      <w:tr w:rsidR="0001756D" w:rsidRPr="0001756D" w14:paraId="66545377" w14:textId="77777777" w:rsidTr="0001756D">
        <w:trPr>
          <w:trHeight w:val="288"/>
          <w:jc w:val="center"/>
        </w:trPr>
        <w:tc>
          <w:tcPr>
            <w:tcW w:w="1380" w:type="dxa"/>
            <w:shd w:val="clear" w:color="auto" w:fill="auto"/>
            <w:noWrap/>
            <w:vAlign w:val="bottom"/>
            <w:hideMark/>
          </w:tcPr>
          <w:p w14:paraId="0E6E78B1"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02/07/2021</w:t>
            </w:r>
          </w:p>
        </w:tc>
        <w:tc>
          <w:tcPr>
            <w:tcW w:w="1450" w:type="dxa"/>
            <w:shd w:val="clear" w:color="auto" w:fill="auto"/>
            <w:noWrap/>
            <w:vAlign w:val="bottom"/>
            <w:hideMark/>
          </w:tcPr>
          <w:p w14:paraId="3F18E269" w14:textId="77777777" w:rsidR="0001756D" w:rsidRPr="0001756D" w:rsidRDefault="0001756D" w:rsidP="0001756D">
            <w:pPr>
              <w:spacing w:after="0" w:line="240" w:lineRule="auto"/>
              <w:rPr>
                <w:rFonts w:ascii="Calibri" w:eastAsia="Times New Roman" w:hAnsi="Calibri" w:cs="Calibri"/>
                <w:color w:val="000000"/>
                <w:lang w:eastAsia="en-GB"/>
              </w:rPr>
            </w:pPr>
            <w:r w:rsidRPr="0001756D">
              <w:rPr>
                <w:rFonts w:ascii="Calibri" w:eastAsia="Times New Roman" w:hAnsi="Calibri" w:cs="Calibri"/>
                <w:color w:val="000000"/>
                <w:lang w:eastAsia="en-GB"/>
              </w:rPr>
              <w:t>C-7236/7</w:t>
            </w:r>
          </w:p>
        </w:tc>
        <w:tc>
          <w:tcPr>
            <w:tcW w:w="1843" w:type="dxa"/>
            <w:shd w:val="clear" w:color="auto" w:fill="auto"/>
            <w:noWrap/>
            <w:vAlign w:val="bottom"/>
            <w:hideMark/>
          </w:tcPr>
          <w:p w14:paraId="38B2B441"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5.00</w:t>
            </w:r>
          </w:p>
        </w:tc>
        <w:tc>
          <w:tcPr>
            <w:tcW w:w="1271" w:type="dxa"/>
            <w:shd w:val="clear" w:color="auto" w:fill="auto"/>
            <w:noWrap/>
            <w:vAlign w:val="bottom"/>
            <w:hideMark/>
          </w:tcPr>
          <w:p w14:paraId="3ABA00D9"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0.03</w:t>
            </w:r>
          </w:p>
        </w:tc>
        <w:tc>
          <w:tcPr>
            <w:tcW w:w="1422" w:type="dxa"/>
            <w:shd w:val="clear" w:color="auto" w:fill="auto"/>
            <w:noWrap/>
            <w:vAlign w:val="bottom"/>
            <w:hideMark/>
          </w:tcPr>
          <w:p w14:paraId="0CBF5981"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4.99</w:t>
            </w:r>
          </w:p>
        </w:tc>
        <w:tc>
          <w:tcPr>
            <w:tcW w:w="851" w:type="dxa"/>
            <w:shd w:val="clear" w:color="auto" w:fill="auto"/>
            <w:noWrap/>
            <w:vAlign w:val="bottom"/>
            <w:hideMark/>
          </w:tcPr>
          <w:p w14:paraId="23D96715"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-0.01</w:t>
            </w:r>
          </w:p>
        </w:tc>
      </w:tr>
      <w:tr w:rsidR="0001756D" w:rsidRPr="0001756D" w14:paraId="3BEE71BA" w14:textId="77777777" w:rsidTr="0001756D">
        <w:trPr>
          <w:trHeight w:val="288"/>
          <w:jc w:val="center"/>
        </w:trPr>
        <w:tc>
          <w:tcPr>
            <w:tcW w:w="1380" w:type="dxa"/>
            <w:shd w:val="clear" w:color="auto" w:fill="auto"/>
            <w:noWrap/>
            <w:vAlign w:val="bottom"/>
            <w:hideMark/>
          </w:tcPr>
          <w:p w14:paraId="4C12D6F8"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15/03/2021</w:t>
            </w:r>
          </w:p>
        </w:tc>
        <w:tc>
          <w:tcPr>
            <w:tcW w:w="1450" w:type="dxa"/>
            <w:shd w:val="clear" w:color="auto" w:fill="auto"/>
            <w:noWrap/>
            <w:vAlign w:val="bottom"/>
            <w:hideMark/>
          </w:tcPr>
          <w:p w14:paraId="09CDC0AA" w14:textId="77777777" w:rsidR="0001756D" w:rsidRPr="0001756D" w:rsidRDefault="0001756D" w:rsidP="0001756D">
            <w:pPr>
              <w:spacing w:after="0" w:line="240" w:lineRule="auto"/>
              <w:rPr>
                <w:rFonts w:ascii="Calibri" w:eastAsia="Times New Roman" w:hAnsi="Calibri" w:cs="Calibri"/>
                <w:color w:val="000000"/>
                <w:lang w:eastAsia="en-GB"/>
              </w:rPr>
            </w:pPr>
            <w:r w:rsidRPr="0001756D">
              <w:rPr>
                <w:rFonts w:ascii="Calibri" w:eastAsia="Times New Roman" w:hAnsi="Calibri" w:cs="Calibri"/>
                <w:color w:val="000000"/>
                <w:lang w:eastAsia="en-GB"/>
              </w:rPr>
              <w:t>C-7215</w:t>
            </w:r>
          </w:p>
        </w:tc>
        <w:tc>
          <w:tcPr>
            <w:tcW w:w="1843" w:type="dxa"/>
            <w:shd w:val="clear" w:color="auto" w:fill="auto"/>
            <w:noWrap/>
            <w:vAlign w:val="bottom"/>
            <w:hideMark/>
          </w:tcPr>
          <w:p w14:paraId="3564E1B2"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15.00</w:t>
            </w:r>
          </w:p>
        </w:tc>
        <w:tc>
          <w:tcPr>
            <w:tcW w:w="1271" w:type="dxa"/>
            <w:shd w:val="clear" w:color="auto" w:fill="auto"/>
            <w:noWrap/>
            <w:vAlign w:val="bottom"/>
            <w:hideMark/>
          </w:tcPr>
          <w:p w14:paraId="7A333C62"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0.04</w:t>
            </w:r>
          </w:p>
        </w:tc>
        <w:tc>
          <w:tcPr>
            <w:tcW w:w="1422" w:type="dxa"/>
            <w:shd w:val="clear" w:color="auto" w:fill="auto"/>
            <w:noWrap/>
            <w:vAlign w:val="bottom"/>
            <w:hideMark/>
          </w:tcPr>
          <w:p w14:paraId="1AA069D3"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14.97</w:t>
            </w:r>
          </w:p>
        </w:tc>
        <w:tc>
          <w:tcPr>
            <w:tcW w:w="851" w:type="dxa"/>
            <w:shd w:val="clear" w:color="auto" w:fill="auto"/>
            <w:noWrap/>
            <w:vAlign w:val="bottom"/>
            <w:hideMark/>
          </w:tcPr>
          <w:p w14:paraId="17087EA0"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-0.03</w:t>
            </w:r>
          </w:p>
        </w:tc>
      </w:tr>
      <w:tr w:rsidR="0001756D" w:rsidRPr="0001756D" w14:paraId="6E37060D" w14:textId="77777777" w:rsidTr="0001756D">
        <w:trPr>
          <w:trHeight w:val="288"/>
          <w:jc w:val="center"/>
        </w:trPr>
        <w:tc>
          <w:tcPr>
            <w:tcW w:w="1380" w:type="dxa"/>
            <w:shd w:val="clear" w:color="auto" w:fill="auto"/>
            <w:noWrap/>
            <w:vAlign w:val="bottom"/>
            <w:hideMark/>
          </w:tcPr>
          <w:p w14:paraId="458DCFDA"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02/07/2021</w:t>
            </w:r>
          </w:p>
        </w:tc>
        <w:tc>
          <w:tcPr>
            <w:tcW w:w="1450" w:type="dxa"/>
            <w:shd w:val="clear" w:color="auto" w:fill="auto"/>
            <w:noWrap/>
            <w:vAlign w:val="bottom"/>
            <w:hideMark/>
          </w:tcPr>
          <w:p w14:paraId="6C6BAB85" w14:textId="77777777" w:rsidR="0001756D" w:rsidRPr="0001756D" w:rsidRDefault="0001756D" w:rsidP="0001756D">
            <w:pPr>
              <w:spacing w:after="0" w:line="240" w:lineRule="auto"/>
              <w:rPr>
                <w:rFonts w:ascii="Calibri" w:eastAsia="Times New Roman" w:hAnsi="Calibri" w:cs="Calibri"/>
                <w:color w:val="000000"/>
                <w:lang w:eastAsia="en-GB"/>
              </w:rPr>
            </w:pPr>
            <w:r w:rsidRPr="0001756D">
              <w:rPr>
                <w:rFonts w:ascii="Calibri" w:eastAsia="Times New Roman" w:hAnsi="Calibri" w:cs="Calibri"/>
                <w:color w:val="000000"/>
                <w:lang w:eastAsia="en-GB"/>
              </w:rPr>
              <w:t>C-7216/7</w:t>
            </w:r>
          </w:p>
        </w:tc>
        <w:tc>
          <w:tcPr>
            <w:tcW w:w="1843" w:type="dxa"/>
            <w:shd w:val="clear" w:color="auto" w:fill="auto"/>
            <w:noWrap/>
            <w:vAlign w:val="bottom"/>
            <w:hideMark/>
          </w:tcPr>
          <w:p w14:paraId="799FF889"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15.00</w:t>
            </w:r>
          </w:p>
        </w:tc>
        <w:tc>
          <w:tcPr>
            <w:tcW w:w="1271" w:type="dxa"/>
            <w:shd w:val="clear" w:color="auto" w:fill="auto"/>
            <w:noWrap/>
            <w:vAlign w:val="bottom"/>
            <w:hideMark/>
          </w:tcPr>
          <w:p w14:paraId="090E9D47"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0.04</w:t>
            </w:r>
          </w:p>
        </w:tc>
        <w:tc>
          <w:tcPr>
            <w:tcW w:w="1422" w:type="dxa"/>
            <w:shd w:val="clear" w:color="auto" w:fill="auto"/>
            <w:noWrap/>
            <w:vAlign w:val="bottom"/>
            <w:hideMark/>
          </w:tcPr>
          <w:p w14:paraId="10B469DD"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14.98</w:t>
            </w:r>
          </w:p>
        </w:tc>
        <w:tc>
          <w:tcPr>
            <w:tcW w:w="851" w:type="dxa"/>
            <w:shd w:val="clear" w:color="auto" w:fill="auto"/>
            <w:noWrap/>
            <w:vAlign w:val="bottom"/>
            <w:hideMark/>
          </w:tcPr>
          <w:p w14:paraId="744DF82F"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-0.02</w:t>
            </w:r>
          </w:p>
        </w:tc>
      </w:tr>
      <w:tr w:rsidR="0001756D" w:rsidRPr="0001756D" w14:paraId="54728E48" w14:textId="77777777" w:rsidTr="0001756D">
        <w:trPr>
          <w:trHeight w:val="288"/>
          <w:jc w:val="center"/>
        </w:trPr>
        <w:tc>
          <w:tcPr>
            <w:tcW w:w="1380" w:type="dxa"/>
            <w:shd w:val="clear" w:color="auto" w:fill="auto"/>
            <w:noWrap/>
            <w:vAlign w:val="bottom"/>
            <w:hideMark/>
          </w:tcPr>
          <w:p w14:paraId="4FF01EFA"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14/01/2021</w:t>
            </w:r>
          </w:p>
        </w:tc>
        <w:tc>
          <w:tcPr>
            <w:tcW w:w="1450" w:type="dxa"/>
            <w:shd w:val="clear" w:color="auto" w:fill="auto"/>
            <w:noWrap/>
            <w:vAlign w:val="bottom"/>
            <w:hideMark/>
          </w:tcPr>
          <w:p w14:paraId="49E13935" w14:textId="77777777" w:rsidR="0001756D" w:rsidRPr="0001756D" w:rsidRDefault="0001756D" w:rsidP="0001756D">
            <w:pPr>
              <w:spacing w:after="0" w:line="240" w:lineRule="auto"/>
              <w:rPr>
                <w:rFonts w:ascii="Calibri" w:eastAsia="Times New Roman" w:hAnsi="Calibri" w:cs="Calibri"/>
                <w:color w:val="000000"/>
                <w:lang w:eastAsia="en-GB"/>
              </w:rPr>
            </w:pPr>
            <w:r w:rsidRPr="0001756D">
              <w:rPr>
                <w:rFonts w:ascii="Calibri" w:eastAsia="Times New Roman" w:hAnsi="Calibri" w:cs="Calibri"/>
                <w:color w:val="000000"/>
                <w:lang w:eastAsia="en-GB"/>
              </w:rPr>
              <w:t>C-7224</w:t>
            </w:r>
          </w:p>
        </w:tc>
        <w:tc>
          <w:tcPr>
            <w:tcW w:w="1843" w:type="dxa"/>
            <w:shd w:val="clear" w:color="auto" w:fill="auto"/>
            <w:noWrap/>
            <w:vAlign w:val="bottom"/>
            <w:hideMark/>
          </w:tcPr>
          <w:p w14:paraId="605C7EAB"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40.04</w:t>
            </w:r>
          </w:p>
        </w:tc>
        <w:tc>
          <w:tcPr>
            <w:tcW w:w="1271" w:type="dxa"/>
            <w:shd w:val="clear" w:color="auto" w:fill="auto"/>
            <w:noWrap/>
            <w:vAlign w:val="bottom"/>
            <w:hideMark/>
          </w:tcPr>
          <w:p w14:paraId="57744CD9"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0.04</w:t>
            </w:r>
          </w:p>
        </w:tc>
        <w:tc>
          <w:tcPr>
            <w:tcW w:w="1422" w:type="dxa"/>
            <w:shd w:val="clear" w:color="auto" w:fill="auto"/>
            <w:noWrap/>
            <w:vAlign w:val="bottom"/>
            <w:hideMark/>
          </w:tcPr>
          <w:p w14:paraId="23B4FBCC"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40.039</w:t>
            </w:r>
          </w:p>
        </w:tc>
        <w:tc>
          <w:tcPr>
            <w:tcW w:w="851" w:type="dxa"/>
            <w:shd w:val="clear" w:color="auto" w:fill="auto"/>
            <w:noWrap/>
            <w:vAlign w:val="bottom"/>
            <w:hideMark/>
          </w:tcPr>
          <w:p w14:paraId="712C8837"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-0.001</w:t>
            </w:r>
          </w:p>
        </w:tc>
      </w:tr>
      <w:tr w:rsidR="0001756D" w:rsidRPr="0001756D" w14:paraId="3E97D5CB" w14:textId="77777777" w:rsidTr="0001756D">
        <w:trPr>
          <w:trHeight w:val="288"/>
          <w:jc w:val="center"/>
        </w:trPr>
        <w:tc>
          <w:tcPr>
            <w:tcW w:w="1380" w:type="dxa"/>
            <w:shd w:val="clear" w:color="auto" w:fill="auto"/>
            <w:noWrap/>
            <w:vAlign w:val="bottom"/>
            <w:hideMark/>
          </w:tcPr>
          <w:p w14:paraId="49C93400"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15/03/2021</w:t>
            </w:r>
          </w:p>
        </w:tc>
        <w:tc>
          <w:tcPr>
            <w:tcW w:w="1450" w:type="dxa"/>
            <w:shd w:val="clear" w:color="auto" w:fill="auto"/>
            <w:noWrap/>
            <w:vAlign w:val="bottom"/>
            <w:hideMark/>
          </w:tcPr>
          <w:p w14:paraId="46DCC7A8" w14:textId="77777777" w:rsidR="0001756D" w:rsidRPr="0001756D" w:rsidRDefault="0001756D" w:rsidP="0001756D">
            <w:pPr>
              <w:spacing w:after="0" w:line="240" w:lineRule="auto"/>
              <w:rPr>
                <w:rFonts w:ascii="Calibri" w:eastAsia="Times New Roman" w:hAnsi="Calibri" w:cs="Calibri"/>
                <w:color w:val="000000"/>
                <w:lang w:eastAsia="en-GB"/>
              </w:rPr>
            </w:pPr>
            <w:r w:rsidRPr="0001756D">
              <w:rPr>
                <w:rFonts w:ascii="Calibri" w:eastAsia="Times New Roman" w:hAnsi="Calibri" w:cs="Calibri"/>
                <w:color w:val="000000"/>
                <w:lang w:eastAsia="en-GB"/>
              </w:rPr>
              <w:t>C-7225</w:t>
            </w:r>
          </w:p>
        </w:tc>
        <w:tc>
          <w:tcPr>
            <w:tcW w:w="1843" w:type="dxa"/>
            <w:shd w:val="clear" w:color="auto" w:fill="auto"/>
            <w:noWrap/>
            <w:vAlign w:val="bottom"/>
            <w:hideMark/>
          </w:tcPr>
          <w:p w14:paraId="1EE441D7"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40.00</w:t>
            </w:r>
          </w:p>
        </w:tc>
        <w:tc>
          <w:tcPr>
            <w:tcW w:w="1271" w:type="dxa"/>
            <w:shd w:val="clear" w:color="auto" w:fill="auto"/>
            <w:noWrap/>
            <w:vAlign w:val="bottom"/>
            <w:hideMark/>
          </w:tcPr>
          <w:p w14:paraId="35BE855C"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0.06</w:t>
            </w:r>
          </w:p>
        </w:tc>
        <w:tc>
          <w:tcPr>
            <w:tcW w:w="1422" w:type="dxa"/>
            <w:shd w:val="clear" w:color="auto" w:fill="auto"/>
            <w:noWrap/>
            <w:vAlign w:val="bottom"/>
            <w:hideMark/>
          </w:tcPr>
          <w:p w14:paraId="690EF35C"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40.05</w:t>
            </w:r>
          </w:p>
        </w:tc>
        <w:tc>
          <w:tcPr>
            <w:tcW w:w="851" w:type="dxa"/>
            <w:shd w:val="clear" w:color="auto" w:fill="auto"/>
            <w:noWrap/>
            <w:vAlign w:val="bottom"/>
            <w:hideMark/>
          </w:tcPr>
          <w:p w14:paraId="7D9B018F"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0.05</w:t>
            </w:r>
          </w:p>
        </w:tc>
      </w:tr>
      <w:tr w:rsidR="0001756D" w:rsidRPr="0001756D" w14:paraId="445B8BD7" w14:textId="77777777" w:rsidTr="0001756D">
        <w:trPr>
          <w:trHeight w:val="288"/>
          <w:jc w:val="center"/>
        </w:trPr>
        <w:tc>
          <w:tcPr>
            <w:tcW w:w="1380" w:type="dxa"/>
            <w:shd w:val="clear" w:color="auto" w:fill="auto"/>
            <w:noWrap/>
            <w:vAlign w:val="bottom"/>
            <w:hideMark/>
          </w:tcPr>
          <w:p w14:paraId="61F1968C"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04/06/2021</w:t>
            </w:r>
          </w:p>
        </w:tc>
        <w:tc>
          <w:tcPr>
            <w:tcW w:w="1450" w:type="dxa"/>
            <w:shd w:val="clear" w:color="auto" w:fill="auto"/>
            <w:noWrap/>
            <w:vAlign w:val="bottom"/>
            <w:hideMark/>
          </w:tcPr>
          <w:p w14:paraId="0C2975D8" w14:textId="77777777" w:rsidR="0001756D" w:rsidRPr="0001756D" w:rsidRDefault="0001756D" w:rsidP="0001756D">
            <w:pPr>
              <w:spacing w:after="0" w:line="240" w:lineRule="auto"/>
              <w:rPr>
                <w:rFonts w:ascii="Calibri" w:eastAsia="Times New Roman" w:hAnsi="Calibri" w:cs="Calibri"/>
                <w:color w:val="000000"/>
                <w:lang w:eastAsia="en-GB"/>
              </w:rPr>
            </w:pPr>
            <w:r w:rsidRPr="0001756D">
              <w:rPr>
                <w:rFonts w:ascii="Calibri" w:eastAsia="Times New Roman" w:hAnsi="Calibri" w:cs="Calibri"/>
                <w:color w:val="000000"/>
                <w:lang w:eastAsia="en-GB"/>
              </w:rPr>
              <w:t>C-7630</w:t>
            </w:r>
          </w:p>
        </w:tc>
        <w:tc>
          <w:tcPr>
            <w:tcW w:w="1843" w:type="dxa"/>
            <w:shd w:val="clear" w:color="auto" w:fill="auto"/>
            <w:noWrap/>
            <w:vAlign w:val="bottom"/>
            <w:hideMark/>
          </w:tcPr>
          <w:p w14:paraId="2D9A920C"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40.04</w:t>
            </w:r>
          </w:p>
        </w:tc>
        <w:tc>
          <w:tcPr>
            <w:tcW w:w="1271" w:type="dxa"/>
            <w:shd w:val="clear" w:color="auto" w:fill="auto"/>
            <w:noWrap/>
            <w:vAlign w:val="bottom"/>
            <w:hideMark/>
          </w:tcPr>
          <w:p w14:paraId="1DE1A124"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0.04</w:t>
            </w:r>
          </w:p>
        </w:tc>
        <w:tc>
          <w:tcPr>
            <w:tcW w:w="1422" w:type="dxa"/>
            <w:shd w:val="clear" w:color="auto" w:fill="auto"/>
            <w:noWrap/>
            <w:vAlign w:val="bottom"/>
            <w:hideMark/>
          </w:tcPr>
          <w:p w14:paraId="73EFA031"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40.05</w:t>
            </w:r>
          </w:p>
        </w:tc>
        <w:tc>
          <w:tcPr>
            <w:tcW w:w="851" w:type="dxa"/>
            <w:shd w:val="clear" w:color="auto" w:fill="auto"/>
            <w:noWrap/>
            <w:vAlign w:val="bottom"/>
            <w:hideMark/>
          </w:tcPr>
          <w:p w14:paraId="4AE167E5"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0.01</w:t>
            </w:r>
          </w:p>
        </w:tc>
      </w:tr>
      <w:tr w:rsidR="0001756D" w:rsidRPr="0001756D" w14:paraId="2623E2E3" w14:textId="77777777" w:rsidTr="0001756D">
        <w:trPr>
          <w:trHeight w:val="288"/>
          <w:jc w:val="center"/>
        </w:trPr>
        <w:tc>
          <w:tcPr>
            <w:tcW w:w="1380" w:type="dxa"/>
            <w:shd w:val="clear" w:color="auto" w:fill="auto"/>
            <w:noWrap/>
            <w:vAlign w:val="bottom"/>
            <w:hideMark/>
          </w:tcPr>
          <w:p w14:paraId="0710942C"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02/07/2021</w:t>
            </w:r>
          </w:p>
        </w:tc>
        <w:tc>
          <w:tcPr>
            <w:tcW w:w="1450" w:type="dxa"/>
            <w:shd w:val="clear" w:color="auto" w:fill="auto"/>
            <w:noWrap/>
            <w:vAlign w:val="bottom"/>
            <w:hideMark/>
          </w:tcPr>
          <w:p w14:paraId="22110007" w14:textId="77777777" w:rsidR="0001756D" w:rsidRPr="0001756D" w:rsidRDefault="0001756D" w:rsidP="0001756D">
            <w:pPr>
              <w:spacing w:after="0" w:line="240" w:lineRule="auto"/>
              <w:rPr>
                <w:rFonts w:ascii="Calibri" w:eastAsia="Times New Roman" w:hAnsi="Calibri" w:cs="Calibri"/>
                <w:color w:val="000000"/>
                <w:lang w:eastAsia="en-GB"/>
              </w:rPr>
            </w:pPr>
            <w:r w:rsidRPr="0001756D">
              <w:rPr>
                <w:rFonts w:ascii="Calibri" w:eastAsia="Times New Roman" w:hAnsi="Calibri" w:cs="Calibri"/>
                <w:color w:val="000000"/>
                <w:lang w:eastAsia="en-GB"/>
              </w:rPr>
              <w:t>C-7629</w:t>
            </w:r>
          </w:p>
        </w:tc>
        <w:tc>
          <w:tcPr>
            <w:tcW w:w="1843" w:type="dxa"/>
            <w:shd w:val="clear" w:color="auto" w:fill="auto"/>
            <w:noWrap/>
            <w:vAlign w:val="bottom"/>
            <w:hideMark/>
          </w:tcPr>
          <w:p w14:paraId="013ACE2F"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40.04</w:t>
            </w:r>
          </w:p>
        </w:tc>
        <w:tc>
          <w:tcPr>
            <w:tcW w:w="1271" w:type="dxa"/>
            <w:shd w:val="clear" w:color="auto" w:fill="auto"/>
            <w:noWrap/>
            <w:vAlign w:val="bottom"/>
            <w:hideMark/>
          </w:tcPr>
          <w:p w14:paraId="4804990C"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0.04</w:t>
            </w:r>
          </w:p>
        </w:tc>
        <w:tc>
          <w:tcPr>
            <w:tcW w:w="1422" w:type="dxa"/>
            <w:shd w:val="clear" w:color="auto" w:fill="auto"/>
            <w:noWrap/>
            <w:vAlign w:val="bottom"/>
            <w:hideMark/>
          </w:tcPr>
          <w:p w14:paraId="73702F22"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40.03</w:t>
            </w:r>
          </w:p>
        </w:tc>
        <w:tc>
          <w:tcPr>
            <w:tcW w:w="851" w:type="dxa"/>
            <w:shd w:val="clear" w:color="auto" w:fill="auto"/>
            <w:noWrap/>
            <w:vAlign w:val="bottom"/>
            <w:hideMark/>
          </w:tcPr>
          <w:p w14:paraId="31CD257C"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-0.01</w:t>
            </w:r>
          </w:p>
        </w:tc>
      </w:tr>
      <w:tr w:rsidR="0001756D" w:rsidRPr="0001756D" w14:paraId="13F15CB2" w14:textId="77777777" w:rsidTr="0001756D">
        <w:trPr>
          <w:trHeight w:val="288"/>
          <w:jc w:val="center"/>
        </w:trPr>
        <w:tc>
          <w:tcPr>
            <w:tcW w:w="1380" w:type="dxa"/>
            <w:shd w:val="clear" w:color="auto" w:fill="auto"/>
            <w:noWrap/>
            <w:vAlign w:val="bottom"/>
            <w:hideMark/>
          </w:tcPr>
          <w:p w14:paraId="49C3D3F7"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12/07/2021</w:t>
            </w:r>
          </w:p>
        </w:tc>
        <w:tc>
          <w:tcPr>
            <w:tcW w:w="1450" w:type="dxa"/>
            <w:shd w:val="clear" w:color="auto" w:fill="auto"/>
            <w:noWrap/>
            <w:vAlign w:val="bottom"/>
            <w:hideMark/>
          </w:tcPr>
          <w:p w14:paraId="78A778BA" w14:textId="77777777" w:rsidR="0001756D" w:rsidRPr="0001756D" w:rsidRDefault="0001756D" w:rsidP="0001756D">
            <w:pPr>
              <w:spacing w:after="0" w:line="240" w:lineRule="auto"/>
              <w:rPr>
                <w:rFonts w:ascii="Calibri" w:eastAsia="Times New Roman" w:hAnsi="Calibri" w:cs="Calibri"/>
                <w:color w:val="000000"/>
                <w:lang w:eastAsia="en-GB"/>
              </w:rPr>
            </w:pPr>
            <w:r w:rsidRPr="0001756D">
              <w:rPr>
                <w:rFonts w:ascii="Calibri" w:eastAsia="Times New Roman" w:hAnsi="Calibri" w:cs="Calibri"/>
                <w:color w:val="000000"/>
                <w:lang w:eastAsia="en-GB"/>
              </w:rPr>
              <w:t>C-7628</w:t>
            </w:r>
          </w:p>
        </w:tc>
        <w:tc>
          <w:tcPr>
            <w:tcW w:w="1843" w:type="dxa"/>
            <w:shd w:val="clear" w:color="auto" w:fill="auto"/>
            <w:noWrap/>
            <w:vAlign w:val="bottom"/>
            <w:hideMark/>
          </w:tcPr>
          <w:p w14:paraId="4BCF7B25"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40.04</w:t>
            </w:r>
          </w:p>
        </w:tc>
        <w:tc>
          <w:tcPr>
            <w:tcW w:w="1271" w:type="dxa"/>
            <w:shd w:val="clear" w:color="auto" w:fill="auto"/>
            <w:noWrap/>
            <w:vAlign w:val="bottom"/>
            <w:hideMark/>
          </w:tcPr>
          <w:p w14:paraId="71B412C7"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0.04</w:t>
            </w:r>
          </w:p>
        </w:tc>
        <w:tc>
          <w:tcPr>
            <w:tcW w:w="1422" w:type="dxa"/>
            <w:shd w:val="clear" w:color="auto" w:fill="auto"/>
            <w:noWrap/>
            <w:vAlign w:val="bottom"/>
            <w:hideMark/>
          </w:tcPr>
          <w:p w14:paraId="2441626B"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40.05</w:t>
            </w:r>
          </w:p>
        </w:tc>
        <w:tc>
          <w:tcPr>
            <w:tcW w:w="851" w:type="dxa"/>
            <w:shd w:val="clear" w:color="auto" w:fill="auto"/>
            <w:noWrap/>
            <w:vAlign w:val="bottom"/>
            <w:hideMark/>
          </w:tcPr>
          <w:p w14:paraId="7B695BBD"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0.01</w:t>
            </w:r>
          </w:p>
        </w:tc>
      </w:tr>
      <w:tr w:rsidR="0001756D" w:rsidRPr="0001756D" w14:paraId="08604C27" w14:textId="77777777" w:rsidTr="0001756D">
        <w:trPr>
          <w:trHeight w:val="288"/>
          <w:jc w:val="center"/>
        </w:trPr>
        <w:tc>
          <w:tcPr>
            <w:tcW w:w="1380" w:type="dxa"/>
            <w:shd w:val="clear" w:color="auto" w:fill="auto"/>
            <w:noWrap/>
            <w:vAlign w:val="bottom"/>
            <w:hideMark/>
          </w:tcPr>
          <w:p w14:paraId="2D7DD608"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07/10/2021</w:t>
            </w:r>
          </w:p>
        </w:tc>
        <w:tc>
          <w:tcPr>
            <w:tcW w:w="1450" w:type="dxa"/>
            <w:shd w:val="clear" w:color="auto" w:fill="auto"/>
            <w:noWrap/>
            <w:vAlign w:val="bottom"/>
            <w:hideMark/>
          </w:tcPr>
          <w:p w14:paraId="4F88C1AE" w14:textId="77777777" w:rsidR="0001756D" w:rsidRPr="0001756D" w:rsidRDefault="0001756D" w:rsidP="0001756D">
            <w:pPr>
              <w:spacing w:after="0" w:line="240" w:lineRule="auto"/>
              <w:rPr>
                <w:rFonts w:ascii="Calibri" w:eastAsia="Times New Roman" w:hAnsi="Calibri" w:cs="Calibri"/>
                <w:color w:val="000000"/>
                <w:lang w:eastAsia="en-GB"/>
              </w:rPr>
            </w:pPr>
            <w:r w:rsidRPr="0001756D">
              <w:rPr>
                <w:rFonts w:ascii="Calibri" w:eastAsia="Times New Roman" w:hAnsi="Calibri" w:cs="Calibri"/>
                <w:color w:val="000000"/>
                <w:lang w:eastAsia="en-GB"/>
              </w:rPr>
              <w:t>C-7632</w:t>
            </w:r>
          </w:p>
        </w:tc>
        <w:tc>
          <w:tcPr>
            <w:tcW w:w="1843" w:type="dxa"/>
            <w:shd w:val="clear" w:color="auto" w:fill="auto"/>
            <w:noWrap/>
            <w:vAlign w:val="bottom"/>
            <w:hideMark/>
          </w:tcPr>
          <w:p w14:paraId="4C7B02B5"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40.04</w:t>
            </w:r>
          </w:p>
        </w:tc>
        <w:tc>
          <w:tcPr>
            <w:tcW w:w="1271" w:type="dxa"/>
            <w:shd w:val="clear" w:color="auto" w:fill="auto"/>
            <w:noWrap/>
            <w:vAlign w:val="bottom"/>
            <w:hideMark/>
          </w:tcPr>
          <w:p w14:paraId="2623B312"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0.04</w:t>
            </w:r>
          </w:p>
        </w:tc>
        <w:tc>
          <w:tcPr>
            <w:tcW w:w="1422" w:type="dxa"/>
            <w:shd w:val="clear" w:color="auto" w:fill="auto"/>
            <w:noWrap/>
            <w:vAlign w:val="bottom"/>
            <w:hideMark/>
          </w:tcPr>
          <w:p w14:paraId="429980CC"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40.03</w:t>
            </w:r>
          </w:p>
        </w:tc>
        <w:tc>
          <w:tcPr>
            <w:tcW w:w="851" w:type="dxa"/>
            <w:shd w:val="clear" w:color="auto" w:fill="auto"/>
            <w:noWrap/>
            <w:vAlign w:val="bottom"/>
            <w:hideMark/>
          </w:tcPr>
          <w:p w14:paraId="15EEE1FC"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-0.01</w:t>
            </w:r>
          </w:p>
        </w:tc>
      </w:tr>
      <w:tr w:rsidR="0001756D" w:rsidRPr="0001756D" w14:paraId="7FC77849" w14:textId="77777777" w:rsidTr="0001756D">
        <w:trPr>
          <w:trHeight w:val="288"/>
          <w:jc w:val="center"/>
        </w:trPr>
        <w:tc>
          <w:tcPr>
            <w:tcW w:w="1380" w:type="dxa"/>
            <w:shd w:val="clear" w:color="auto" w:fill="auto"/>
            <w:noWrap/>
            <w:vAlign w:val="bottom"/>
            <w:hideMark/>
          </w:tcPr>
          <w:p w14:paraId="71563235"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15/03/2021</w:t>
            </w:r>
          </w:p>
        </w:tc>
        <w:tc>
          <w:tcPr>
            <w:tcW w:w="1450" w:type="dxa"/>
            <w:shd w:val="clear" w:color="auto" w:fill="auto"/>
            <w:noWrap/>
            <w:vAlign w:val="bottom"/>
            <w:hideMark/>
          </w:tcPr>
          <w:p w14:paraId="12D10462" w14:textId="77777777" w:rsidR="0001756D" w:rsidRPr="0001756D" w:rsidRDefault="0001756D" w:rsidP="0001756D">
            <w:pPr>
              <w:spacing w:after="0" w:line="240" w:lineRule="auto"/>
              <w:rPr>
                <w:rFonts w:ascii="Calibri" w:eastAsia="Times New Roman" w:hAnsi="Calibri" w:cs="Calibri"/>
                <w:color w:val="000000"/>
                <w:lang w:eastAsia="en-GB"/>
              </w:rPr>
            </w:pPr>
            <w:r w:rsidRPr="0001756D">
              <w:rPr>
                <w:rFonts w:ascii="Calibri" w:eastAsia="Times New Roman" w:hAnsi="Calibri" w:cs="Calibri"/>
                <w:color w:val="000000"/>
                <w:lang w:eastAsia="en-GB"/>
              </w:rPr>
              <w:t>C-7229</w:t>
            </w:r>
          </w:p>
        </w:tc>
        <w:tc>
          <w:tcPr>
            <w:tcW w:w="1843" w:type="dxa"/>
            <w:shd w:val="clear" w:color="auto" w:fill="auto"/>
            <w:noWrap/>
            <w:vAlign w:val="bottom"/>
            <w:hideMark/>
          </w:tcPr>
          <w:p w14:paraId="77A1D114"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70.00</w:t>
            </w:r>
          </w:p>
        </w:tc>
        <w:tc>
          <w:tcPr>
            <w:tcW w:w="1271" w:type="dxa"/>
            <w:shd w:val="clear" w:color="auto" w:fill="auto"/>
            <w:noWrap/>
            <w:vAlign w:val="bottom"/>
            <w:hideMark/>
          </w:tcPr>
          <w:p w14:paraId="15DEF649"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0.07</w:t>
            </w:r>
          </w:p>
        </w:tc>
        <w:tc>
          <w:tcPr>
            <w:tcW w:w="1422" w:type="dxa"/>
            <w:shd w:val="clear" w:color="auto" w:fill="auto"/>
            <w:noWrap/>
            <w:vAlign w:val="bottom"/>
            <w:hideMark/>
          </w:tcPr>
          <w:p w14:paraId="259B187A"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70.01</w:t>
            </w:r>
          </w:p>
        </w:tc>
        <w:tc>
          <w:tcPr>
            <w:tcW w:w="851" w:type="dxa"/>
            <w:shd w:val="clear" w:color="auto" w:fill="auto"/>
            <w:noWrap/>
            <w:vAlign w:val="bottom"/>
            <w:hideMark/>
          </w:tcPr>
          <w:p w14:paraId="4A06BE83"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0.01</w:t>
            </w:r>
          </w:p>
        </w:tc>
      </w:tr>
      <w:tr w:rsidR="0001756D" w:rsidRPr="0001756D" w14:paraId="640CBEB3" w14:textId="77777777" w:rsidTr="0001756D">
        <w:trPr>
          <w:trHeight w:val="288"/>
          <w:jc w:val="center"/>
        </w:trPr>
        <w:tc>
          <w:tcPr>
            <w:tcW w:w="1380" w:type="dxa"/>
            <w:shd w:val="clear" w:color="auto" w:fill="auto"/>
            <w:noWrap/>
            <w:vAlign w:val="bottom"/>
            <w:hideMark/>
          </w:tcPr>
          <w:p w14:paraId="225E7A6A"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02/07/2021</w:t>
            </w:r>
          </w:p>
        </w:tc>
        <w:tc>
          <w:tcPr>
            <w:tcW w:w="1450" w:type="dxa"/>
            <w:shd w:val="clear" w:color="auto" w:fill="auto"/>
            <w:noWrap/>
            <w:vAlign w:val="bottom"/>
            <w:hideMark/>
          </w:tcPr>
          <w:p w14:paraId="1D8AEB95" w14:textId="77777777" w:rsidR="0001756D" w:rsidRPr="0001756D" w:rsidRDefault="0001756D" w:rsidP="0001756D">
            <w:pPr>
              <w:spacing w:after="0" w:line="240" w:lineRule="auto"/>
              <w:rPr>
                <w:rFonts w:ascii="Calibri" w:eastAsia="Times New Roman" w:hAnsi="Calibri" w:cs="Calibri"/>
                <w:color w:val="000000"/>
                <w:lang w:eastAsia="en-GB"/>
              </w:rPr>
            </w:pPr>
            <w:r w:rsidRPr="0001756D">
              <w:rPr>
                <w:rFonts w:ascii="Calibri" w:eastAsia="Times New Roman" w:hAnsi="Calibri" w:cs="Calibri"/>
                <w:color w:val="000000"/>
                <w:lang w:eastAsia="en-GB"/>
              </w:rPr>
              <w:t>C-7228/30</w:t>
            </w:r>
          </w:p>
        </w:tc>
        <w:tc>
          <w:tcPr>
            <w:tcW w:w="1843" w:type="dxa"/>
            <w:shd w:val="clear" w:color="auto" w:fill="auto"/>
            <w:noWrap/>
            <w:vAlign w:val="bottom"/>
            <w:hideMark/>
          </w:tcPr>
          <w:p w14:paraId="757C7A02"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70.08</w:t>
            </w:r>
          </w:p>
        </w:tc>
        <w:tc>
          <w:tcPr>
            <w:tcW w:w="1271" w:type="dxa"/>
            <w:shd w:val="clear" w:color="auto" w:fill="auto"/>
            <w:noWrap/>
            <w:vAlign w:val="bottom"/>
            <w:hideMark/>
          </w:tcPr>
          <w:p w14:paraId="4361987C"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0.03</w:t>
            </w:r>
          </w:p>
        </w:tc>
        <w:tc>
          <w:tcPr>
            <w:tcW w:w="1422" w:type="dxa"/>
            <w:shd w:val="clear" w:color="auto" w:fill="auto"/>
            <w:noWrap/>
            <w:vAlign w:val="bottom"/>
            <w:hideMark/>
          </w:tcPr>
          <w:p w14:paraId="1223AD55"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70.06</w:t>
            </w:r>
          </w:p>
        </w:tc>
        <w:tc>
          <w:tcPr>
            <w:tcW w:w="851" w:type="dxa"/>
            <w:shd w:val="clear" w:color="auto" w:fill="auto"/>
            <w:noWrap/>
            <w:vAlign w:val="bottom"/>
            <w:hideMark/>
          </w:tcPr>
          <w:p w14:paraId="7DBD5903" w14:textId="77777777" w:rsidR="0001756D" w:rsidRPr="0001756D" w:rsidRDefault="0001756D" w:rsidP="0001756D">
            <w:pPr>
              <w:spacing w:after="0" w:line="240" w:lineRule="auto"/>
              <w:jc w:val="right"/>
              <w:rPr>
                <w:rFonts w:ascii="Calibri" w:eastAsia="Times New Roman" w:hAnsi="Calibri" w:cs="Calibri"/>
                <w:color w:val="000000"/>
                <w:lang w:eastAsia="en-GB"/>
              </w:rPr>
            </w:pPr>
            <w:r w:rsidRPr="0001756D">
              <w:rPr>
                <w:rFonts w:ascii="Calibri" w:eastAsia="Times New Roman" w:hAnsi="Calibri" w:cs="Calibri"/>
                <w:color w:val="000000"/>
                <w:lang w:eastAsia="en-GB"/>
              </w:rPr>
              <w:t>-0.02</w:t>
            </w:r>
          </w:p>
        </w:tc>
      </w:tr>
    </w:tbl>
    <w:p w14:paraId="49BB3792" w14:textId="1B168C44" w:rsidR="003D11E3" w:rsidRDefault="003D11E3" w:rsidP="003D11E3">
      <w:pPr>
        <w:spacing w:after="0" w:line="240" w:lineRule="auto"/>
        <w:jc w:val="both"/>
        <w:rPr>
          <w:rFonts w:cs="Times New Roman"/>
          <w:b/>
        </w:rPr>
      </w:pPr>
    </w:p>
    <w:p w14:paraId="13A90073" w14:textId="77777777" w:rsidR="003C08A7" w:rsidRDefault="003C08A7" w:rsidP="003D11E3">
      <w:pPr>
        <w:spacing w:after="0" w:line="240" w:lineRule="auto"/>
        <w:jc w:val="both"/>
        <w:rPr>
          <w:rFonts w:cs="Times New Roman"/>
          <w:b/>
        </w:rPr>
      </w:pPr>
    </w:p>
    <w:p w14:paraId="03E575B8" w14:textId="77777777" w:rsidR="003D11E3" w:rsidRDefault="003D11E3" w:rsidP="003D11E3">
      <w:pPr>
        <w:spacing w:after="0" w:line="240" w:lineRule="auto"/>
        <w:jc w:val="both"/>
        <w:rPr>
          <w:rFonts w:cs="Times New Roman"/>
          <w:b/>
          <w:i/>
        </w:rPr>
      </w:pPr>
      <w:r>
        <w:rPr>
          <w:rFonts w:cs="Times New Roman"/>
          <w:b/>
          <w:i/>
        </w:rPr>
        <w:t>Proficiency Schemes</w:t>
      </w:r>
    </w:p>
    <w:p w14:paraId="14E1BCFB" w14:textId="77777777" w:rsidR="003D11E3" w:rsidRDefault="003D11E3" w:rsidP="003D11E3">
      <w:pPr>
        <w:spacing w:after="0" w:line="240" w:lineRule="auto"/>
        <w:jc w:val="both"/>
        <w:rPr>
          <w:rFonts w:cs="Times New Roman"/>
        </w:rPr>
      </w:pPr>
    </w:p>
    <w:p w14:paraId="331BB84F" w14:textId="2928E028" w:rsidR="003D11E3" w:rsidRDefault="003D11E3" w:rsidP="003D11E3">
      <w:pPr>
        <w:spacing w:after="0" w:line="240" w:lineRule="auto"/>
        <w:jc w:val="both"/>
        <w:rPr>
          <w:rFonts w:cs="Times New Roman"/>
        </w:rPr>
      </w:pPr>
      <w:r w:rsidRPr="0849D260">
        <w:rPr>
          <w:rFonts w:cs="Times New Roman"/>
        </w:rPr>
        <w:t>DAPS analysis performed very well over 20</w:t>
      </w:r>
      <w:r w:rsidR="00D550FB" w:rsidRPr="0849D260">
        <w:rPr>
          <w:rFonts w:cs="Times New Roman"/>
        </w:rPr>
        <w:t>2</w:t>
      </w:r>
      <w:r w:rsidR="00B0060E">
        <w:rPr>
          <w:rFonts w:cs="Times New Roman"/>
        </w:rPr>
        <w:t>1</w:t>
      </w:r>
      <w:r w:rsidRPr="0849D260">
        <w:rPr>
          <w:rFonts w:cs="Times New Roman"/>
        </w:rPr>
        <w:t xml:space="preserve"> with Z scores between </w:t>
      </w:r>
      <w:commentRangeStart w:id="11"/>
      <w:commentRangeStart w:id="12"/>
      <w:r w:rsidR="0027174E">
        <w:rPr>
          <w:rFonts w:cs="Times New Roman"/>
        </w:rPr>
        <w:t>2</w:t>
      </w:r>
      <w:r w:rsidRPr="0849D260">
        <w:rPr>
          <w:rFonts w:cs="Times New Roman"/>
        </w:rPr>
        <w:t xml:space="preserve"> and </w:t>
      </w:r>
      <w:r w:rsidR="0027174E">
        <w:rPr>
          <w:rFonts w:cs="Times New Roman"/>
        </w:rPr>
        <w:t>-2</w:t>
      </w:r>
      <w:commentRangeEnd w:id="11"/>
      <w:r w:rsidR="0027174E">
        <w:rPr>
          <w:rStyle w:val="CommentReference"/>
        </w:rPr>
        <w:commentReference w:id="11"/>
      </w:r>
      <w:commentRangeEnd w:id="12"/>
      <w:r w:rsidR="001A7AD6">
        <w:rPr>
          <w:rStyle w:val="CommentReference"/>
        </w:rPr>
        <w:commentReference w:id="12"/>
      </w:r>
      <w:r w:rsidRPr="0849D260">
        <w:rPr>
          <w:rFonts w:cs="Times New Roman"/>
        </w:rPr>
        <w:t xml:space="preserve"> being achieved.</w:t>
      </w:r>
      <w:r w:rsidR="00746CC1">
        <w:rPr>
          <w:rFonts w:cs="Times New Roman"/>
        </w:rPr>
        <w:t xml:space="preserve"> There w</w:t>
      </w:r>
      <w:r w:rsidR="0027174E">
        <w:rPr>
          <w:rFonts w:cs="Times New Roman"/>
        </w:rPr>
        <w:t>as</w:t>
      </w:r>
      <w:r w:rsidR="00746CC1">
        <w:rPr>
          <w:rFonts w:cs="Times New Roman"/>
        </w:rPr>
        <w:t xml:space="preserve"> only </w:t>
      </w:r>
      <w:r w:rsidR="0027174E">
        <w:rPr>
          <w:rFonts w:cs="Times New Roman"/>
        </w:rPr>
        <w:t>one</w:t>
      </w:r>
      <w:r w:rsidR="00746CC1">
        <w:rPr>
          <w:rFonts w:cs="Times New Roman"/>
        </w:rPr>
        <w:t xml:space="preserve"> case where Z scores </w:t>
      </w:r>
      <w:r w:rsidR="009F5F11">
        <w:rPr>
          <w:rFonts w:cs="Times New Roman"/>
        </w:rPr>
        <w:t xml:space="preserve">outside of </w:t>
      </w:r>
      <w:r w:rsidR="0027174E">
        <w:rPr>
          <w:rFonts w:cs="Times New Roman"/>
        </w:rPr>
        <w:t>2</w:t>
      </w:r>
      <w:r w:rsidR="009F5F11">
        <w:rPr>
          <w:rFonts w:cs="Times New Roman"/>
        </w:rPr>
        <w:t xml:space="preserve"> and -</w:t>
      </w:r>
      <w:r w:rsidR="0027174E">
        <w:rPr>
          <w:rFonts w:cs="Times New Roman"/>
        </w:rPr>
        <w:t>2</w:t>
      </w:r>
      <w:r w:rsidR="009F5F11">
        <w:rPr>
          <w:rFonts w:cs="Times New Roman"/>
        </w:rPr>
        <w:t xml:space="preserve"> were achieved (</w:t>
      </w:r>
      <w:r w:rsidR="006C5946">
        <w:rPr>
          <w:rFonts w:cs="Times New Roman"/>
        </w:rPr>
        <w:t xml:space="preserve">Round 104 </w:t>
      </w:r>
      <w:r w:rsidR="009F5F11">
        <w:rPr>
          <w:rFonts w:cs="Times New Roman"/>
        </w:rPr>
        <w:t xml:space="preserve">B4, Z = </w:t>
      </w:r>
      <w:commentRangeStart w:id="13"/>
      <w:commentRangeStart w:id="14"/>
      <w:r w:rsidR="009F5F11">
        <w:rPr>
          <w:rFonts w:cs="Times New Roman"/>
        </w:rPr>
        <w:t>2.33</w:t>
      </w:r>
      <w:commentRangeEnd w:id="13"/>
      <w:r w:rsidR="00C23C49">
        <w:rPr>
          <w:rStyle w:val="CommentReference"/>
        </w:rPr>
        <w:commentReference w:id="13"/>
      </w:r>
      <w:commentRangeEnd w:id="14"/>
      <w:r w:rsidR="001A7AD6">
        <w:rPr>
          <w:rStyle w:val="CommentReference"/>
        </w:rPr>
        <w:commentReference w:id="14"/>
      </w:r>
      <w:r w:rsidR="009F5F11">
        <w:rPr>
          <w:rFonts w:cs="Times New Roman"/>
        </w:rPr>
        <w:t>).</w:t>
      </w:r>
      <w:r w:rsidR="00A149DF" w:rsidRPr="0849D260">
        <w:rPr>
          <w:rFonts w:cs="Times New Roman"/>
        </w:rPr>
        <w:t xml:space="preserve"> Summary of reported results, their bias compared with the assigned values, assigned values and their associated uncertainty are given in Table 3 for the different matrices analysed.  B1 = Scotch whisky; B2 = dark spirit; B3 = clear spirit and B4 = simulant.</w:t>
      </w:r>
      <w:r w:rsidR="00F63A2A" w:rsidRPr="0849D260">
        <w:rPr>
          <w:rFonts w:cs="Times New Roman"/>
        </w:rPr>
        <w:t xml:space="preserve"> </w:t>
      </w:r>
    </w:p>
    <w:p w14:paraId="4382F14B" w14:textId="116FA669" w:rsidR="004E6F6A" w:rsidRDefault="004E6F6A" w:rsidP="003D11E3">
      <w:pPr>
        <w:spacing w:after="0" w:line="240" w:lineRule="auto"/>
        <w:jc w:val="both"/>
        <w:rPr>
          <w:rFonts w:cs="Times New Roman"/>
        </w:rPr>
      </w:pPr>
    </w:p>
    <w:p w14:paraId="279172C2" w14:textId="5CC3516D" w:rsidR="004E6F6A" w:rsidRPr="003C08A7" w:rsidRDefault="004E6F6A" w:rsidP="2EB2F12E">
      <w:pPr>
        <w:spacing w:after="0" w:line="240" w:lineRule="auto"/>
        <w:jc w:val="both"/>
        <w:rPr>
          <w:rFonts w:cs="Times New Roman"/>
        </w:rPr>
      </w:pPr>
      <w:r w:rsidRPr="27FF0EBE">
        <w:rPr>
          <w:rFonts w:cs="Times New Roman"/>
          <w:b/>
          <w:bCs/>
        </w:rPr>
        <w:t>Table 3</w:t>
      </w:r>
      <w:r w:rsidR="00C4006B" w:rsidRPr="27FF0EBE">
        <w:rPr>
          <w:rFonts w:cs="Times New Roman"/>
        </w:rPr>
        <w:t>:</w:t>
      </w:r>
      <w:r>
        <w:tab/>
      </w:r>
      <w:r w:rsidR="006E3059" w:rsidRPr="27FF0EBE">
        <w:rPr>
          <w:rFonts w:cs="Times New Roman"/>
        </w:rPr>
        <w:t xml:space="preserve"> </w:t>
      </w:r>
      <w:r w:rsidRPr="27FF0EBE">
        <w:rPr>
          <w:rFonts w:cs="Times New Roman"/>
        </w:rPr>
        <w:t xml:space="preserve">Summary of </w:t>
      </w:r>
      <w:r w:rsidR="3A421C7E" w:rsidRPr="27FF0EBE">
        <w:rPr>
          <w:rFonts w:cs="Times New Roman"/>
        </w:rPr>
        <w:t xml:space="preserve">DAPS </w:t>
      </w:r>
      <w:r w:rsidR="00CA19B1">
        <w:rPr>
          <w:rFonts w:cs="Times New Roman"/>
        </w:rPr>
        <w:t>a</w:t>
      </w:r>
      <w:r w:rsidR="3A421C7E" w:rsidRPr="27FF0EBE">
        <w:rPr>
          <w:rFonts w:cs="Times New Roman"/>
        </w:rPr>
        <w:t xml:space="preserve">pparent </w:t>
      </w:r>
      <w:r w:rsidR="00CA19B1">
        <w:rPr>
          <w:rFonts w:cs="Times New Roman"/>
        </w:rPr>
        <w:t>s</w:t>
      </w:r>
      <w:r w:rsidR="3A421C7E" w:rsidRPr="27FF0EBE">
        <w:rPr>
          <w:rFonts w:cs="Times New Roman"/>
        </w:rPr>
        <w:t>trength</w:t>
      </w:r>
      <w:r w:rsidRPr="27FF0EBE">
        <w:rPr>
          <w:rFonts w:cs="Times New Roman"/>
        </w:rPr>
        <w:t xml:space="preserve"> results in 20</w:t>
      </w:r>
      <w:r w:rsidR="00D550FB" w:rsidRPr="27FF0EBE">
        <w:rPr>
          <w:rFonts w:cs="Times New Roman"/>
        </w:rPr>
        <w:t>2</w:t>
      </w:r>
      <w:r w:rsidR="009F5F11">
        <w:rPr>
          <w:rFonts w:cs="Times New Roman"/>
        </w:rPr>
        <w:t>1</w:t>
      </w:r>
    </w:p>
    <w:p w14:paraId="034FCDA9" w14:textId="77777777" w:rsidR="004E6F6A" w:rsidRDefault="004E6F6A" w:rsidP="003D11E3">
      <w:pPr>
        <w:spacing w:after="0" w:line="240" w:lineRule="auto"/>
        <w:jc w:val="both"/>
        <w:rPr>
          <w:rFonts w:cs="Times New Roman"/>
        </w:rPr>
      </w:pPr>
    </w:p>
    <w:tbl>
      <w:tblPr>
        <w:tblW w:w="6544" w:type="dxa"/>
        <w:jc w:val="center"/>
        <w:tblLook w:val="04A0" w:firstRow="1" w:lastRow="0" w:firstColumn="1" w:lastColumn="0" w:noHBand="0" w:noVBand="1"/>
      </w:tblPr>
      <w:tblGrid>
        <w:gridCol w:w="1277"/>
        <w:gridCol w:w="960"/>
        <w:gridCol w:w="1336"/>
        <w:gridCol w:w="1842"/>
        <w:gridCol w:w="1297"/>
        <w:gridCol w:w="960"/>
      </w:tblGrid>
      <w:tr w:rsidR="009F5F11" w:rsidRPr="009F5F11" w14:paraId="3DCDF48D" w14:textId="77777777" w:rsidTr="007A78A7">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3DE7DE" w14:textId="77777777" w:rsidR="009F5F11" w:rsidRPr="009F5F11" w:rsidRDefault="009F5F11" w:rsidP="009F5F11">
            <w:pPr>
              <w:spacing w:after="0" w:line="240" w:lineRule="auto"/>
              <w:jc w:val="center"/>
              <w:rPr>
                <w:rFonts w:ascii="Calibri" w:eastAsia="Times New Roman" w:hAnsi="Calibri" w:cs="Calibri"/>
                <w:b/>
                <w:bCs/>
                <w:color w:val="000000"/>
                <w:lang w:eastAsia="en-GB"/>
              </w:rPr>
            </w:pPr>
            <w:commentRangeStart w:id="15"/>
            <w:r w:rsidRPr="009F5F11">
              <w:rPr>
                <w:rFonts w:ascii="Calibri" w:eastAsia="Times New Roman" w:hAnsi="Calibri" w:cs="Calibri"/>
                <w:b/>
                <w:bCs/>
                <w:color w:val="000000"/>
                <w:lang w:eastAsia="en-GB"/>
              </w:rPr>
              <w:t>Round</w:t>
            </w:r>
            <w:commentRangeEnd w:id="15"/>
            <w:r w:rsidR="00C23C49">
              <w:rPr>
                <w:rStyle w:val="CommentReference"/>
              </w:rPr>
              <w:commentReference w:id="15"/>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3DF4EF1D" w14:textId="77777777" w:rsidR="009F5F11" w:rsidRPr="009F5F11" w:rsidRDefault="009F5F11" w:rsidP="009F5F11">
            <w:pPr>
              <w:spacing w:after="0" w:line="240" w:lineRule="auto"/>
              <w:jc w:val="center"/>
              <w:rPr>
                <w:rFonts w:ascii="Calibri" w:eastAsia="Times New Roman" w:hAnsi="Calibri" w:cs="Calibri"/>
                <w:b/>
                <w:bCs/>
                <w:color w:val="000000"/>
                <w:lang w:eastAsia="en-GB"/>
              </w:rPr>
            </w:pPr>
            <w:r w:rsidRPr="009F5F11">
              <w:rPr>
                <w:rFonts w:ascii="Calibri" w:eastAsia="Times New Roman" w:hAnsi="Calibri" w:cs="Calibri"/>
                <w:b/>
                <w:bCs/>
                <w:color w:val="000000"/>
                <w:lang w:eastAsia="en-GB"/>
              </w:rPr>
              <w:t>Sample</w:t>
            </w:r>
          </w:p>
        </w:tc>
        <w:tc>
          <w:tcPr>
            <w:tcW w:w="1336" w:type="dxa"/>
            <w:tcBorders>
              <w:top w:val="single" w:sz="4" w:space="0" w:color="000000"/>
              <w:left w:val="nil"/>
              <w:bottom w:val="single" w:sz="4" w:space="0" w:color="000000"/>
              <w:right w:val="single" w:sz="4" w:space="0" w:color="000000"/>
            </w:tcBorders>
            <w:shd w:val="clear" w:color="auto" w:fill="auto"/>
            <w:noWrap/>
            <w:vAlign w:val="bottom"/>
            <w:hideMark/>
          </w:tcPr>
          <w:p w14:paraId="7885FF9A" w14:textId="77777777" w:rsidR="009F5F11" w:rsidRPr="009F5F11" w:rsidRDefault="009F5F11" w:rsidP="009F5F11">
            <w:pPr>
              <w:spacing w:after="0" w:line="240" w:lineRule="auto"/>
              <w:jc w:val="center"/>
              <w:rPr>
                <w:rFonts w:ascii="Calibri" w:eastAsia="Times New Roman" w:hAnsi="Calibri" w:cs="Calibri"/>
                <w:b/>
                <w:bCs/>
                <w:color w:val="000000"/>
                <w:lang w:eastAsia="en-GB"/>
              </w:rPr>
            </w:pPr>
            <w:r w:rsidRPr="009F5F11">
              <w:rPr>
                <w:rFonts w:ascii="Calibri" w:eastAsia="Times New Roman" w:hAnsi="Calibri" w:cs="Calibri"/>
                <w:b/>
                <w:bCs/>
                <w:color w:val="000000"/>
                <w:lang w:eastAsia="en-GB"/>
              </w:rPr>
              <w:t>SWRI Result</w:t>
            </w:r>
          </w:p>
        </w:tc>
        <w:tc>
          <w:tcPr>
            <w:tcW w:w="1842" w:type="dxa"/>
            <w:tcBorders>
              <w:top w:val="single" w:sz="4" w:space="0" w:color="000000"/>
              <w:left w:val="nil"/>
              <w:bottom w:val="single" w:sz="4" w:space="0" w:color="000000"/>
              <w:right w:val="single" w:sz="4" w:space="0" w:color="000000"/>
            </w:tcBorders>
            <w:shd w:val="clear" w:color="auto" w:fill="auto"/>
            <w:noWrap/>
            <w:vAlign w:val="bottom"/>
            <w:hideMark/>
          </w:tcPr>
          <w:p w14:paraId="47ABAF81" w14:textId="77777777" w:rsidR="009F5F11" w:rsidRPr="009F5F11" w:rsidRDefault="009F5F11" w:rsidP="009F5F11">
            <w:pPr>
              <w:spacing w:after="0" w:line="240" w:lineRule="auto"/>
              <w:jc w:val="center"/>
              <w:rPr>
                <w:rFonts w:ascii="Calibri" w:eastAsia="Times New Roman" w:hAnsi="Calibri" w:cs="Calibri"/>
                <w:b/>
                <w:bCs/>
                <w:color w:val="000000"/>
                <w:lang w:eastAsia="en-GB"/>
              </w:rPr>
            </w:pPr>
            <w:r w:rsidRPr="009F5F11">
              <w:rPr>
                <w:rFonts w:ascii="Calibri" w:eastAsia="Times New Roman" w:hAnsi="Calibri" w:cs="Calibri"/>
                <w:b/>
                <w:bCs/>
                <w:color w:val="000000"/>
                <w:lang w:eastAsia="en-GB"/>
              </w:rPr>
              <w:t>Assigned (DAPS)</w:t>
            </w:r>
          </w:p>
        </w:tc>
        <w:tc>
          <w:tcPr>
            <w:tcW w:w="486" w:type="dxa"/>
            <w:tcBorders>
              <w:top w:val="single" w:sz="4" w:space="0" w:color="000000"/>
              <w:left w:val="nil"/>
              <w:bottom w:val="single" w:sz="4" w:space="0" w:color="000000"/>
              <w:right w:val="single" w:sz="4" w:space="0" w:color="000000"/>
            </w:tcBorders>
            <w:shd w:val="clear" w:color="auto" w:fill="auto"/>
            <w:noWrap/>
            <w:vAlign w:val="bottom"/>
            <w:hideMark/>
          </w:tcPr>
          <w:p w14:paraId="2078CBBF" w14:textId="77777777" w:rsidR="009F5F11" w:rsidRPr="009F5F11" w:rsidRDefault="009F5F11" w:rsidP="009F5F11">
            <w:pPr>
              <w:spacing w:after="0" w:line="240" w:lineRule="auto"/>
              <w:jc w:val="center"/>
              <w:rPr>
                <w:rFonts w:ascii="Calibri" w:eastAsia="Times New Roman" w:hAnsi="Calibri" w:cs="Calibri"/>
                <w:b/>
                <w:bCs/>
                <w:color w:val="000000"/>
                <w:lang w:eastAsia="en-GB"/>
              </w:rPr>
            </w:pPr>
            <w:r w:rsidRPr="009F5F11">
              <w:rPr>
                <w:rFonts w:ascii="Calibri" w:eastAsia="Times New Roman" w:hAnsi="Calibri" w:cs="Calibri"/>
                <w:b/>
                <w:bCs/>
                <w:color w:val="000000"/>
                <w:lang w:eastAsia="en-GB"/>
              </w:rPr>
              <w:t>Uncertainty</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552D16BB" w14:textId="77777777" w:rsidR="009F5F11" w:rsidRPr="009F5F11" w:rsidRDefault="009F5F11" w:rsidP="009F5F11">
            <w:pPr>
              <w:spacing w:after="0" w:line="240" w:lineRule="auto"/>
              <w:jc w:val="center"/>
              <w:rPr>
                <w:rFonts w:ascii="Calibri" w:eastAsia="Times New Roman" w:hAnsi="Calibri" w:cs="Calibri"/>
                <w:b/>
                <w:bCs/>
                <w:color w:val="000000"/>
                <w:lang w:eastAsia="en-GB"/>
              </w:rPr>
            </w:pPr>
            <w:r w:rsidRPr="009F5F11">
              <w:rPr>
                <w:rFonts w:ascii="Calibri" w:eastAsia="Times New Roman" w:hAnsi="Calibri" w:cs="Calibri"/>
                <w:b/>
                <w:bCs/>
                <w:color w:val="000000"/>
                <w:lang w:eastAsia="en-GB"/>
              </w:rPr>
              <w:t>Bias</w:t>
            </w:r>
          </w:p>
        </w:tc>
      </w:tr>
      <w:tr w:rsidR="009F5F11" w:rsidRPr="009F5F11" w14:paraId="2EE69104"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212B9F4A"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104</w:t>
            </w:r>
          </w:p>
        </w:tc>
        <w:tc>
          <w:tcPr>
            <w:tcW w:w="960" w:type="dxa"/>
            <w:tcBorders>
              <w:top w:val="nil"/>
              <w:left w:val="nil"/>
              <w:bottom w:val="single" w:sz="4" w:space="0" w:color="000000"/>
              <w:right w:val="single" w:sz="4" w:space="0" w:color="000000"/>
            </w:tcBorders>
            <w:shd w:val="clear" w:color="auto" w:fill="auto"/>
            <w:noWrap/>
            <w:vAlign w:val="bottom"/>
            <w:hideMark/>
          </w:tcPr>
          <w:p w14:paraId="218A9A19"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B1</w:t>
            </w:r>
          </w:p>
        </w:tc>
        <w:tc>
          <w:tcPr>
            <w:tcW w:w="1336" w:type="dxa"/>
            <w:tcBorders>
              <w:top w:val="nil"/>
              <w:left w:val="nil"/>
              <w:bottom w:val="single" w:sz="4" w:space="0" w:color="000000"/>
              <w:right w:val="single" w:sz="4" w:space="0" w:color="000000"/>
            </w:tcBorders>
            <w:shd w:val="clear" w:color="auto" w:fill="auto"/>
            <w:noWrap/>
            <w:vAlign w:val="bottom"/>
            <w:hideMark/>
          </w:tcPr>
          <w:p w14:paraId="5D467E1B"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39.83</w:t>
            </w:r>
          </w:p>
        </w:tc>
        <w:tc>
          <w:tcPr>
            <w:tcW w:w="1842" w:type="dxa"/>
            <w:tcBorders>
              <w:top w:val="nil"/>
              <w:left w:val="nil"/>
              <w:bottom w:val="single" w:sz="4" w:space="0" w:color="000000"/>
              <w:right w:val="single" w:sz="4" w:space="0" w:color="000000"/>
            </w:tcBorders>
            <w:shd w:val="clear" w:color="auto" w:fill="auto"/>
            <w:noWrap/>
            <w:vAlign w:val="bottom"/>
            <w:hideMark/>
          </w:tcPr>
          <w:p w14:paraId="7460C785"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39.90</w:t>
            </w:r>
          </w:p>
        </w:tc>
        <w:tc>
          <w:tcPr>
            <w:tcW w:w="486" w:type="dxa"/>
            <w:tcBorders>
              <w:top w:val="nil"/>
              <w:left w:val="nil"/>
              <w:bottom w:val="single" w:sz="4" w:space="0" w:color="000000"/>
              <w:right w:val="single" w:sz="4" w:space="0" w:color="000000"/>
            </w:tcBorders>
            <w:shd w:val="clear" w:color="auto" w:fill="auto"/>
            <w:noWrap/>
            <w:vAlign w:val="bottom"/>
            <w:hideMark/>
          </w:tcPr>
          <w:p w14:paraId="3FD320DE"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0.010</w:t>
            </w:r>
          </w:p>
        </w:tc>
        <w:tc>
          <w:tcPr>
            <w:tcW w:w="960" w:type="dxa"/>
            <w:tcBorders>
              <w:top w:val="nil"/>
              <w:left w:val="nil"/>
              <w:bottom w:val="single" w:sz="4" w:space="0" w:color="000000"/>
              <w:right w:val="single" w:sz="4" w:space="0" w:color="000000"/>
            </w:tcBorders>
            <w:shd w:val="clear" w:color="auto" w:fill="auto"/>
            <w:noWrap/>
            <w:vAlign w:val="bottom"/>
            <w:hideMark/>
          </w:tcPr>
          <w:p w14:paraId="21A0BFB0"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-0.07</w:t>
            </w:r>
          </w:p>
        </w:tc>
      </w:tr>
      <w:tr w:rsidR="009F5F11" w:rsidRPr="009F5F11" w14:paraId="73AC3995"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5E560444"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104</w:t>
            </w:r>
          </w:p>
        </w:tc>
        <w:tc>
          <w:tcPr>
            <w:tcW w:w="960" w:type="dxa"/>
            <w:tcBorders>
              <w:top w:val="nil"/>
              <w:left w:val="nil"/>
              <w:bottom w:val="single" w:sz="4" w:space="0" w:color="000000"/>
              <w:right w:val="single" w:sz="4" w:space="0" w:color="000000"/>
            </w:tcBorders>
            <w:shd w:val="clear" w:color="auto" w:fill="auto"/>
            <w:noWrap/>
            <w:vAlign w:val="bottom"/>
            <w:hideMark/>
          </w:tcPr>
          <w:p w14:paraId="24EE9F4A"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B3</w:t>
            </w:r>
          </w:p>
        </w:tc>
        <w:tc>
          <w:tcPr>
            <w:tcW w:w="1336" w:type="dxa"/>
            <w:tcBorders>
              <w:top w:val="nil"/>
              <w:left w:val="nil"/>
              <w:bottom w:val="single" w:sz="4" w:space="0" w:color="000000"/>
              <w:right w:val="single" w:sz="4" w:space="0" w:color="000000"/>
            </w:tcBorders>
            <w:shd w:val="clear" w:color="auto" w:fill="auto"/>
            <w:noWrap/>
            <w:vAlign w:val="bottom"/>
            <w:hideMark/>
          </w:tcPr>
          <w:p w14:paraId="716193A6"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37.41</w:t>
            </w:r>
          </w:p>
        </w:tc>
        <w:tc>
          <w:tcPr>
            <w:tcW w:w="1842" w:type="dxa"/>
            <w:tcBorders>
              <w:top w:val="nil"/>
              <w:left w:val="nil"/>
              <w:bottom w:val="single" w:sz="4" w:space="0" w:color="000000"/>
              <w:right w:val="single" w:sz="4" w:space="0" w:color="000000"/>
            </w:tcBorders>
            <w:shd w:val="clear" w:color="auto" w:fill="auto"/>
            <w:noWrap/>
            <w:vAlign w:val="bottom"/>
            <w:hideMark/>
          </w:tcPr>
          <w:p w14:paraId="476A493B"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37.42</w:t>
            </w:r>
          </w:p>
        </w:tc>
        <w:tc>
          <w:tcPr>
            <w:tcW w:w="486" w:type="dxa"/>
            <w:tcBorders>
              <w:top w:val="nil"/>
              <w:left w:val="nil"/>
              <w:bottom w:val="single" w:sz="4" w:space="0" w:color="000000"/>
              <w:right w:val="single" w:sz="4" w:space="0" w:color="000000"/>
            </w:tcBorders>
            <w:shd w:val="clear" w:color="auto" w:fill="auto"/>
            <w:noWrap/>
            <w:vAlign w:val="bottom"/>
            <w:hideMark/>
          </w:tcPr>
          <w:p w14:paraId="53883513"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0.00</w:t>
            </w:r>
          </w:p>
        </w:tc>
        <w:tc>
          <w:tcPr>
            <w:tcW w:w="960" w:type="dxa"/>
            <w:tcBorders>
              <w:top w:val="nil"/>
              <w:left w:val="nil"/>
              <w:bottom w:val="single" w:sz="4" w:space="0" w:color="000000"/>
              <w:right w:val="single" w:sz="4" w:space="0" w:color="000000"/>
            </w:tcBorders>
            <w:shd w:val="clear" w:color="auto" w:fill="auto"/>
            <w:noWrap/>
            <w:vAlign w:val="bottom"/>
            <w:hideMark/>
          </w:tcPr>
          <w:p w14:paraId="2B68EF2C"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-0.01</w:t>
            </w:r>
          </w:p>
        </w:tc>
      </w:tr>
      <w:tr w:rsidR="009F5F11" w:rsidRPr="009F5F11" w14:paraId="399F9D40"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3129F7B9"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104</w:t>
            </w:r>
          </w:p>
        </w:tc>
        <w:tc>
          <w:tcPr>
            <w:tcW w:w="960" w:type="dxa"/>
            <w:tcBorders>
              <w:top w:val="nil"/>
              <w:left w:val="nil"/>
              <w:bottom w:val="single" w:sz="4" w:space="0" w:color="000000"/>
              <w:right w:val="single" w:sz="4" w:space="0" w:color="000000"/>
            </w:tcBorders>
            <w:shd w:val="clear" w:color="auto" w:fill="auto"/>
            <w:noWrap/>
            <w:vAlign w:val="bottom"/>
            <w:hideMark/>
          </w:tcPr>
          <w:p w14:paraId="321151F2"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B4</w:t>
            </w:r>
          </w:p>
        </w:tc>
        <w:tc>
          <w:tcPr>
            <w:tcW w:w="1336" w:type="dxa"/>
            <w:tcBorders>
              <w:top w:val="nil"/>
              <w:left w:val="nil"/>
              <w:bottom w:val="single" w:sz="4" w:space="0" w:color="000000"/>
              <w:right w:val="single" w:sz="4" w:space="0" w:color="000000"/>
            </w:tcBorders>
            <w:shd w:val="clear" w:color="auto" w:fill="auto"/>
            <w:noWrap/>
            <w:vAlign w:val="bottom"/>
            <w:hideMark/>
          </w:tcPr>
          <w:p w14:paraId="5D816D4E"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38.03</w:t>
            </w:r>
          </w:p>
        </w:tc>
        <w:tc>
          <w:tcPr>
            <w:tcW w:w="1842" w:type="dxa"/>
            <w:tcBorders>
              <w:top w:val="nil"/>
              <w:left w:val="nil"/>
              <w:bottom w:val="single" w:sz="4" w:space="0" w:color="000000"/>
              <w:right w:val="single" w:sz="4" w:space="0" w:color="000000"/>
            </w:tcBorders>
            <w:shd w:val="clear" w:color="auto" w:fill="auto"/>
            <w:noWrap/>
            <w:vAlign w:val="bottom"/>
            <w:hideMark/>
          </w:tcPr>
          <w:p w14:paraId="494B329C"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38.10</w:t>
            </w:r>
          </w:p>
        </w:tc>
        <w:tc>
          <w:tcPr>
            <w:tcW w:w="486" w:type="dxa"/>
            <w:tcBorders>
              <w:top w:val="nil"/>
              <w:left w:val="nil"/>
              <w:bottom w:val="single" w:sz="4" w:space="0" w:color="000000"/>
              <w:right w:val="single" w:sz="4" w:space="0" w:color="000000"/>
            </w:tcBorders>
            <w:shd w:val="clear" w:color="auto" w:fill="auto"/>
            <w:noWrap/>
            <w:vAlign w:val="bottom"/>
            <w:hideMark/>
          </w:tcPr>
          <w:p w14:paraId="64E16C60"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0.00</w:t>
            </w:r>
          </w:p>
        </w:tc>
        <w:tc>
          <w:tcPr>
            <w:tcW w:w="960" w:type="dxa"/>
            <w:tcBorders>
              <w:top w:val="nil"/>
              <w:left w:val="nil"/>
              <w:bottom w:val="single" w:sz="4" w:space="0" w:color="000000"/>
              <w:right w:val="single" w:sz="4" w:space="0" w:color="000000"/>
            </w:tcBorders>
            <w:shd w:val="clear" w:color="auto" w:fill="auto"/>
            <w:noWrap/>
            <w:vAlign w:val="bottom"/>
            <w:hideMark/>
          </w:tcPr>
          <w:p w14:paraId="370799AF"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-0.07</w:t>
            </w:r>
          </w:p>
        </w:tc>
      </w:tr>
      <w:tr w:rsidR="009F5F11" w:rsidRPr="009F5F11" w14:paraId="5B2E5EC3"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3B606F73"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105</w:t>
            </w:r>
          </w:p>
        </w:tc>
        <w:tc>
          <w:tcPr>
            <w:tcW w:w="960" w:type="dxa"/>
            <w:tcBorders>
              <w:top w:val="nil"/>
              <w:left w:val="nil"/>
              <w:bottom w:val="single" w:sz="4" w:space="0" w:color="000000"/>
              <w:right w:val="single" w:sz="4" w:space="0" w:color="000000"/>
            </w:tcBorders>
            <w:shd w:val="clear" w:color="auto" w:fill="auto"/>
            <w:noWrap/>
            <w:vAlign w:val="bottom"/>
            <w:hideMark/>
          </w:tcPr>
          <w:p w14:paraId="7DA06863"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B1</w:t>
            </w:r>
          </w:p>
        </w:tc>
        <w:tc>
          <w:tcPr>
            <w:tcW w:w="1336" w:type="dxa"/>
            <w:tcBorders>
              <w:top w:val="nil"/>
              <w:left w:val="nil"/>
              <w:bottom w:val="single" w:sz="4" w:space="0" w:color="000000"/>
              <w:right w:val="single" w:sz="4" w:space="0" w:color="000000"/>
            </w:tcBorders>
            <w:shd w:val="clear" w:color="auto" w:fill="auto"/>
            <w:noWrap/>
            <w:vAlign w:val="bottom"/>
            <w:hideMark/>
          </w:tcPr>
          <w:p w14:paraId="0DD1A776"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39.89</w:t>
            </w:r>
          </w:p>
        </w:tc>
        <w:tc>
          <w:tcPr>
            <w:tcW w:w="1842" w:type="dxa"/>
            <w:tcBorders>
              <w:top w:val="nil"/>
              <w:left w:val="nil"/>
              <w:bottom w:val="single" w:sz="4" w:space="0" w:color="000000"/>
              <w:right w:val="single" w:sz="4" w:space="0" w:color="000000"/>
            </w:tcBorders>
            <w:shd w:val="clear" w:color="auto" w:fill="auto"/>
            <w:noWrap/>
            <w:vAlign w:val="bottom"/>
            <w:hideMark/>
          </w:tcPr>
          <w:p w14:paraId="3F121955"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39.89</w:t>
            </w:r>
          </w:p>
        </w:tc>
        <w:tc>
          <w:tcPr>
            <w:tcW w:w="486" w:type="dxa"/>
            <w:tcBorders>
              <w:top w:val="nil"/>
              <w:left w:val="nil"/>
              <w:bottom w:val="single" w:sz="4" w:space="0" w:color="000000"/>
              <w:right w:val="single" w:sz="4" w:space="0" w:color="000000"/>
            </w:tcBorders>
            <w:shd w:val="clear" w:color="auto" w:fill="auto"/>
            <w:noWrap/>
            <w:vAlign w:val="bottom"/>
            <w:hideMark/>
          </w:tcPr>
          <w:p w14:paraId="3462A5F3"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0.006</w:t>
            </w:r>
          </w:p>
        </w:tc>
        <w:tc>
          <w:tcPr>
            <w:tcW w:w="960" w:type="dxa"/>
            <w:tcBorders>
              <w:top w:val="nil"/>
              <w:left w:val="nil"/>
              <w:bottom w:val="single" w:sz="4" w:space="0" w:color="000000"/>
              <w:right w:val="single" w:sz="4" w:space="0" w:color="000000"/>
            </w:tcBorders>
            <w:shd w:val="clear" w:color="auto" w:fill="auto"/>
            <w:noWrap/>
            <w:vAlign w:val="bottom"/>
            <w:hideMark/>
          </w:tcPr>
          <w:p w14:paraId="47852D79"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0.00</w:t>
            </w:r>
          </w:p>
        </w:tc>
      </w:tr>
      <w:tr w:rsidR="009F5F11" w:rsidRPr="009F5F11" w14:paraId="320CECEA"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1CF63695"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105</w:t>
            </w:r>
          </w:p>
        </w:tc>
        <w:tc>
          <w:tcPr>
            <w:tcW w:w="960" w:type="dxa"/>
            <w:tcBorders>
              <w:top w:val="nil"/>
              <w:left w:val="nil"/>
              <w:bottom w:val="single" w:sz="4" w:space="0" w:color="000000"/>
              <w:right w:val="single" w:sz="4" w:space="0" w:color="000000"/>
            </w:tcBorders>
            <w:shd w:val="clear" w:color="auto" w:fill="auto"/>
            <w:noWrap/>
            <w:vAlign w:val="bottom"/>
            <w:hideMark/>
          </w:tcPr>
          <w:p w14:paraId="2C98C081"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B2</w:t>
            </w:r>
          </w:p>
        </w:tc>
        <w:tc>
          <w:tcPr>
            <w:tcW w:w="1336" w:type="dxa"/>
            <w:tcBorders>
              <w:top w:val="nil"/>
              <w:left w:val="nil"/>
              <w:bottom w:val="single" w:sz="4" w:space="0" w:color="000000"/>
              <w:right w:val="single" w:sz="4" w:space="0" w:color="000000"/>
            </w:tcBorders>
            <w:shd w:val="clear" w:color="auto" w:fill="auto"/>
            <w:noWrap/>
            <w:vAlign w:val="bottom"/>
            <w:hideMark/>
          </w:tcPr>
          <w:p w14:paraId="7B1DEE8D"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39.29</w:t>
            </w:r>
          </w:p>
        </w:tc>
        <w:tc>
          <w:tcPr>
            <w:tcW w:w="1842" w:type="dxa"/>
            <w:tcBorders>
              <w:top w:val="nil"/>
              <w:left w:val="nil"/>
              <w:bottom w:val="single" w:sz="4" w:space="0" w:color="000000"/>
              <w:right w:val="single" w:sz="4" w:space="0" w:color="000000"/>
            </w:tcBorders>
            <w:shd w:val="clear" w:color="auto" w:fill="auto"/>
            <w:noWrap/>
            <w:vAlign w:val="bottom"/>
            <w:hideMark/>
          </w:tcPr>
          <w:p w14:paraId="46558152"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39.30</w:t>
            </w:r>
          </w:p>
        </w:tc>
        <w:tc>
          <w:tcPr>
            <w:tcW w:w="486" w:type="dxa"/>
            <w:tcBorders>
              <w:top w:val="nil"/>
              <w:left w:val="nil"/>
              <w:bottom w:val="single" w:sz="4" w:space="0" w:color="000000"/>
              <w:right w:val="single" w:sz="4" w:space="0" w:color="000000"/>
            </w:tcBorders>
            <w:shd w:val="clear" w:color="auto" w:fill="auto"/>
            <w:noWrap/>
            <w:vAlign w:val="bottom"/>
            <w:hideMark/>
          </w:tcPr>
          <w:p w14:paraId="594F086B"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0.006</w:t>
            </w:r>
          </w:p>
        </w:tc>
        <w:tc>
          <w:tcPr>
            <w:tcW w:w="960" w:type="dxa"/>
            <w:tcBorders>
              <w:top w:val="nil"/>
              <w:left w:val="nil"/>
              <w:bottom w:val="single" w:sz="4" w:space="0" w:color="000000"/>
              <w:right w:val="single" w:sz="4" w:space="0" w:color="000000"/>
            </w:tcBorders>
            <w:shd w:val="clear" w:color="auto" w:fill="auto"/>
            <w:noWrap/>
            <w:vAlign w:val="bottom"/>
            <w:hideMark/>
          </w:tcPr>
          <w:p w14:paraId="4802E4B6"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-0.01</w:t>
            </w:r>
          </w:p>
        </w:tc>
      </w:tr>
      <w:tr w:rsidR="009F5F11" w:rsidRPr="009F5F11" w14:paraId="041C9602"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34E99BD5"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105</w:t>
            </w:r>
          </w:p>
        </w:tc>
        <w:tc>
          <w:tcPr>
            <w:tcW w:w="960" w:type="dxa"/>
            <w:tcBorders>
              <w:top w:val="nil"/>
              <w:left w:val="nil"/>
              <w:bottom w:val="single" w:sz="4" w:space="0" w:color="000000"/>
              <w:right w:val="single" w:sz="4" w:space="0" w:color="000000"/>
            </w:tcBorders>
            <w:shd w:val="clear" w:color="auto" w:fill="auto"/>
            <w:noWrap/>
            <w:vAlign w:val="bottom"/>
            <w:hideMark/>
          </w:tcPr>
          <w:p w14:paraId="010C1785"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B4</w:t>
            </w:r>
          </w:p>
        </w:tc>
        <w:tc>
          <w:tcPr>
            <w:tcW w:w="1336" w:type="dxa"/>
            <w:tcBorders>
              <w:top w:val="nil"/>
              <w:left w:val="nil"/>
              <w:bottom w:val="single" w:sz="4" w:space="0" w:color="000000"/>
              <w:right w:val="single" w:sz="4" w:space="0" w:color="000000"/>
            </w:tcBorders>
            <w:shd w:val="clear" w:color="auto" w:fill="auto"/>
            <w:noWrap/>
            <w:vAlign w:val="bottom"/>
            <w:hideMark/>
          </w:tcPr>
          <w:p w14:paraId="47EEF453"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47.43</w:t>
            </w:r>
          </w:p>
        </w:tc>
        <w:tc>
          <w:tcPr>
            <w:tcW w:w="1842" w:type="dxa"/>
            <w:tcBorders>
              <w:top w:val="nil"/>
              <w:left w:val="nil"/>
              <w:bottom w:val="single" w:sz="4" w:space="0" w:color="000000"/>
              <w:right w:val="single" w:sz="4" w:space="0" w:color="000000"/>
            </w:tcBorders>
            <w:shd w:val="clear" w:color="auto" w:fill="auto"/>
            <w:noWrap/>
            <w:vAlign w:val="bottom"/>
            <w:hideMark/>
          </w:tcPr>
          <w:p w14:paraId="351FF809"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47.43</w:t>
            </w:r>
          </w:p>
        </w:tc>
        <w:tc>
          <w:tcPr>
            <w:tcW w:w="486" w:type="dxa"/>
            <w:tcBorders>
              <w:top w:val="nil"/>
              <w:left w:val="nil"/>
              <w:bottom w:val="single" w:sz="4" w:space="0" w:color="000000"/>
              <w:right w:val="single" w:sz="4" w:space="0" w:color="000000"/>
            </w:tcBorders>
            <w:shd w:val="clear" w:color="auto" w:fill="auto"/>
            <w:noWrap/>
            <w:vAlign w:val="bottom"/>
            <w:hideMark/>
          </w:tcPr>
          <w:p w14:paraId="267B3515"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0.005</w:t>
            </w:r>
          </w:p>
        </w:tc>
        <w:tc>
          <w:tcPr>
            <w:tcW w:w="960" w:type="dxa"/>
            <w:tcBorders>
              <w:top w:val="nil"/>
              <w:left w:val="nil"/>
              <w:bottom w:val="single" w:sz="4" w:space="0" w:color="000000"/>
              <w:right w:val="single" w:sz="4" w:space="0" w:color="000000"/>
            </w:tcBorders>
            <w:shd w:val="clear" w:color="auto" w:fill="auto"/>
            <w:noWrap/>
            <w:vAlign w:val="bottom"/>
            <w:hideMark/>
          </w:tcPr>
          <w:p w14:paraId="5FB028DD"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0.00</w:t>
            </w:r>
          </w:p>
        </w:tc>
      </w:tr>
      <w:tr w:rsidR="009F5F11" w:rsidRPr="009F5F11" w14:paraId="49B1CD94"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57B37788"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106</w:t>
            </w:r>
          </w:p>
        </w:tc>
        <w:tc>
          <w:tcPr>
            <w:tcW w:w="960" w:type="dxa"/>
            <w:tcBorders>
              <w:top w:val="nil"/>
              <w:left w:val="nil"/>
              <w:bottom w:val="single" w:sz="4" w:space="0" w:color="000000"/>
              <w:right w:val="single" w:sz="4" w:space="0" w:color="000000"/>
            </w:tcBorders>
            <w:shd w:val="clear" w:color="auto" w:fill="auto"/>
            <w:noWrap/>
            <w:vAlign w:val="bottom"/>
            <w:hideMark/>
          </w:tcPr>
          <w:p w14:paraId="1AFD8E13"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B1</w:t>
            </w:r>
          </w:p>
        </w:tc>
        <w:tc>
          <w:tcPr>
            <w:tcW w:w="1336" w:type="dxa"/>
            <w:tcBorders>
              <w:top w:val="nil"/>
              <w:left w:val="nil"/>
              <w:bottom w:val="single" w:sz="4" w:space="0" w:color="000000"/>
              <w:right w:val="single" w:sz="4" w:space="0" w:color="000000"/>
            </w:tcBorders>
            <w:shd w:val="clear" w:color="auto" w:fill="auto"/>
            <w:noWrap/>
            <w:vAlign w:val="bottom"/>
            <w:hideMark/>
          </w:tcPr>
          <w:p w14:paraId="0C403770"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39.79</w:t>
            </w:r>
          </w:p>
        </w:tc>
        <w:tc>
          <w:tcPr>
            <w:tcW w:w="1842" w:type="dxa"/>
            <w:tcBorders>
              <w:top w:val="nil"/>
              <w:left w:val="nil"/>
              <w:bottom w:val="single" w:sz="4" w:space="0" w:color="000000"/>
              <w:right w:val="single" w:sz="4" w:space="0" w:color="000000"/>
            </w:tcBorders>
            <w:shd w:val="clear" w:color="auto" w:fill="auto"/>
            <w:noWrap/>
            <w:vAlign w:val="bottom"/>
            <w:hideMark/>
          </w:tcPr>
          <w:p w14:paraId="169B7093"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39.80</w:t>
            </w:r>
          </w:p>
        </w:tc>
        <w:tc>
          <w:tcPr>
            <w:tcW w:w="486" w:type="dxa"/>
            <w:tcBorders>
              <w:top w:val="nil"/>
              <w:left w:val="nil"/>
              <w:bottom w:val="single" w:sz="4" w:space="0" w:color="000000"/>
              <w:right w:val="single" w:sz="4" w:space="0" w:color="000000"/>
            </w:tcBorders>
            <w:shd w:val="clear" w:color="auto" w:fill="auto"/>
            <w:noWrap/>
            <w:vAlign w:val="bottom"/>
            <w:hideMark/>
          </w:tcPr>
          <w:p w14:paraId="643A634F"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0.005</w:t>
            </w:r>
          </w:p>
        </w:tc>
        <w:tc>
          <w:tcPr>
            <w:tcW w:w="960" w:type="dxa"/>
            <w:tcBorders>
              <w:top w:val="nil"/>
              <w:left w:val="nil"/>
              <w:bottom w:val="single" w:sz="4" w:space="0" w:color="000000"/>
              <w:right w:val="single" w:sz="4" w:space="0" w:color="000000"/>
            </w:tcBorders>
            <w:shd w:val="clear" w:color="auto" w:fill="auto"/>
            <w:noWrap/>
            <w:vAlign w:val="bottom"/>
            <w:hideMark/>
          </w:tcPr>
          <w:p w14:paraId="2F00B879"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-0.01</w:t>
            </w:r>
          </w:p>
        </w:tc>
      </w:tr>
      <w:tr w:rsidR="009F5F11" w:rsidRPr="009F5F11" w14:paraId="01CD70AD"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45287584"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106</w:t>
            </w:r>
          </w:p>
        </w:tc>
        <w:tc>
          <w:tcPr>
            <w:tcW w:w="960" w:type="dxa"/>
            <w:tcBorders>
              <w:top w:val="nil"/>
              <w:left w:val="nil"/>
              <w:bottom w:val="single" w:sz="4" w:space="0" w:color="000000"/>
              <w:right w:val="single" w:sz="4" w:space="0" w:color="000000"/>
            </w:tcBorders>
            <w:shd w:val="clear" w:color="auto" w:fill="auto"/>
            <w:noWrap/>
            <w:vAlign w:val="bottom"/>
            <w:hideMark/>
          </w:tcPr>
          <w:p w14:paraId="3C311F1F"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B3</w:t>
            </w:r>
          </w:p>
        </w:tc>
        <w:tc>
          <w:tcPr>
            <w:tcW w:w="1336" w:type="dxa"/>
            <w:tcBorders>
              <w:top w:val="nil"/>
              <w:left w:val="nil"/>
              <w:bottom w:val="single" w:sz="4" w:space="0" w:color="000000"/>
              <w:right w:val="single" w:sz="4" w:space="0" w:color="000000"/>
            </w:tcBorders>
            <w:shd w:val="clear" w:color="auto" w:fill="auto"/>
            <w:noWrap/>
            <w:vAlign w:val="bottom"/>
            <w:hideMark/>
          </w:tcPr>
          <w:p w14:paraId="4383BDC1"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37.61</w:t>
            </w:r>
          </w:p>
        </w:tc>
        <w:tc>
          <w:tcPr>
            <w:tcW w:w="1842" w:type="dxa"/>
            <w:tcBorders>
              <w:top w:val="nil"/>
              <w:left w:val="nil"/>
              <w:bottom w:val="single" w:sz="4" w:space="0" w:color="000000"/>
              <w:right w:val="single" w:sz="4" w:space="0" w:color="000000"/>
            </w:tcBorders>
            <w:shd w:val="clear" w:color="auto" w:fill="auto"/>
            <w:noWrap/>
            <w:vAlign w:val="bottom"/>
            <w:hideMark/>
          </w:tcPr>
          <w:p w14:paraId="3013789F"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37.61</w:t>
            </w:r>
          </w:p>
        </w:tc>
        <w:tc>
          <w:tcPr>
            <w:tcW w:w="486" w:type="dxa"/>
            <w:tcBorders>
              <w:top w:val="nil"/>
              <w:left w:val="nil"/>
              <w:bottom w:val="single" w:sz="4" w:space="0" w:color="000000"/>
              <w:right w:val="single" w:sz="4" w:space="0" w:color="000000"/>
            </w:tcBorders>
            <w:shd w:val="clear" w:color="auto" w:fill="auto"/>
            <w:noWrap/>
            <w:vAlign w:val="bottom"/>
            <w:hideMark/>
          </w:tcPr>
          <w:p w14:paraId="760727A0"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0.010</w:t>
            </w:r>
          </w:p>
        </w:tc>
        <w:tc>
          <w:tcPr>
            <w:tcW w:w="960" w:type="dxa"/>
            <w:tcBorders>
              <w:top w:val="nil"/>
              <w:left w:val="nil"/>
              <w:bottom w:val="single" w:sz="4" w:space="0" w:color="000000"/>
              <w:right w:val="single" w:sz="4" w:space="0" w:color="000000"/>
            </w:tcBorders>
            <w:shd w:val="clear" w:color="auto" w:fill="auto"/>
            <w:noWrap/>
            <w:vAlign w:val="bottom"/>
            <w:hideMark/>
          </w:tcPr>
          <w:p w14:paraId="0B882A5A"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0.00</w:t>
            </w:r>
          </w:p>
        </w:tc>
      </w:tr>
      <w:tr w:rsidR="009F5F11" w:rsidRPr="009F5F11" w14:paraId="1DAEE2D6"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4168563E"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106</w:t>
            </w:r>
          </w:p>
        </w:tc>
        <w:tc>
          <w:tcPr>
            <w:tcW w:w="960" w:type="dxa"/>
            <w:tcBorders>
              <w:top w:val="nil"/>
              <w:left w:val="nil"/>
              <w:bottom w:val="single" w:sz="4" w:space="0" w:color="000000"/>
              <w:right w:val="single" w:sz="4" w:space="0" w:color="000000"/>
            </w:tcBorders>
            <w:shd w:val="clear" w:color="auto" w:fill="auto"/>
            <w:noWrap/>
            <w:vAlign w:val="bottom"/>
            <w:hideMark/>
          </w:tcPr>
          <w:p w14:paraId="5AC1679C"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B4</w:t>
            </w:r>
          </w:p>
        </w:tc>
        <w:tc>
          <w:tcPr>
            <w:tcW w:w="1336" w:type="dxa"/>
            <w:tcBorders>
              <w:top w:val="nil"/>
              <w:left w:val="nil"/>
              <w:bottom w:val="single" w:sz="4" w:space="0" w:color="000000"/>
              <w:right w:val="single" w:sz="4" w:space="0" w:color="000000"/>
            </w:tcBorders>
            <w:shd w:val="clear" w:color="auto" w:fill="auto"/>
            <w:noWrap/>
            <w:vAlign w:val="bottom"/>
            <w:hideMark/>
          </w:tcPr>
          <w:p w14:paraId="48B0A968"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39.16</w:t>
            </w:r>
          </w:p>
        </w:tc>
        <w:tc>
          <w:tcPr>
            <w:tcW w:w="1842" w:type="dxa"/>
            <w:tcBorders>
              <w:top w:val="nil"/>
              <w:left w:val="nil"/>
              <w:bottom w:val="single" w:sz="4" w:space="0" w:color="000000"/>
              <w:right w:val="single" w:sz="4" w:space="0" w:color="000000"/>
            </w:tcBorders>
            <w:shd w:val="clear" w:color="auto" w:fill="auto"/>
            <w:noWrap/>
            <w:vAlign w:val="bottom"/>
            <w:hideMark/>
          </w:tcPr>
          <w:p w14:paraId="3C5FDD8A"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39.19</w:t>
            </w:r>
          </w:p>
        </w:tc>
        <w:tc>
          <w:tcPr>
            <w:tcW w:w="486" w:type="dxa"/>
            <w:tcBorders>
              <w:top w:val="nil"/>
              <w:left w:val="nil"/>
              <w:bottom w:val="single" w:sz="4" w:space="0" w:color="000000"/>
              <w:right w:val="single" w:sz="4" w:space="0" w:color="000000"/>
            </w:tcBorders>
            <w:shd w:val="clear" w:color="auto" w:fill="auto"/>
            <w:noWrap/>
            <w:vAlign w:val="bottom"/>
            <w:hideMark/>
          </w:tcPr>
          <w:p w14:paraId="44C2BA0B"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0.029</w:t>
            </w:r>
          </w:p>
        </w:tc>
        <w:tc>
          <w:tcPr>
            <w:tcW w:w="960" w:type="dxa"/>
            <w:tcBorders>
              <w:top w:val="nil"/>
              <w:left w:val="nil"/>
              <w:bottom w:val="single" w:sz="4" w:space="0" w:color="000000"/>
              <w:right w:val="single" w:sz="4" w:space="0" w:color="000000"/>
            </w:tcBorders>
            <w:shd w:val="clear" w:color="auto" w:fill="auto"/>
            <w:noWrap/>
            <w:vAlign w:val="bottom"/>
            <w:hideMark/>
          </w:tcPr>
          <w:p w14:paraId="7D6819B3" w14:textId="77777777" w:rsidR="009F5F11" w:rsidRPr="009F5F11" w:rsidRDefault="009F5F11" w:rsidP="009F5F11">
            <w:pPr>
              <w:spacing w:after="0" w:line="240" w:lineRule="auto"/>
              <w:jc w:val="center"/>
              <w:rPr>
                <w:rFonts w:ascii="Calibri" w:eastAsia="Times New Roman" w:hAnsi="Calibri" w:cs="Calibri"/>
                <w:color w:val="000000"/>
                <w:lang w:eastAsia="en-GB"/>
              </w:rPr>
            </w:pPr>
            <w:r w:rsidRPr="009F5F11">
              <w:rPr>
                <w:rFonts w:ascii="Calibri" w:eastAsia="Times New Roman" w:hAnsi="Calibri" w:cs="Calibri"/>
                <w:color w:val="000000"/>
                <w:lang w:eastAsia="en-GB"/>
              </w:rPr>
              <w:t>-0.03</w:t>
            </w:r>
          </w:p>
        </w:tc>
      </w:tr>
    </w:tbl>
    <w:p w14:paraId="479955EB" w14:textId="708FD62E" w:rsidR="0042401D" w:rsidRDefault="0042401D" w:rsidP="0849D260">
      <w:pPr>
        <w:spacing w:after="0" w:line="240" w:lineRule="auto"/>
        <w:jc w:val="both"/>
        <w:rPr>
          <w:rFonts w:cs="Times New Roman"/>
          <w:b/>
          <w:bCs/>
        </w:rPr>
      </w:pPr>
    </w:p>
    <w:p w14:paraId="56E190E0" w14:textId="54465F44" w:rsidR="002F2B54" w:rsidRPr="00956778" w:rsidRDefault="00A149DF" w:rsidP="0849D260">
      <w:pPr>
        <w:spacing w:after="0" w:line="240" w:lineRule="auto"/>
        <w:jc w:val="both"/>
        <w:rPr>
          <w:rFonts w:cs="Times New Roman"/>
        </w:rPr>
      </w:pPr>
      <w:r w:rsidRPr="0849D260">
        <w:rPr>
          <w:rFonts w:cs="Times New Roman"/>
        </w:rPr>
        <w:t xml:space="preserve">Across all sample </w:t>
      </w:r>
      <w:proofErr w:type="gramStart"/>
      <w:r w:rsidRPr="0849D260">
        <w:rPr>
          <w:rFonts w:cs="Times New Roman"/>
        </w:rPr>
        <w:t>types</w:t>
      </w:r>
      <w:proofErr w:type="gramEnd"/>
      <w:r w:rsidRPr="0849D260">
        <w:rPr>
          <w:rFonts w:cs="Times New Roman"/>
        </w:rPr>
        <w:t xml:space="preserve"> the results give a root mean square bias of </w:t>
      </w:r>
      <w:commentRangeStart w:id="16"/>
      <w:r w:rsidRPr="0849D260">
        <w:rPr>
          <w:rFonts w:cs="Times New Roman"/>
        </w:rPr>
        <w:t>0.0</w:t>
      </w:r>
      <w:r w:rsidR="51642731" w:rsidRPr="0849D260">
        <w:rPr>
          <w:rFonts w:cs="Times New Roman"/>
        </w:rPr>
        <w:t>3</w:t>
      </w:r>
      <w:r w:rsidR="009F5F11">
        <w:rPr>
          <w:rFonts w:cs="Times New Roman"/>
        </w:rPr>
        <w:t>5</w:t>
      </w:r>
      <w:commentRangeEnd w:id="16"/>
      <w:r w:rsidR="00C23C49">
        <w:rPr>
          <w:rStyle w:val="CommentReference"/>
        </w:rPr>
        <w:commentReference w:id="16"/>
      </w:r>
      <w:r w:rsidR="009F5F11">
        <w:rPr>
          <w:rFonts w:cs="Times New Roman"/>
        </w:rPr>
        <w:t>%</w:t>
      </w:r>
      <w:r w:rsidRPr="0849D260">
        <w:rPr>
          <w:rFonts w:cs="Times New Roman"/>
        </w:rPr>
        <w:t xml:space="preserve"> abv.  Combined with the uncertainties of the assigned value this gives a combined uncertainty arising from the accuracy of the method of </w:t>
      </w:r>
      <w:commentRangeStart w:id="17"/>
      <w:r w:rsidRPr="0849D260">
        <w:rPr>
          <w:rFonts w:cs="Times New Roman"/>
        </w:rPr>
        <w:t>0.0</w:t>
      </w:r>
      <w:r w:rsidR="1CD09ED2" w:rsidRPr="0849D260">
        <w:rPr>
          <w:rFonts w:cs="Times New Roman"/>
        </w:rPr>
        <w:t>3</w:t>
      </w:r>
      <w:r w:rsidR="009F5F11">
        <w:rPr>
          <w:rFonts w:cs="Times New Roman"/>
        </w:rPr>
        <w:t>6</w:t>
      </w:r>
      <w:commentRangeEnd w:id="17"/>
      <w:r w:rsidR="00C23C49">
        <w:rPr>
          <w:rStyle w:val="CommentReference"/>
        </w:rPr>
        <w:commentReference w:id="17"/>
      </w:r>
      <w:r w:rsidRPr="0849D260">
        <w:rPr>
          <w:rFonts w:cs="Times New Roman"/>
        </w:rPr>
        <w:t xml:space="preserve">% abv. </w:t>
      </w:r>
      <w:r w:rsidR="52D5B9C6" w:rsidRPr="0849D260">
        <w:rPr>
          <w:rFonts w:cs="Times New Roman"/>
        </w:rPr>
        <w:t>This is close to but above the standard uncertainty calculated in the 2007 document (0.026% abv). DAPS covers a wider range of matrices than the 2007 document and this document is already pending revision to reflect this.</w:t>
      </w:r>
    </w:p>
    <w:p w14:paraId="45EDEDFA" w14:textId="267FD404" w:rsidR="00A149DF" w:rsidRPr="00F63A2A" w:rsidRDefault="00A149DF" w:rsidP="002F2599">
      <w:pPr>
        <w:spacing w:after="0" w:line="240" w:lineRule="auto"/>
        <w:jc w:val="both"/>
        <w:rPr>
          <w:rFonts w:cs="Times New Roman"/>
          <w:b/>
          <w:iCs/>
          <w:color w:val="FF0000"/>
        </w:rPr>
      </w:pPr>
    </w:p>
    <w:p w14:paraId="55BF3975" w14:textId="6C50EA3F" w:rsidR="00A149DF" w:rsidRDefault="00A149DF" w:rsidP="002F2599">
      <w:pPr>
        <w:spacing w:after="0" w:line="240" w:lineRule="auto"/>
        <w:jc w:val="both"/>
        <w:rPr>
          <w:rFonts w:cs="Times New Roman"/>
          <w:b/>
          <w:iCs/>
        </w:rPr>
      </w:pPr>
    </w:p>
    <w:p w14:paraId="77375B8F" w14:textId="77777777" w:rsidR="009F5F11" w:rsidRPr="00A149DF" w:rsidRDefault="009F5F11" w:rsidP="002F2599">
      <w:pPr>
        <w:spacing w:after="0" w:line="240" w:lineRule="auto"/>
        <w:jc w:val="both"/>
        <w:rPr>
          <w:rFonts w:cs="Times New Roman"/>
          <w:b/>
          <w:iCs/>
        </w:rPr>
      </w:pPr>
    </w:p>
    <w:p w14:paraId="32879D4D" w14:textId="7DF36A65" w:rsidR="00F009A2" w:rsidRPr="00E7045D" w:rsidRDefault="617703D8" w:rsidP="27FF0EBE">
      <w:pPr>
        <w:spacing w:after="0" w:line="240" w:lineRule="auto"/>
        <w:jc w:val="both"/>
        <w:rPr>
          <w:rFonts w:cs="Times New Roman"/>
          <w:b/>
          <w:bCs/>
          <w:i/>
          <w:iCs/>
        </w:rPr>
      </w:pPr>
      <w:r w:rsidRPr="27FF0EBE">
        <w:rPr>
          <w:rFonts w:cs="Times New Roman"/>
          <w:b/>
          <w:bCs/>
          <w:i/>
          <w:iCs/>
        </w:rPr>
        <w:t xml:space="preserve">Technical Anomalies </w:t>
      </w:r>
      <w:r w:rsidR="3F0D0F14" w:rsidRPr="27FF0EBE">
        <w:rPr>
          <w:rFonts w:cs="Times New Roman"/>
          <w:b/>
          <w:bCs/>
          <w:i/>
          <w:iCs/>
        </w:rPr>
        <w:t>/</w:t>
      </w:r>
      <w:r w:rsidR="5371A1D5" w:rsidRPr="27FF0EBE">
        <w:rPr>
          <w:rFonts w:cs="Times New Roman"/>
          <w:b/>
          <w:bCs/>
          <w:i/>
          <w:iCs/>
        </w:rPr>
        <w:t>Departures</w:t>
      </w:r>
    </w:p>
    <w:p w14:paraId="17AA54B0" w14:textId="77777777" w:rsidR="00F009A2" w:rsidRPr="00402D64" w:rsidRDefault="00F009A2" w:rsidP="002F2599">
      <w:pPr>
        <w:spacing w:after="0" w:line="240" w:lineRule="auto"/>
        <w:jc w:val="both"/>
        <w:rPr>
          <w:rFonts w:cs="Times New Roman"/>
          <w:sz w:val="28"/>
          <w:szCs w:val="28"/>
        </w:rPr>
      </w:pPr>
    </w:p>
    <w:p w14:paraId="588617EC" w14:textId="77777777" w:rsidR="00402D64" w:rsidRPr="00402D64" w:rsidRDefault="00402D64" w:rsidP="00402D64">
      <w:pPr>
        <w:numPr>
          <w:ilvl w:val="0"/>
          <w:numId w:val="10"/>
        </w:numPr>
        <w:spacing w:after="0" w:line="240" w:lineRule="auto"/>
        <w:rPr>
          <w:rFonts w:eastAsia="Times New Roman"/>
          <w:lang w:val="en-US"/>
        </w:rPr>
      </w:pPr>
      <w:bookmarkStart w:id="18" w:name="_Hlk62482631"/>
      <w:r w:rsidRPr="00402D64">
        <w:rPr>
          <w:rFonts w:eastAsia="Times New Roman"/>
          <w:color w:val="000000"/>
        </w:rPr>
        <w:t xml:space="preserve">TA357: 10 </w:t>
      </w:r>
      <w:proofErr w:type="gramStart"/>
      <w:r w:rsidRPr="00402D64">
        <w:rPr>
          <w:rFonts w:eastAsia="Times New Roman"/>
          <w:color w:val="000000"/>
        </w:rPr>
        <w:t>run</w:t>
      </w:r>
      <w:proofErr w:type="gramEnd"/>
      <w:r w:rsidRPr="00402D64">
        <w:rPr>
          <w:rFonts w:eastAsia="Times New Roman"/>
          <w:color w:val="000000"/>
        </w:rPr>
        <w:t xml:space="preserve"> on the same side </w:t>
      </w:r>
      <w:r w:rsidRPr="00402D64">
        <w:rPr>
          <w:rFonts w:eastAsia="Times New Roman"/>
        </w:rPr>
        <w:t xml:space="preserve">of the mean </w:t>
      </w:r>
      <w:bookmarkStart w:id="19" w:name="_Hlk77600828"/>
      <w:r w:rsidRPr="00402D64">
        <w:rPr>
          <w:rFonts w:eastAsia="Times New Roman"/>
          <w:lang w:val="en-US"/>
        </w:rPr>
        <w:t>Status: CLOSED</w:t>
      </w:r>
      <w:bookmarkEnd w:id="19"/>
    </w:p>
    <w:p w14:paraId="63A911AB" w14:textId="77777777" w:rsidR="00402D64" w:rsidRPr="00402D64" w:rsidRDefault="00402D64" w:rsidP="00402D64">
      <w:pPr>
        <w:numPr>
          <w:ilvl w:val="0"/>
          <w:numId w:val="10"/>
        </w:numPr>
        <w:spacing w:after="0" w:line="240" w:lineRule="auto"/>
        <w:rPr>
          <w:rFonts w:eastAsia="Times New Roman"/>
          <w:color w:val="000000"/>
          <w:lang w:val="en-US"/>
        </w:rPr>
      </w:pPr>
      <w:commentRangeStart w:id="20"/>
      <w:r w:rsidRPr="00402D64">
        <w:rPr>
          <w:rFonts w:eastAsia="Times New Roman"/>
          <w:color w:val="000000"/>
        </w:rPr>
        <w:t>TA387: Difference between QC app and act is 0.0</w:t>
      </w:r>
      <w:r w:rsidRPr="00402D64">
        <w:rPr>
          <w:rFonts w:eastAsia="Times New Roman"/>
          <w:color w:val="000000"/>
          <w:lang w:val="en-US"/>
        </w:rPr>
        <w:t xml:space="preserve"> Status: CLOSED</w:t>
      </w:r>
      <w:commentRangeEnd w:id="20"/>
      <w:r w:rsidR="00C310B1">
        <w:rPr>
          <w:rStyle w:val="CommentReference"/>
        </w:rPr>
        <w:commentReference w:id="20"/>
      </w:r>
    </w:p>
    <w:p w14:paraId="6817B3C5" w14:textId="77777777" w:rsidR="00402D64" w:rsidRPr="00402D64" w:rsidRDefault="00402D64" w:rsidP="00402D64">
      <w:pPr>
        <w:numPr>
          <w:ilvl w:val="0"/>
          <w:numId w:val="10"/>
        </w:numPr>
        <w:spacing w:after="0" w:line="240" w:lineRule="auto"/>
        <w:rPr>
          <w:rFonts w:eastAsia="Times New Roman"/>
          <w:b/>
          <w:bCs/>
          <w:color w:val="000000"/>
          <w:lang w:val="en-US"/>
        </w:rPr>
      </w:pPr>
      <w:r w:rsidRPr="00402D64">
        <w:rPr>
          <w:rFonts w:eastAsia="Times New Roman"/>
          <w:color w:val="000000"/>
        </w:rPr>
        <w:t>TA391: Bracket check failed</w:t>
      </w:r>
      <w:r w:rsidRPr="00402D64">
        <w:rPr>
          <w:rFonts w:eastAsia="Times New Roman"/>
          <w:b/>
          <w:bCs/>
          <w:color w:val="000000"/>
        </w:rPr>
        <w:t xml:space="preserve"> </w:t>
      </w:r>
      <w:r w:rsidRPr="00402D64">
        <w:rPr>
          <w:rFonts w:eastAsia="Times New Roman"/>
          <w:color w:val="000000"/>
          <w:lang w:val="en-US"/>
        </w:rPr>
        <w:t>Status: CLOSED</w:t>
      </w:r>
    </w:p>
    <w:p w14:paraId="705886EC" w14:textId="77777777" w:rsidR="00402D64" w:rsidRPr="00402D64" w:rsidRDefault="00402D64" w:rsidP="00402D64">
      <w:pPr>
        <w:numPr>
          <w:ilvl w:val="0"/>
          <w:numId w:val="10"/>
        </w:numPr>
        <w:spacing w:after="0" w:line="240" w:lineRule="auto"/>
        <w:rPr>
          <w:rFonts w:eastAsia="Times New Roman"/>
          <w:b/>
          <w:bCs/>
          <w:color w:val="000000"/>
          <w:lang w:val="en-US"/>
        </w:rPr>
      </w:pPr>
      <w:r w:rsidRPr="00402D64">
        <w:rPr>
          <w:rFonts w:eastAsia="Times New Roman"/>
        </w:rPr>
        <w:t xml:space="preserve">TA392: </w:t>
      </w:r>
      <w:commentRangeStart w:id="21"/>
      <w:commentRangeStart w:id="22"/>
      <w:r w:rsidRPr="00402D64">
        <w:rPr>
          <w:rFonts w:eastAsia="Times New Roman"/>
        </w:rPr>
        <w:t xml:space="preserve">QC issues </w:t>
      </w:r>
      <w:r w:rsidRPr="00402D64">
        <w:rPr>
          <w:rFonts w:eastAsia="Times New Roman"/>
          <w:color w:val="000000"/>
          <w:lang w:val="en-US"/>
        </w:rPr>
        <w:t>Status:</w:t>
      </w:r>
      <w:commentRangeEnd w:id="21"/>
      <w:r w:rsidR="00C310B1">
        <w:rPr>
          <w:rStyle w:val="CommentReference"/>
        </w:rPr>
        <w:commentReference w:id="21"/>
      </w:r>
      <w:commentRangeEnd w:id="22"/>
      <w:r w:rsidR="000E450C">
        <w:rPr>
          <w:rStyle w:val="CommentReference"/>
        </w:rPr>
        <w:commentReference w:id="22"/>
      </w:r>
      <w:r w:rsidRPr="00402D64">
        <w:rPr>
          <w:rFonts w:eastAsia="Times New Roman"/>
          <w:color w:val="000000"/>
          <w:lang w:val="en-US"/>
        </w:rPr>
        <w:t xml:space="preserve"> CLOSED</w:t>
      </w:r>
    </w:p>
    <w:p w14:paraId="0F3CFD54" w14:textId="77777777" w:rsidR="00402D64" w:rsidRPr="00402D64" w:rsidRDefault="00402D64" w:rsidP="00402D64">
      <w:pPr>
        <w:numPr>
          <w:ilvl w:val="0"/>
          <w:numId w:val="10"/>
        </w:numPr>
        <w:spacing w:after="0" w:line="240" w:lineRule="auto"/>
        <w:rPr>
          <w:rFonts w:eastAsia="Times New Roman"/>
          <w:b/>
          <w:bCs/>
          <w:color w:val="000000"/>
          <w:lang w:val="en-US"/>
        </w:rPr>
      </w:pPr>
      <w:r w:rsidRPr="00402D64">
        <w:rPr>
          <w:rFonts w:eastAsia="Times New Roman"/>
        </w:rPr>
        <w:t xml:space="preserve">TA395: Failed bracket check and QC points on warning limit </w:t>
      </w:r>
      <w:r w:rsidRPr="00402D64">
        <w:rPr>
          <w:rFonts w:eastAsia="Times New Roman"/>
          <w:color w:val="000000"/>
          <w:lang w:val="en-US"/>
        </w:rPr>
        <w:t>Status: CLOSED</w:t>
      </w:r>
    </w:p>
    <w:bookmarkEnd w:id="18"/>
    <w:p w14:paraId="61E3A33A" w14:textId="3EC5AA0C" w:rsidR="2130DD19" w:rsidRDefault="2130DD19" w:rsidP="2130DD19">
      <w:pPr>
        <w:spacing w:after="0" w:line="240" w:lineRule="auto"/>
        <w:jc w:val="both"/>
        <w:rPr>
          <w:rFonts w:eastAsia="Times New Roman"/>
        </w:rPr>
      </w:pPr>
    </w:p>
    <w:p w14:paraId="4EBAEAB3" w14:textId="7512F70D" w:rsidR="00402D64" w:rsidRPr="00F00FB9" w:rsidRDefault="00402D64" w:rsidP="00402D64">
      <w:pPr>
        <w:spacing w:after="0" w:line="240" w:lineRule="auto"/>
        <w:jc w:val="both"/>
        <w:rPr>
          <w:rFonts w:eastAsia="Times New Roman"/>
          <w:lang w:val="en-US"/>
        </w:rPr>
      </w:pPr>
      <w:r w:rsidRPr="27FF0EBE">
        <w:rPr>
          <w:rFonts w:eastAsia="Times New Roman"/>
          <w:lang w:val="en-US"/>
        </w:rPr>
        <w:t xml:space="preserve">A total of </w:t>
      </w:r>
      <w:r>
        <w:rPr>
          <w:rFonts w:eastAsia="Times New Roman"/>
          <w:lang w:val="en-US"/>
        </w:rPr>
        <w:t>5</w:t>
      </w:r>
      <w:r w:rsidRPr="27FF0EBE">
        <w:rPr>
          <w:rFonts w:eastAsia="Times New Roman"/>
          <w:lang w:val="en-US"/>
        </w:rPr>
        <w:t xml:space="preserve"> Technical Anomalies were raised for this method in 202</w:t>
      </w:r>
      <w:r w:rsidR="00C310B1">
        <w:rPr>
          <w:rFonts w:eastAsia="Times New Roman"/>
          <w:lang w:val="en-US"/>
        </w:rPr>
        <w:t>1</w:t>
      </w:r>
      <w:r w:rsidRPr="27FF0EBE">
        <w:rPr>
          <w:rFonts w:eastAsia="Times New Roman"/>
          <w:lang w:val="en-US"/>
        </w:rPr>
        <w:t>, all of which have been closed. This was less than the number recorded in 20</w:t>
      </w:r>
      <w:r>
        <w:rPr>
          <w:rFonts w:eastAsia="Times New Roman"/>
          <w:lang w:val="en-US"/>
        </w:rPr>
        <w:t xml:space="preserve">20. </w:t>
      </w:r>
      <w:r w:rsidR="005B66CD">
        <w:rPr>
          <w:rFonts w:eastAsia="Times New Roman"/>
          <w:lang w:val="en-US"/>
        </w:rPr>
        <w:t>T</w:t>
      </w:r>
      <w:r w:rsidRPr="27FF0EBE">
        <w:rPr>
          <w:rFonts w:eastAsia="Times New Roman"/>
          <w:lang w:val="en-US"/>
        </w:rPr>
        <w:t xml:space="preserve">he proportion of </w:t>
      </w:r>
      <w:r w:rsidR="00237F68">
        <w:rPr>
          <w:rFonts w:eastAsia="Times New Roman"/>
          <w:lang w:val="en-US"/>
        </w:rPr>
        <w:t>T</w:t>
      </w:r>
      <w:r w:rsidRPr="27FF0EBE">
        <w:rPr>
          <w:rFonts w:eastAsia="Times New Roman"/>
          <w:lang w:val="en-US"/>
        </w:rPr>
        <w:t xml:space="preserve">echnical </w:t>
      </w:r>
      <w:r w:rsidR="00237F68">
        <w:rPr>
          <w:rFonts w:eastAsia="Times New Roman"/>
          <w:lang w:val="en-US"/>
        </w:rPr>
        <w:t>A</w:t>
      </w:r>
      <w:r w:rsidRPr="27FF0EBE">
        <w:rPr>
          <w:rFonts w:eastAsia="Times New Roman"/>
          <w:lang w:val="en-US"/>
        </w:rPr>
        <w:t xml:space="preserve">nomalies to </w:t>
      </w:r>
      <w:commentRangeStart w:id="23"/>
      <w:r w:rsidRPr="27FF0EBE">
        <w:rPr>
          <w:rFonts w:eastAsia="Times New Roman"/>
          <w:lang w:val="en-US"/>
        </w:rPr>
        <w:t>runs performed</w:t>
      </w:r>
      <w:commentRangeEnd w:id="23"/>
      <w:r w:rsidR="00F212A6">
        <w:rPr>
          <w:rStyle w:val="CommentReference"/>
        </w:rPr>
        <w:commentReference w:id="23"/>
      </w:r>
      <w:r w:rsidRPr="27FF0EBE">
        <w:rPr>
          <w:rFonts w:eastAsia="Times New Roman"/>
          <w:lang w:val="en-US"/>
        </w:rPr>
        <w:t xml:space="preserve"> in 20</w:t>
      </w:r>
      <w:r w:rsidR="005B66CD">
        <w:rPr>
          <w:rFonts w:eastAsia="Times New Roman"/>
          <w:lang w:val="en-US"/>
        </w:rPr>
        <w:t xml:space="preserve">20 was </w:t>
      </w:r>
      <w:commentRangeStart w:id="24"/>
      <w:r w:rsidR="005B66CD">
        <w:rPr>
          <w:rFonts w:eastAsia="Times New Roman"/>
          <w:lang w:val="en-US"/>
        </w:rPr>
        <w:t>8</w:t>
      </w:r>
      <w:r w:rsidRPr="27FF0EBE">
        <w:rPr>
          <w:rFonts w:eastAsia="Times New Roman"/>
          <w:lang w:val="en-US"/>
        </w:rPr>
        <w:t xml:space="preserve"> </w:t>
      </w:r>
      <w:r w:rsidR="005B66CD">
        <w:rPr>
          <w:rFonts w:eastAsia="Times New Roman"/>
          <w:lang w:val="en-US"/>
        </w:rPr>
        <w:t>whilst in</w:t>
      </w:r>
      <w:r w:rsidRPr="27FF0EBE">
        <w:rPr>
          <w:rFonts w:eastAsia="Times New Roman"/>
          <w:lang w:val="en-US"/>
        </w:rPr>
        <w:t xml:space="preserve"> 202</w:t>
      </w:r>
      <w:r w:rsidR="005B66CD">
        <w:rPr>
          <w:rFonts w:eastAsia="Times New Roman"/>
          <w:lang w:val="en-US"/>
        </w:rPr>
        <w:t>1 it was 17</w:t>
      </w:r>
      <w:commentRangeEnd w:id="24"/>
      <w:r w:rsidR="000E450C">
        <w:rPr>
          <w:rStyle w:val="CommentReference"/>
        </w:rPr>
        <w:commentReference w:id="24"/>
      </w:r>
      <w:r w:rsidRPr="27FF0EBE">
        <w:rPr>
          <w:rFonts w:eastAsia="Times New Roman"/>
          <w:lang w:val="en-US"/>
        </w:rPr>
        <w:t xml:space="preserve">. Technical </w:t>
      </w:r>
      <w:r w:rsidR="00237F68">
        <w:rPr>
          <w:rFonts w:eastAsia="Times New Roman"/>
          <w:lang w:val="en-US"/>
        </w:rPr>
        <w:t>A</w:t>
      </w:r>
      <w:r w:rsidRPr="27FF0EBE">
        <w:rPr>
          <w:rFonts w:eastAsia="Times New Roman"/>
          <w:lang w:val="en-US"/>
        </w:rPr>
        <w:t>nomalies generally related to bracket check/repeatability failures (resolved after following instrument maintenance procedures)</w:t>
      </w:r>
      <w:r w:rsidR="00CC1DAC">
        <w:rPr>
          <w:rFonts w:eastAsia="Times New Roman"/>
          <w:lang w:val="en-US"/>
        </w:rPr>
        <w:t xml:space="preserve"> and environmental </w:t>
      </w:r>
      <w:r w:rsidR="008F2484">
        <w:rPr>
          <w:rFonts w:eastAsia="Times New Roman"/>
          <w:lang w:val="en-US"/>
        </w:rPr>
        <w:t>effects on the density meter and QC samples</w:t>
      </w:r>
      <w:r w:rsidR="00F1565D">
        <w:rPr>
          <w:rFonts w:eastAsia="Times New Roman"/>
          <w:lang w:val="en-US"/>
        </w:rPr>
        <w:t xml:space="preserve"> (humidity and temperature increase)</w:t>
      </w:r>
      <w:r w:rsidR="008F2484">
        <w:rPr>
          <w:rFonts w:eastAsia="Times New Roman"/>
          <w:lang w:val="en-US"/>
        </w:rPr>
        <w:t>.</w:t>
      </w:r>
      <w:r w:rsidRPr="27FF0EBE">
        <w:rPr>
          <w:rFonts w:eastAsia="Times New Roman"/>
          <w:lang w:val="en-US"/>
        </w:rPr>
        <w:t xml:space="preserve"> </w:t>
      </w:r>
      <w:r w:rsidR="00905175">
        <w:rPr>
          <w:rFonts w:eastAsia="Times New Roman"/>
          <w:lang w:val="en-US"/>
        </w:rPr>
        <w:t>4</w:t>
      </w:r>
      <w:r w:rsidR="00CC1DAC">
        <w:rPr>
          <w:rFonts w:eastAsia="Times New Roman"/>
          <w:lang w:val="en-US"/>
        </w:rPr>
        <w:t xml:space="preserve"> </w:t>
      </w:r>
      <w:r w:rsidRPr="27FF0EBE">
        <w:rPr>
          <w:rFonts w:eastAsia="Times New Roman"/>
          <w:lang w:val="en-US"/>
        </w:rPr>
        <w:t>Technical Anomal</w:t>
      </w:r>
      <w:r w:rsidR="00B63EDB">
        <w:rPr>
          <w:rFonts w:eastAsia="Times New Roman"/>
          <w:lang w:val="en-US"/>
        </w:rPr>
        <w:t>ies</w:t>
      </w:r>
      <w:r w:rsidR="00CC1DAC">
        <w:rPr>
          <w:rFonts w:eastAsia="Times New Roman"/>
          <w:lang w:val="en-US"/>
        </w:rPr>
        <w:t xml:space="preserve"> </w:t>
      </w:r>
      <w:r w:rsidRPr="27FF0EBE">
        <w:rPr>
          <w:rFonts w:eastAsia="Times New Roman"/>
          <w:lang w:val="en-US"/>
        </w:rPr>
        <w:t>w</w:t>
      </w:r>
      <w:r w:rsidR="00B63EDB">
        <w:rPr>
          <w:rFonts w:eastAsia="Times New Roman"/>
          <w:lang w:val="en-US"/>
        </w:rPr>
        <w:t>ere</w:t>
      </w:r>
      <w:r w:rsidRPr="27FF0EBE">
        <w:rPr>
          <w:rFonts w:eastAsia="Times New Roman"/>
          <w:lang w:val="en-US"/>
        </w:rPr>
        <w:t xml:space="preserve"> opened against </w:t>
      </w:r>
      <w:commentRangeStart w:id="25"/>
      <w:commentRangeStart w:id="26"/>
      <w:r w:rsidRPr="27FF0EBE">
        <w:rPr>
          <w:rFonts w:eastAsia="Times New Roman"/>
          <w:lang w:val="en-US"/>
        </w:rPr>
        <w:t>control chart bias</w:t>
      </w:r>
      <w:commentRangeEnd w:id="25"/>
      <w:r w:rsidR="00B63EDB">
        <w:rPr>
          <w:rStyle w:val="CommentReference"/>
        </w:rPr>
        <w:commentReference w:id="25"/>
      </w:r>
      <w:commentRangeEnd w:id="26"/>
      <w:r w:rsidR="000E450C">
        <w:rPr>
          <w:rStyle w:val="CommentReference"/>
        </w:rPr>
        <w:commentReference w:id="26"/>
      </w:r>
      <w:r w:rsidR="008F2484">
        <w:rPr>
          <w:rFonts w:eastAsia="Times New Roman"/>
          <w:lang w:val="en-US"/>
        </w:rPr>
        <w:t xml:space="preserve">. </w:t>
      </w:r>
      <w:r w:rsidR="00B63EDB">
        <w:rPr>
          <w:rFonts w:eastAsia="Times New Roman"/>
          <w:lang w:val="en-US"/>
        </w:rPr>
        <w:t>One of which</w:t>
      </w:r>
      <w:r w:rsidR="008F2484">
        <w:rPr>
          <w:rFonts w:eastAsia="Times New Roman"/>
          <w:lang w:val="en-US"/>
        </w:rPr>
        <w:t xml:space="preserve"> w</w:t>
      </w:r>
      <w:r w:rsidR="00B63EDB">
        <w:rPr>
          <w:rFonts w:eastAsia="Times New Roman"/>
          <w:lang w:val="en-US"/>
        </w:rPr>
        <w:t>as</w:t>
      </w:r>
      <w:r w:rsidR="008F2484">
        <w:rPr>
          <w:rFonts w:eastAsia="Times New Roman"/>
          <w:lang w:val="en-US"/>
        </w:rPr>
        <w:t xml:space="preserve"> attributed to humidity and temperature changes</w:t>
      </w:r>
      <w:r w:rsidR="00B63EDB">
        <w:rPr>
          <w:rFonts w:eastAsia="Times New Roman"/>
          <w:lang w:val="en-US"/>
        </w:rPr>
        <w:t xml:space="preserve"> and the other two were resolved by following instrument maintenance procedures. All </w:t>
      </w:r>
      <w:r w:rsidR="00905175">
        <w:rPr>
          <w:rFonts w:eastAsia="Times New Roman"/>
          <w:lang w:val="en-US"/>
        </w:rPr>
        <w:t>4</w:t>
      </w:r>
      <w:r w:rsidR="008F2484">
        <w:rPr>
          <w:rFonts w:eastAsia="Times New Roman"/>
          <w:lang w:val="en-US"/>
        </w:rPr>
        <w:t xml:space="preserve"> ha</w:t>
      </w:r>
      <w:r w:rsidR="00B63EDB">
        <w:rPr>
          <w:rFonts w:eastAsia="Times New Roman"/>
          <w:lang w:val="en-US"/>
        </w:rPr>
        <w:t>ve</w:t>
      </w:r>
      <w:r w:rsidR="008F2484">
        <w:rPr>
          <w:rFonts w:eastAsia="Times New Roman"/>
          <w:lang w:val="en-US"/>
        </w:rPr>
        <w:t xml:space="preserve"> since been closed.</w:t>
      </w:r>
    </w:p>
    <w:p w14:paraId="73CAA712" w14:textId="77777777" w:rsidR="00402D64" w:rsidRDefault="00402D64" w:rsidP="00402D64">
      <w:pPr>
        <w:spacing w:after="0" w:line="240" w:lineRule="auto"/>
        <w:jc w:val="both"/>
        <w:rPr>
          <w:rFonts w:eastAsia="Times New Roman"/>
          <w:lang w:val="en-US"/>
        </w:rPr>
      </w:pPr>
    </w:p>
    <w:p w14:paraId="407859C5" w14:textId="6DFB6A65" w:rsidR="00402D64" w:rsidRPr="00F00FB9" w:rsidRDefault="00402D64" w:rsidP="00402D64">
      <w:pPr>
        <w:spacing w:after="0" w:line="240" w:lineRule="auto"/>
        <w:jc w:val="both"/>
        <w:rPr>
          <w:rFonts w:eastAsia="Times New Roman"/>
          <w:lang w:val="en-US"/>
        </w:rPr>
      </w:pPr>
      <w:r w:rsidRPr="27FF0EBE">
        <w:rPr>
          <w:rFonts w:eastAsia="Times New Roman"/>
          <w:lang w:val="en-US"/>
        </w:rPr>
        <w:t>No departures were recorded against this method in 202</w:t>
      </w:r>
      <w:r w:rsidR="00905175">
        <w:rPr>
          <w:rFonts w:eastAsia="Times New Roman"/>
          <w:lang w:val="en-US"/>
        </w:rPr>
        <w:t>1</w:t>
      </w:r>
      <w:r w:rsidRPr="27FF0EBE">
        <w:rPr>
          <w:rFonts w:eastAsia="Times New Roman"/>
          <w:lang w:val="en-US"/>
        </w:rPr>
        <w:t>.</w:t>
      </w:r>
    </w:p>
    <w:p w14:paraId="6960B9D2" w14:textId="77777777" w:rsidR="00402D64" w:rsidRDefault="00402D64" w:rsidP="2130DD19">
      <w:pPr>
        <w:spacing w:after="0" w:line="240" w:lineRule="auto"/>
        <w:jc w:val="both"/>
        <w:rPr>
          <w:rFonts w:eastAsia="Times New Roman"/>
          <w:lang w:val="en-US"/>
        </w:rPr>
      </w:pPr>
    </w:p>
    <w:p w14:paraId="5F1A5763" w14:textId="23ED4054" w:rsidR="002F791E" w:rsidRPr="000519FE" w:rsidRDefault="002F791E" w:rsidP="002F2599">
      <w:pPr>
        <w:spacing w:after="0" w:line="240" w:lineRule="auto"/>
        <w:jc w:val="both"/>
        <w:rPr>
          <w:rFonts w:cs="Times New Roman"/>
          <w:b/>
          <w:i/>
        </w:rPr>
      </w:pPr>
      <w:r w:rsidRPr="000519FE">
        <w:rPr>
          <w:rFonts w:cs="Times New Roman"/>
          <w:b/>
          <w:i/>
        </w:rPr>
        <w:t>Conclusion</w:t>
      </w:r>
      <w:r w:rsidR="00B93953" w:rsidRPr="000519FE">
        <w:rPr>
          <w:rFonts w:cs="Times New Roman"/>
          <w:b/>
          <w:i/>
        </w:rPr>
        <w:t>s</w:t>
      </w:r>
    </w:p>
    <w:p w14:paraId="0C60DD7F" w14:textId="797EA39D" w:rsidR="00F009A2" w:rsidRPr="000519FE" w:rsidRDefault="00F009A2" w:rsidP="002F2599">
      <w:pPr>
        <w:spacing w:after="0" w:line="240" w:lineRule="auto"/>
        <w:jc w:val="both"/>
        <w:rPr>
          <w:rFonts w:cs="Times New Roman"/>
          <w:b/>
          <w:i/>
        </w:rPr>
      </w:pPr>
    </w:p>
    <w:p w14:paraId="6791A561" w14:textId="41DED29F" w:rsidR="00DC005D" w:rsidRPr="000519FE" w:rsidRDefault="28FD7827" w:rsidP="00DC005D">
      <w:pPr>
        <w:spacing w:after="0" w:line="240" w:lineRule="auto"/>
        <w:jc w:val="both"/>
        <w:rPr>
          <w:rFonts w:cs="Times New Roman"/>
        </w:rPr>
      </w:pPr>
      <w:r w:rsidRPr="27FF0EBE">
        <w:rPr>
          <w:rFonts w:cs="Times New Roman"/>
        </w:rPr>
        <w:t>The precision of this method during 20</w:t>
      </w:r>
      <w:r w:rsidR="49850FC6" w:rsidRPr="27FF0EBE">
        <w:rPr>
          <w:rFonts w:cs="Times New Roman"/>
        </w:rPr>
        <w:t>2</w:t>
      </w:r>
      <w:r w:rsidR="00905175">
        <w:rPr>
          <w:rFonts w:cs="Times New Roman"/>
        </w:rPr>
        <w:t>1</w:t>
      </w:r>
      <w:r w:rsidRPr="27FF0EBE">
        <w:rPr>
          <w:rFonts w:cs="Times New Roman"/>
        </w:rPr>
        <w:t xml:space="preserve"> was</w:t>
      </w:r>
      <w:r w:rsidR="6EDE57AE" w:rsidRPr="27FF0EBE">
        <w:rPr>
          <w:rFonts w:cs="Times New Roman"/>
        </w:rPr>
        <w:t xml:space="preserve"> within the limits of the 2007 uncertainty document.</w:t>
      </w:r>
      <w:r w:rsidRPr="27FF0EBE">
        <w:rPr>
          <w:rFonts w:cs="Times New Roman"/>
        </w:rPr>
        <w:t xml:space="preserve">  Based on the analysis of th</w:t>
      </w:r>
      <w:r w:rsidR="006873A6">
        <w:rPr>
          <w:rFonts w:cs="Times New Roman"/>
        </w:rPr>
        <w:t>e</w:t>
      </w:r>
      <w:r w:rsidRPr="27FF0EBE">
        <w:rPr>
          <w:rFonts w:cs="Times New Roman"/>
        </w:rPr>
        <w:t xml:space="preserve"> certified reference materials and proficiency scheme samples, the uncertainty of the method accuracy is greater than in the 2007 document and this should be revised.</w:t>
      </w:r>
      <w:r w:rsidR="3A9E5AA0" w:rsidRPr="27FF0EBE">
        <w:rPr>
          <w:rFonts w:cs="Times New Roman"/>
        </w:rPr>
        <w:t xml:space="preserve"> </w:t>
      </w:r>
    </w:p>
    <w:p w14:paraId="7CC2BCAD" w14:textId="77777777" w:rsidR="00DC005D" w:rsidRPr="000519FE" w:rsidRDefault="00DC005D" w:rsidP="00DC005D">
      <w:pPr>
        <w:spacing w:after="0" w:line="240" w:lineRule="auto"/>
        <w:jc w:val="both"/>
      </w:pPr>
    </w:p>
    <w:p w14:paraId="4B0529E7" w14:textId="177C2FF6" w:rsidR="00DC005D" w:rsidRPr="000519FE" w:rsidRDefault="00DC005D" w:rsidP="00DC005D">
      <w:pPr>
        <w:spacing w:after="0" w:line="240" w:lineRule="auto"/>
        <w:jc w:val="both"/>
      </w:pPr>
      <w:r w:rsidRPr="000519FE">
        <w:t xml:space="preserve">The Technical Anomalies raised were all actioned </w:t>
      </w:r>
      <w:proofErr w:type="gramStart"/>
      <w:r w:rsidR="00CF688A" w:rsidRPr="000519FE">
        <w:t>a</w:t>
      </w:r>
      <w:r w:rsidR="00850CF9" w:rsidRPr="000519FE">
        <w:t>ppropriately</w:t>
      </w:r>
      <w:proofErr w:type="gramEnd"/>
      <w:r w:rsidRPr="000519FE">
        <w:t xml:space="preserve"> and</w:t>
      </w:r>
      <w:r w:rsidR="004A15FC" w:rsidRPr="000519FE">
        <w:t xml:space="preserve"> thorough investigations carried out</w:t>
      </w:r>
      <w:r w:rsidR="00264F9F" w:rsidRPr="000519FE">
        <w:t>.</w:t>
      </w:r>
      <w:r w:rsidR="000519FE">
        <w:t xml:space="preserve"> Close attention will continue to be paid to the control chart to monitor the bias, but since all points are within</w:t>
      </w:r>
      <w:r w:rsidR="006873A6">
        <w:t>/on</w:t>
      </w:r>
      <w:r w:rsidR="000519FE">
        <w:t xml:space="preserve"> two standard deviations of the mean the performance of the method is not significantly impacted. </w:t>
      </w:r>
    </w:p>
    <w:p w14:paraId="656AE6B2" w14:textId="51213300" w:rsidR="00264F9F" w:rsidRDefault="00264F9F" w:rsidP="00DC005D">
      <w:pPr>
        <w:spacing w:after="0" w:line="240" w:lineRule="auto"/>
        <w:jc w:val="both"/>
      </w:pPr>
    </w:p>
    <w:p w14:paraId="01AE55E7" w14:textId="77777777" w:rsidR="00264F9F" w:rsidRPr="00DC005D" w:rsidRDefault="00264F9F" w:rsidP="00DC005D">
      <w:pPr>
        <w:spacing w:after="0" w:line="240" w:lineRule="auto"/>
        <w:jc w:val="both"/>
      </w:pPr>
    </w:p>
    <w:p w14:paraId="1CCCB7F7" w14:textId="77777777" w:rsidR="009475B3" w:rsidRPr="00DC005D" w:rsidRDefault="009475B3" w:rsidP="00FE68BF">
      <w:pPr>
        <w:spacing w:after="0" w:line="240" w:lineRule="auto"/>
        <w:jc w:val="both"/>
        <w:rPr>
          <w:rFonts w:cs="Times New Roman"/>
        </w:rPr>
      </w:pPr>
    </w:p>
    <w:p w14:paraId="0A57C549" w14:textId="77777777" w:rsidR="00C62D27" w:rsidRDefault="00C62D27" w:rsidP="002F2599">
      <w:pPr>
        <w:spacing w:after="0" w:line="240" w:lineRule="auto"/>
        <w:jc w:val="both"/>
        <w:rPr>
          <w:rFonts w:cs="Times New Roman"/>
          <w:b/>
          <w:i/>
        </w:rPr>
      </w:pPr>
    </w:p>
    <w:p w14:paraId="4C4A2E30" w14:textId="77777777" w:rsidR="00F009A2" w:rsidRDefault="00F009A2" w:rsidP="002F2599">
      <w:pPr>
        <w:spacing w:after="0" w:line="240" w:lineRule="auto"/>
        <w:jc w:val="both"/>
        <w:rPr>
          <w:rFonts w:cs="Times New Roman"/>
          <w:b/>
          <w:i/>
        </w:rPr>
      </w:pPr>
    </w:p>
    <w:p w14:paraId="6524AA42" w14:textId="77777777" w:rsidR="00F009A2" w:rsidRDefault="00F009A2" w:rsidP="002F2599">
      <w:pPr>
        <w:spacing w:after="0" w:line="240" w:lineRule="auto"/>
        <w:jc w:val="both"/>
        <w:rPr>
          <w:rFonts w:cs="Times New Roman"/>
          <w:b/>
          <w:i/>
        </w:rPr>
      </w:pPr>
    </w:p>
    <w:p w14:paraId="281DD4AE" w14:textId="77777777" w:rsidR="00F009A2" w:rsidRDefault="00F009A2" w:rsidP="002F2599">
      <w:pPr>
        <w:spacing w:after="0" w:line="240" w:lineRule="auto"/>
        <w:jc w:val="both"/>
        <w:rPr>
          <w:rFonts w:cs="Times New Roman"/>
          <w:b/>
          <w:i/>
        </w:rPr>
      </w:pPr>
    </w:p>
    <w:p w14:paraId="6D92F0F3" w14:textId="77777777" w:rsidR="00F009A2" w:rsidRDefault="00F009A2" w:rsidP="002F2599">
      <w:pPr>
        <w:spacing w:after="0" w:line="240" w:lineRule="auto"/>
        <w:jc w:val="both"/>
        <w:rPr>
          <w:rFonts w:cs="Times New Roman"/>
          <w:b/>
          <w:i/>
        </w:rPr>
      </w:pPr>
    </w:p>
    <w:p w14:paraId="4C1D8D36" w14:textId="77777777" w:rsidR="00846B0D" w:rsidRDefault="007C3BBD" w:rsidP="00B93953">
      <w:pPr>
        <w:jc w:val="both"/>
        <w:rPr>
          <w:rFonts w:cs="Times New Roman"/>
          <w:b/>
        </w:rPr>
      </w:pPr>
      <w:r>
        <w:rPr>
          <w:rFonts w:cs="Times New Roman"/>
          <w:b/>
        </w:rPr>
        <w:br w:type="page"/>
      </w:r>
    </w:p>
    <w:p w14:paraId="4A423045" w14:textId="387A6FBE" w:rsidR="000807B8" w:rsidRPr="00E7045D" w:rsidRDefault="000807B8" w:rsidP="00B93953">
      <w:pPr>
        <w:jc w:val="both"/>
        <w:rPr>
          <w:rFonts w:cs="Times New Roman"/>
          <w:b/>
        </w:rPr>
      </w:pPr>
      <w:r w:rsidRPr="00E7045D">
        <w:rPr>
          <w:rFonts w:cs="Times New Roman"/>
          <w:b/>
        </w:rPr>
        <w:lastRenderedPageBreak/>
        <w:t>Determination of Actual Alcohol Strength (OP 222)</w:t>
      </w:r>
    </w:p>
    <w:p w14:paraId="24B6F194" w14:textId="77777777" w:rsidR="00821231" w:rsidRPr="00E7045D" w:rsidRDefault="00821231" w:rsidP="002F2599">
      <w:pPr>
        <w:spacing w:after="0" w:line="240" w:lineRule="auto"/>
        <w:jc w:val="both"/>
        <w:rPr>
          <w:rFonts w:cs="Times New Roman"/>
        </w:rPr>
      </w:pPr>
    </w:p>
    <w:p w14:paraId="7046C16C" w14:textId="7866F5DA" w:rsidR="00346055" w:rsidRPr="00E7045D" w:rsidRDefault="000807B8" w:rsidP="002F2599">
      <w:pPr>
        <w:spacing w:after="0" w:line="240" w:lineRule="auto"/>
        <w:jc w:val="both"/>
        <w:rPr>
          <w:rFonts w:cs="Times New Roman"/>
        </w:rPr>
      </w:pPr>
      <w:r w:rsidRPr="00E7045D">
        <w:rPr>
          <w:rFonts w:cs="Times New Roman"/>
        </w:rPr>
        <w:t>A total o</w:t>
      </w:r>
      <w:r w:rsidR="005A7008" w:rsidRPr="00E7045D">
        <w:rPr>
          <w:rFonts w:cs="Times New Roman"/>
        </w:rPr>
        <w:t xml:space="preserve">f </w:t>
      </w:r>
      <w:r w:rsidR="0040234F">
        <w:rPr>
          <w:rFonts w:cs="Times New Roman"/>
        </w:rPr>
        <w:t>4</w:t>
      </w:r>
      <w:r w:rsidR="00F00FB9">
        <w:rPr>
          <w:rFonts w:cs="Times New Roman"/>
        </w:rPr>
        <w:t xml:space="preserve"> </w:t>
      </w:r>
      <w:r w:rsidR="005A7008" w:rsidRPr="00E7045D">
        <w:rPr>
          <w:rFonts w:cs="Times New Roman"/>
        </w:rPr>
        <w:t>QC samples were used in 20</w:t>
      </w:r>
      <w:r w:rsidR="00F00FB9">
        <w:rPr>
          <w:rFonts w:cs="Times New Roman"/>
        </w:rPr>
        <w:t>2</w:t>
      </w:r>
      <w:r w:rsidR="0040234F">
        <w:rPr>
          <w:rFonts w:cs="Times New Roman"/>
        </w:rPr>
        <w:t>1</w:t>
      </w:r>
      <w:r w:rsidRPr="00E7045D">
        <w:rPr>
          <w:rFonts w:cs="Times New Roman"/>
        </w:rPr>
        <w:t xml:space="preserve"> and performance data </w:t>
      </w:r>
      <w:r w:rsidR="0034261D">
        <w:rPr>
          <w:rFonts w:cs="Times New Roman"/>
        </w:rPr>
        <w:t>is</w:t>
      </w:r>
      <w:r w:rsidRPr="00E7045D">
        <w:rPr>
          <w:rFonts w:cs="Times New Roman"/>
        </w:rPr>
        <w:t xml:space="preserve"> summarised in Table </w:t>
      </w:r>
      <w:r w:rsidR="00B73361">
        <w:rPr>
          <w:rFonts w:cs="Times New Roman"/>
        </w:rPr>
        <w:t>4</w:t>
      </w:r>
      <w:r w:rsidR="00346055" w:rsidRPr="00E7045D">
        <w:rPr>
          <w:rFonts w:cs="Times New Roman"/>
        </w:rPr>
        <w:t xml:space="preserve">.  The data from each QC is compared against the uncertainty document from 2007.  </w:t>
      </w:r>
    </w:p>
    <w:p w14:paraId="4A423048" w14:textId="77777777" w:rsidR="000807B8" w:rsidRPr="00E7045D" w:rsidRDefault="000807B8" w:rsidP="002F2599">
      <w:pPr>
        <w:spacing w:after="0" w:line="240" w:lineRule="auto"/>
        <w:jc w:val="both"/>
        <w:rPr>
          <w:rFonts w:cs="Times New Roman"/>
        </w:rPr>
      </w:pPr>
    </w:p>
    <w:tbl>
      <w:tblPr>
        <w:tblStyle w:val="TableGrid"/>
        <w:tblW w:w="8539"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7547"/>
      </w:tblGrid>
      <w:tr w:rsidR="007A37BF" w:rsidRPr="00E7045D" w14:paraId="4A42304B" w14:textId="77777777" w:rsidTr="00BA5330">
        <w:tc>
          <w:tcPr>
            <w:tcW w:w="992" w:type="dxa"/>
            <w:hideMark/>
          </w:tcPr>
          <w:p w14:paraId="4A423049" w14:textId="2215109F" w:rsidR="000807B8" w:rsidRPr="00E7045D" w:rsidRDefault="000807B8" w:rsidP="002F2599">
            <w:pPr>
              <w:jc w:val="both"/>
              <w:rPr>
                <w:rFonts w:cs="Times New Roman"/>
                <w:b/>
              </w:rPr>
            </w:pPr>
            <w:r w:rsidRPr="00E7045D">
              <w:rPr>
                <w:rFonts w:cs="Times New Roman"/>
                <w:b/>
              </w:rPr>
              <w:t xml:space="preserve">Table </w:t>
            </w:r>
            <w:r w:rsidR="00252174">
              <w:rPr>
                <w:rFonts w:cs="Times New Roman"/>
                <w:b/>
              </w:rPr>
              <w:t>4</w:t>
            </w:r>
          </w:p>
        </w:tc>
        <w:tc>
          <w:tcPr>
            <w:tcW w:w="7547" w:type="dxa"/>
            <w:hideMark/>
          </w:tcPr>
          <w:p w14:paraId="4A42304A" w14:textId="51473B42" w:rsidR="000807B8" w:rsidRPr="00E7045D" w:rsidRDefault="000807B8" w:rsidP="002F2599">
            <w:pPr>
              <w:jc w:val="both"/>
              <w:rPr>
                <w:rFonts w:cs="Times New Roman"/>
              </w:rPr>
            </w:pPr>
            <w:r w:rsidRPr="00E7045D">
              <w:rPr>
                <w:rFonts w:cs="Times New Roman"/>
              </w:rPr>
              <w:t xml:space="preserve">Summary statistics for </w:t>
            </w:r>
            <w:r w:rsidR="00CA19B1">
              <w:rPr>
                <w:rFonts w:cs="Times New Roman"/>
              </w:rPr>
              <w:t>a</w:t>
            </w:r>
            <w:r w:rsidRPr="00E7045D">
              <w:rPr>
                <w:rFonts w:cs="Times New Roman"/>
              </w:rPr>
              <w:t xml:space="preserve">ctual </w:t>
            </w:r>
            <w:r w:rsidR="00CA19B1">
              <w:rPr>
                <w:rFonts w:cs="Times New Roman"/>
              </w:rPr>
              <w:t>s</w:t>
            </w:r>
            <w:r w:rsidRPr="00E7045D">
              <w:rPr>
                <w:rFonts w:cs="Times New Roman"/>
              </w:rPr>
              <w:t>trength quality control samples</w:t>
            </w:r>
            <w:r w:rsidR="00CA19B1">
              <w:rPr>
                <w:rFonts w:cs="Times New Roman"/>
              </w:rPr>
              <w:t xml:space="preserve"> in 2021</w:t>
            </w:r>
          </w:p>
        </w:tc>
      </w:tr>
    </w:tbl>
    <w:p w14:paraId="260B0923" w14:textId="77777777" w:rsidR="006B250E" w:rsidRPr="00E7045D" w:rsidRDefault="006B250E" w:rsidP="002F2599">
      <w:pPr>
        <w:spacing w:after="0" w:line="240" w:lineRule="auto"/>
        <w:jc w:val="both"/>
        <w:rPr>
          <w:rFonts w:cs="Times New Roman"/>
          <w:color w:val="FF0000"/>
        </w:rPr>
      </w:pPr>
    </w:p>
    <w:tbl>
      <w:tblPr>
        <w:tblStyle w:val="TableGrid"/>
        <w:tblW w:w="9016" w:type="dxa"/>
        <w:jc w:val="center"/>
        <w:tblLook w:val="04A0" w:firstRow="1" w:lastRow="0" w:firstColumn="1" w:lastColumn="0" w:noHBand="0" w:noVBand="1"/>
      </w:tblPr>
      <w:tblGrid>
        <w:gridCol w:w="2119"/>
        <w:gridCol w:w="1763"/>
        <w:gridCol w:w="1764"/>
        <w:gridCol w:w="1685"/>
        <w:gridCol w:w="1685"/>
      </w:tblGrid>
      <w:tr w:rsidR="0040234F" w:rsidRPr="00E7045D" w14:paraId="679C54E2" w14:textId="32CB5662" w:rsidTr="0040234F">
        <w:trPr>
          <w:jc w:val="center"/>
        </w:trPr>
        <w:tc>
          <w:tcPr>
            <w:tcW w:w="2119" w:type="dxa"/>
            <w:vAlign w:val="center"/>
          </w:tcPr>
          <w:p w14:paraId="33A16F32" w14:textId="28559655" w:rsidR="0040234F" w:rsidRPr="007C3BBD" w:rsidRDefault="0040234F" w:rsidP="2130DD19">
            <w:pPr>
              <w:jc w:val="center"/>
              <w:rPr>
                <w:rFonts w:cs="Times New Roman"/>
                <w:b/>
                <w:bCs/>
              </w:rPr>
            </w:pPr>
            <w:r w:rsidRPr="27FF0EBE">
              <w:rPr>
                <w:rFonts w:cs="Times New Roman"/>
                <w:b/>
                <w:bCs/>
              </w:rPr>
              <w:t>QC Name</w:t>
            </w:r>
          </w:p>
        </w:tc>
        <w:tc>
          <w:tcPr>
            <w:tcW w:w="1763" w:type="dxa"/>
            <w:vAlign w:val="center"/>
          </w:tcPr>
          <w:p w14:paraId="37607311" w14:textId="7C79D8C8" w:rsidR="0040234F" w:rsidRPr="007C3BBD" w:rsidRDefault="0040234F" w:rsidP="00B73361">
            <w:pPr>
              <w:jc w:val="center"/>
              <w:rPr>
                <w:rFonts w:cs="Times New Roman"/>
                <w:b/>
                <w:color w:val="000000"/>
              </w:rPr>
            </w:pPr>
            <w:r w:rsidRPr="007C3BBD">
              <w:rPr>
                <w:rFonts w:cs="Times New Roman"/>
                <w:b/>
                <w:color w:val="000000"/>
              </w:rPr>
              <w:t>ActS0</w:t>
            </w:r>
            <w:r>
              <w:rPr>
                <w:rFonts w:cs="Times New Roman"/>
                <w:b/>
                <w:color w:val="000000"/>
              </w:rPr>
              <w:t>40</w:t>
            </w:r>
          </w:p>
        </w:tc>
        <w:tc>
          <w:tcPr>
            <w:tcW w:w="1764" w:type="dxa"/>
            <w:vAlign w:val="center"/>
          </w:tcPr>
          <w:p w14:paraId="53339725" w14:textId="32270065" w:rsidR="0040234F" w:rsidRPr="007C3BBD" w:rsidRDefault="0040234F" w:rsidP="00B73361">
            <w:pPr>
              <w:jc w:val="center"/>
              <w:rPr>
                <w:rFonts w:cs="Times New Roman"/>
                <w:b/>
                <w:color w:val="FF0000"/>
              </w:rPr>
            </w:pPr>
            <w:r w:rsidRPr="007C3BBD">
              <w:rPr>
                <w:rFonts w:cs="Times New Roman"/>
                <w:b/>
                <w:color w:val="000000"/>
              </w:rPr>
              <w:t>ActS0</w:t>
            </w:r>
            <w:r>
              <w:rPr>
                <w:rFonts w:cs="Times New Roman"/>
                <w:b/>
                <w:color w:val="000000"/>
              </w:rPr>
              <w:t>41</w:t>
            </w:r>
          </w:p>
        </w:tc>
        <w:tc>
          <w:tcPr>
            <w:tcW w:w="1685" w:type="dxa"/>
          </w:tcPr>
          <w:p w14:paraId="1CBCC843" w14:textId="65C75412" w:rsidR="0040234F" w:rsidRPr="007C3BBD" w:rsidRDefault="0040234F" w:rsidP="00B73361">
            <w:pPr>
              <w:jc w:val="center"/>
              <w:rPr>
                <w:rFonts w:cs="Times New Roman"/>
                <w:b/>
                <w:color w:val="000000"/>
              </w:rPr>
            </w:pPr>
            <w:r>
              <w:rPr>
                <w:rFonts w:cs="Times New Roman"/>
                <w:b/>
                <w:color w:val="000000"/>
              </w:rPr>
              <w:t>ActS042</w:t>
            </w:r>
          </w:p>
        </w:tc>
        <w:tc>
          <w:tcPr>
            <w:tcW w:w="1685" w:type="dxa"/>
          </w:tcPr>
          <w:p w14:paraId="3DBDCC29" w14:textId="08485BDF" w:rsidR="0040234F" w:rsidRPr="007C3BBD" w:rsidRDefault="0040234F" w:rsidP="00B73361">
            <w:pPr>
              <w:jc w:val="center"/>
              <w:rPr>
                <w:rFonts w:cs="Times New Roman"/>
                <w:b/>
                <w:color w:val="000000"/>
              </w:rPr>
            </w:pPr>
            <w:r>
              <w:rPr>
                <w:rFonts w:cs="Times New Roman"/>
                <w:b/>
                <w:color w:val="000000"/>
              </w:rPr>
              <w:t>ActS043</w:t>
            </w:r>
          </w:p>
        </w:tc>
      </w:tr>
      <w:tr w:rsidR="0040234F" w:rsidRPr="00E7045D" w14:paraId="2247B186" w14:textId="354E2393" w:rsidTr="0040234F">
        <w:trPr>
          <w:jc w:val="center"/>
        </w:trPr>
        <w:tc>
          <w:tcPr>
            <w:tcW w:w="2119" w:type="dxa"/>
            <w:vAlign w:val="center"/>
          </w:tcPr>
          <w:p w14:paraId="737160BA" w14:textId="6B52602D" w:rsidR="0040234F" w:rsidRPr="00E7045D" w:rsidRDefault="0040234F" w:rsidP="2130DD19">
            <w:pPr>
              <w:jc w:val="center"/>
              <w:rPr>
                <w:rFonts w:cs="Times New Roman"/>
                <w:b/>
                <w:bCs/>
                <w:color w:val="FF0000"/>
              </w:rPr>
            </w:pPr>
            <w:r w:rsidRPr="27FF0EBE">
              <w:rPr>
                <w:rFonts w:cs="Times New Roman"/>
                <w:b/>
                <w:bCs/>
              </w:rPr>
              <w:t>Dates this QC was in use</w:t>
            </w:r>
          </w:p>
        </w:tc>
        <w:tc>
          <w:tcPr>
            <w:tcW w:w="1763" w:type="dxa"/>
            <w:vAlign w:val="center"/>
          </w:tcPr>
          <w:p w14:paraId="36595964" w14:textId="2AC573F8" w:rsidR="0040234F" w:rsidRDefault="00A36A89" w:rsidP="00B73361">
            <w:pPr>
              <w:jc w:val="center"/>
              <w:rPr>
                <w:rFonts w:cs="Times New Roman"/>
              </w:rPr>
            </w:pPr>
            <w:commentRangeStart w:id="27"/>
            <w:r>
              <w:rPr>
                <w:rFonts w:cs="Times New Roman"/>
              </w:rPr>
              <w:t>07/09/20</w:t>
            </w:r>
            <w:r w:rsidR="0040234F" w:rsidRPr="00CC7410">
              <w:rPr>
                <w:rFonts w:cs="Times New Roman"/>
              </w:rPr>
              <w:t xml:space="preserve"> </w:t>
            </w:r>
            <w:commentRangeEnd w:id="27"/>
            <w:r w:rsidR="00C60C8F">
              <w:rPr>
                <w:rStyle w:val="CommentReference"/>
              </w:rPr>
              <w:commentReference w:id="27"/>
            </w:r>
            <w:r w:rsidR="0040234F" w:rsidRPr="00CC7410">
              <w:rPr>
                <w:rFonts w:cs="Times New Roman"/>
              </w:rPr>
              <w:t xml:space="preserve">to </w:t>
            </w:r>
            <w:r w:rsidR="0040234F">
              <w:rPr>
                <w:rFonts w:cs="Times New Roman"/>
              </w:rPr>
              <w:t>1</w:t>
            </w:r>
            <w:r>
              <w:rPr>
                <w:rFonts w:cs="Times New Roman"/>
              </w:rPr>
              <w:t>3</w:t>
            </w:r>
            <w:r w:rsidR="0040234F" w:rsidRPr="00CC7410">
              <w:rPr>
                <w:rFonts w:cs="Times New Roman"/>
              </w:rPr>
              <w:t>/</w:t>
            </w:r>
            <w:r>
              <w:rPr>
                <w:rFonts w:cs="Times New Roman"/>
              </w:rPr>
              <w:t>05</w:t>
            </w:r>
            <w:r w:rsidR="0040234F" w:rsidRPr="00CC7410">
              <w:rPr>
                <w:rFonts w:cs="Times New Roman"/>
              </w:rPr>
              <w:t>/</w:t>
            </w:r>
            <w:r w:rsidR="0040234F">
              <w:rPr>
                <w:rFonts w:cs="Times New Roman"/>
              </w:rPr>
              <w:t>2</w:t>
            </w:r>
            <w:r>
              <w:rPr>
                <w:rFonts w:cs="Times New Roman"/>
              </w:rPr>
              <w:t>1</w:t>
            </w:r>
          </w:p>
        </w:tc>
        <w:tc>
          <w:tcPr>
            <w:tcW w:w="1764" w:type="dxa"/>
            <w:vAlign w:val="center"/>
          </w:tcPr>
          <w:p w14:paraId="5F98BEB9" w14:textId="0D427AC2" w:rsidR="0040234F" w:rsidRPr="00CC7410" w:rsidRDefault="005D1C57" w:rsidP="00B73361">
            <w:pPr>
              <w:jc w:val="center"/>
              <w:rPr>
                <w:rFonts w:cs="Times New Roman"/>
              </w:rPr>
            </w:pPr>
            <w:r>
              <w:rPr>
                <w:rFonts w:cs="Times New Roman"/>
              </w:rPr>
              <w:t>02</w:t>
            </w:r>
            <w:r w:rsidR="0040234F">
              <w:rPr>
                <w:rFonts w:cs="Times New Roman"/>
              </w:rPr>
              <w:t>/</w:t>
            </w:r>
            <w:r>
              <w:rPr>
                <w:rFonts w:cs="Times New Roman"/>
              </w:rPr>
              <w:t>04</w:t>
            </w:r>
            <w:r w:rsidR="0040234F">
              <w:rPr>
                <w:rFonts w:cs="Times New Roman"/>
              </w:rPr>
              <w:t>/2</w:t>
            </w:r>
            <w:r>
              <w:rPr>
                <w:rFonts w:cs="Times New Roman"/>
              </w:rPr>
              <w:t>1</w:t>
            </w:r>
            <w:r w:rsidR="0040234F" w:rsidRPr="00CC7410">
              <w:rPr>
                <w:rFonts w:cs="Times New Roman"/>
              </w:rPr>
              <w:t xml:space="preserve"> to </w:t>
            </w:r>
            <w:r>
              <w:rPr>
                <w:rFonts w:cs="Times New Roman"/>
              </w:rPr>
              <w:t>03</w:t>
            </w:r>
            <w:r w:rsidR="0040234F" w:rsidRPr="00CC7410">
              <w:rPr>
                <w:rFonts w:cs="Times New Roman"/>
              </w:rPr>
              <w:t>/</w:t>
            </w:r>
            <w:r w:rsidR="0040234F">
              <w:rPr>
                <w:rFonts w:cs="Times New Roman"/>
              </w:rPr>
              <w:t>0</w:t>
            </w:r>
            <w:r>
              <w:rPr>
                <w:rFonts w:cs="Times New Roman"/>
              </w:rPr>
              <w:t>8</w:t>
            </w:r>
            <w:r w:rsidR="0040234F" w:rsidRPr="00CC7410">
              <w:rPr>
                <w:rFonts w:cs="Times New Roman"/>
              </w:rPr>
              <w:t>/</w:t>
            </w:r>
            <w:r w:rsidR="0040234F">
              <w:rPr>
                <w:rFonts w:cs="Times New Roman"/>
              </w:rPr>
              <w:t>21</w:t>
            </w:r>
          </w:p>
        </w:tc>
        <w:tc>
          <w:tcPr>
            <w:tcW w:w="1685" w:type="dxa"/>
          </w:tcPr>
          <w:p w14:paraId="7DDEAC3F" w14:textId="3FA33213" w:rsidR="0040234F" w:rsidRDefault="005D1C57" w:rsidP="00B73361">
            <w:pPr>
              <w:jc w:val="center"/>
              <w:rPr>
                <w:rFonts w:cs="Times New Roman"/>
              </w:rPr>
            </w:pPr>
            <w:r>
              <w:rPr>
                <w:rFonts w:cs="Times New Roman"/>
              </w:rPr>
              <w:t>12/07/21 to 04/10/21</w:t>
            </w:r>
          </w:p>
        </w:tc>
        <w:tc>
          <w:tcPr>
            <w:tcW w:w="1685" w:type="dxa"/>
          </w:tcPr>
          <w:p w14:paraId="11B7A0B6" w14:textId="157FE9F0" w:rsidR="0040234F" w:rsidRDefault="006E63F1" w:rsidP="00B73361">
            <w:pPr>
              <w:jc w:val="center"/>
              <w:rPr>
                <w:rFonts w:cs="Times New Roman"/>
              </w:rPr>
            </w:pPr>
            <w:r>
              <w:rPr>
                <w:rFonts w:cs="Times New Roman"/>
              </w:rPr>
              <w:t>08/09/21 to 19/01/21</w:t>
            </w:r>
          </w:p>
        </w:tc>
      </w:tr>
      <w:tr w:rsidR="0040234F" w:rsidRPr="00E7045D" w14:paraId="7D9DD1FB" w14:textId="4C9D2595" w:rsidTr="0040234F">
        <w:trPr>
          <w:jc w:val="center"/>
        </w:trPr>
        <w:tc>
          <w:tcPr>
            <w:tcW w:w="2119" w:type="dxa"/>
            <w:vAlign w:val="center"/>
          </w:tcPr>
          <w:p w14:paraId="33722963" w14:textId="77777777" w:rsidR="0040234F" w:rsidRPr="00E7045D" w:rsidRDefault="0040234F" w:rsidP="2130DD19">
            <w:pPr>
              <w:jc w:val="center"/>
              <w:rPr>
                <w:rFonts w:cs="Times New Roman"/>
                <w:b/>
                <w:bCs/>
                <w:color w:val="FF0000"/>
              </w:rPr>
            </w:pPr>
            <w:r w:rsidRPr="27FF0EBE">
              <w:rPr>
                <w:rFonts w:cs="Times New Roman"/>
                <w:b/>
                <w:bCs/>
                <w:color w:val="000000" w:themeColor="text1"/>
              </w:rPr>
              <w:t>No. of Points</w:t>
            </w:r>
          </w:p>
        </w:tc>
        <w:tc>
          <w:tcPr>
            <w:tcW w:w="1763" w:type="dxa"/>
            <w:vAlign w:val="center"/>
          </w:tcPr>
          <w:p w14:paraId="203A3D83" w14:textId="7CDFFFF7" w:rsidR="0040234F" w:rsidRPr="00435CF9" w:rsidRDefault="00A36A89" w:rsidP="00B73361">
            <w:pPr>
              <w:jc w:val="center"/>
              <w:rPr>
                <w:rFonts w:cs="Times New Roman"/>
              </w:rPr>
            </w:pPr>
            <w:r>
              <w:rPr>
                <w:rFonts w:cs="Times New Roman"/>
              </w:rPr>
              <w:t>26</w:t>
            </w:r>
          </w:p>
        </w:tc>
        <w:tc>
          <w:tcPr>
            <w:tcW w:w="1764" w:type="dxa"/>
            <w:vAlign w:val="center"/>
          </w:tcPr>
          <w:p w14:paraId="3DAA8E49" w14:textId="2922BD69" w:rsidR="0040234F" w:rsidRPr="00E7045D" w:rsidRDefault="0040234F" w:rsidP="00B73361">
            <w:pPr>
              <w:jc w:val="center"/>
              <w:rPr>
                <w:rFonts w:cs="Times New Roman"/>
                <w:color w:val="FF0000"/>
              </w:rPr>
            </w:pPr>
            <w:r>
              <w:rPr>
                <w:rFonts w:cs="Times New Roman"/>
              </w:rPr>
              <w:t>17</w:t>
            </w:r>
          </w:p>
        </w:tc>
        <w:tc>
          <w:tcPr>
            <w:tcW w:w="1685" w:type="dxa"/>
          </w:tcPr>
          <w:p w14:paraId="50C64005" w14:textId="0432E3C3" w:rsidR="0040234F" w:rsidRDefault="005D1C57" w:rsidP="00B73361">
            <w:pPr>
              <w:jc w:val="center"/>
              <w:rPr>
                <w:rFonts w:cs="Times New Roman"/>
              </w:rPr>
            </w:pPr>
            <w:r>
              <w:rPr>
                <w:rFonts w:cs="Times New Roman"/>
              </w:rPr>
              <w:t>22</w:t>
            </w:r>
          </w:p>
        </w:tc>
        <w:tc>
          <w:tcPr>
            <w:tcW w:w="1685" w:type="dxa"/>
          </w:tcPr>
          <w:p w14:paraId="43B79933" w14:textId="5EEFE27E" w:rsidR="0040234F" w:rsidRDefault="006E63F1" w:rsidP="00B73361">
            <w:pPr>
              <w:jc w:val="center"/>
              <w:rPr>
                <w:rFonts w:cs="Times New Roman"/>
              </w:rPr>
            </w:pPr>
            <w:r>
              <w:rPr>
                <w:rFonts w:cs="Times New Roman"/>
              </w:rPr>
              <w:t>15</w:t>
            </w:r>
          </w:p>
        </w:tc>
      </w:tr>
      <w:tr w:rsidR="0040234F" w:rsidRPr="00E7045D" w14:paraId="09EC11A5" w14:textId="757D0BB9" w:rsidTr="0040234F">
        <w:trPr>
          <w:jc w:val="center"/>
        </w:trPr>
        <w:tc>
          <w:tcPr>
            <w:tcW w:w="2119" w:type="dxa"/>
            <w:vAlign w:val="center"/>
          </w:tcPr>
          <w:p w14:paraId="2A8D7BC7" w14:textId="77777777" w:rsidR="0040234F" w:rsidRPr="00E7045D" w:rsidRDefault="0040234F" w:rsidP="2130DD19">
            <w:pPr>
              <w:jc w:val="center"/>
              <w:rPr>
                <w:rFonts w:cs="Times New Roman"/>
                <w:b/>
                <w:bCs/>
                <w:color w:val="FF0000"/>
              </w:rPr>
            </w:pPr>
            <w:r w:rsidRPr="27FF0EBE">
              <w:rPr>
                <w:rFonts w:cs="Times New Roman"/>
                <w:b/>
                <w:bCs/>
                <w:color w:val="000000" w:themeColor="text1"/>
              </w:rPr>
              <w:t>Mean</w:t>
            </w:r>
          </w:p>
        </w:tc>
        <w:tc>
          <w:tcPr>
            <w:tcW w:w="1763" w:type="dxa"/>
            <w:vAlign w:val="center"/>
          </w:tcPr>
          <w:p w14:paraId="124342F2" w14:textId="738B5278" w:rsidR="0040234F" w:rsidRDefault="0040234F" w:rsidP="00B73361">
            <w:pPr>
              <w:jc w:val="center"/>
              <w:rPr>
                <w:rFonts w:ascii="Calibri" w:hAnsi="Calibri"/>
                <w:color w:val="000000"/>
              </w:rPr>
            </w:pPr>
            <w:r>
              <w:rPr>
                <w:rFonts w:ascii="Calibri" w:hAnsi="Calibri"/>
                <w:color w:val="000000"/>
              </w:rPr>
              <w:t>4</w:t>
            </w:r>
            <w:r w:rsidR="00A36A89">
              <w:rPr>
                <w:rFonts w:ascii="Calibri" w:hAnsi="Calibri"/>
                <w:color w:val="000000"/>
              </w:rPr>
              <w:t>1.23</w:t>
            </w:r>
          </w:p>
        </w:tc>
        <w:tc>
          <w:tcPr>
            <w:tcW w:w="1764" w:type="dxa"/>
            <w:vAlign w:val="center"/>
          </w:tcPr>
          <w:p w14:paraId="10D242DC" w14:textId="3644EE02" w:rsidR="0040234F" w:rsidRPr="00E7045D" w:rsidRDefault="0040234F" w:rsidP="00B73361">
            <w:pPr>
              <w:jc w:val="center"/>
              <w:rPr>
                <w:rFonts w:cs="Times New Roman"/>
              </w:rPr>
            </w:pPr>
            <w:r>
              <w:rPr>
                <w:rFonts w:ascii="Calibri" w:hAnsi="Calibri"/>
                <w:color w:val="000000"/>
              </w:rPr>
              <w:t>4</w:t>
            </w:r>
            <w:r w:rsidR="005D1C57">
              <w:rPr>
                <w:rFonts w:ascii="Calibri" w:hAnsi="Calibri"/>
                <w:color w:val="000000"/>
              </w:rPr>
              <w:t>2.44</w:t>
            </w:r>
          </w:p>
        </w:tc>
        <w:tc>
          <w:tcPr>
            <w:tcW w:w="1685" w:type="dxa"/>
          </w:tcPr>
          <w:p w14:paraId="7DB4A831" w14:textId="6290DE70" w:rsidR="0040234F" w:rsidRDefault="005D1C57" w:rsidP="00B73361">
            <w:pPr>
              <w:jc w:val="center"/>
              <w:rPr>
                <w:rFonts w:ascii="Calibri" w:hAnsi="Calibri"/>
                <w:color w:val="000000"/>
              </w:rPr>
            </w:pPr>
            <w:r>
              <w:rPr>
                <w:rFonts w:ascii="Calibri" w:hAnsi="Calibri"/>
                <w:color w:val="000000"/>
              </w:rPr>
              <w:t>40.55</w:t>
            </w:r>
          </w:p>
        </w:tc>
        <w:tc>
          <w:tcPr>
            <w:tcW w:w="1685" w:type="dxa"/>
          </w:tcPr>
          <w:p w14:paraId="59379C03" w14:textId="1679F115" w:rsidR="0040234F" w:rsidRDefault="006E63F1" w:rsidP="00B73361">
            <w:pPr>
              <w:jc w:val="center"/>
              <w:rPr>
                <w:rFonts w:ascii="Calibri" w:hAnsi="Calibri"/>
                <w:color w:val="000000"/>
              </w:rPr>
            </w:pPr>
            <w:r>
              <w:rPr>
                <w:rFonts w:ascii="Calibri" w:hAnsi="Calibri"/>
                <w:color w:val="000000"/>
              </w:rPr>
              <w:t>44.46</w:t>
            </w:r>
          </w:p>
        </w:tc>
      </w:tr>
      <w:tr w:rsidR="0040234F" w:rsidRPr="00E7045D" w14:paraId="45810896" w14:textId="4568F6D5" w:rsidTr="0040234F">
        <w:trPr>
          <w:jc w:val="center"/>
        </w:trPr>
        <w:tc>
          <w:tcPr>
            <w:tcW w:w="2119" w:type="dxa"/>
            <w:vAlign w:val="center"/>
          </w:tcPr>
          <w:p w14:paraId="406DAFD9" w14:textId="77777777" w:rsidR="0040234F" w:rsidRPr="00E7045D" w:rsidRDefault="0040234F" w:rsidP="2130DD19">
            <w:pPr>
              <w:jc w:val="center"/>
              <w:rPr>
                <w:rFonts w:cs="Times New Roman"/>
                <w:b/>
                <w:bCs/>
                <w:color w:val="FF0000"/>
              </w:rPr>
            </w:pPr>
            <w:r w:rsidRPr="27FF0EBE">
              <w:rPr>
                <w:rFonts w:cs="Times New Roman"/>
                <w:b/>
                <w:bCs/>
                <w:color w:val="000000" w:themeColor="text1"/>
              </w:rPr>
              <w:t>Standard Deviation</w:t>
            </w:r>
          </w:p>
        </w:tc>
        <w:tc>
          <w:tcPr>
            <w:tcW w:w="1763" w:type="dxa"/>
            <w:vAlign w:val="center"/>
          </w:tcPr>
          <w:p w14:paraId="7E770B38" w14:textId="25F7E09C" w:rsidR="0040234F" w:rsidRDefault="0040234F" w:rsidP="00B73361">
            <w:pPr>
              <w:jc w:val="center"/>
              <w:rPr>
                <w:rFonts w:ascii="Calibri" w:hAnsi="Calibri"/>
                <w:color w:val="000000"/>
              </w:rPr>
            </w:pPr>
            <w:r>
              <w:rPr>
                <w:rFonts w:ascii="Calibri" w:hAnsi="Calibri"/>
                <w:color w:val="000000"/>
              </w:rPr>
              <w:t>0.</w:t>
            </w:r>
            <w:r w:rsidR="00A36A89">
              <w:rPr>
                <w:rFonts w:ascii="Calibri" w:hAnsi="Calibri"/>
                <w:color w:val="000000"/>
              </w:rPr>
              <w:t>12</w:t>
            </w:r>
          </w:p>
        </w:tc>
        <w:tc>
          <w:tcPr>
            <w:tcW w:w="1764" w:type="dxa"/>
            <w:vAlign w:val="center"/>
          </w:tcPr>
          <w:p w14:paraId="4AFFE78E" w14:textId="6A99B8AE" w:rsidR="0040234F" w:rsidRPr="00E7045D" w:rsidRDefault="0040234F" w:rsidP="00B73361">
            <w:pPr>
              <w:jc w:val="center"/>
              <w:rPr>
                <w:rFonts w:cs="Times New Roman"/>
              </w:rPr>
            </w:pPr>
            <w:r>
              <w:rPr>
                <w:rFonts w:ascii="Calibri" w:hAnsi="Calibri"/>
                <w:color w:val="000000"/>
              </w:rPr>
              <w:t>0.0</w:t>
            </w:r>
            <w:r w:rsidR="005D1C57">
              <w:rPr>
                <w:rFonts w:ascii="Calibri" w:hAnsi="Calibri"/>
                <w:color w:val="000000"/>
              </w:rPr>
              <w:t>73</w:t>
            </w:r>
          </w:p>
        </w:tc>
        <w:tc>
          <w:tcPr>
            <w:tcW w:w="1685" w:type="dxa"/>
          </w:tcPr>
          <w:p w14:paraId="5E169E13" w14:textId="10272C67" w:rsidR="0040234F" w:rsidRDefault="005D1C57" w:rsidP="00B73361">
            <w:pPr>
              <w:jc w:val="center"/>
              <w:rPr>
                <w:rFonts w:ascii="Calibri" w:hAnsi="Calibri"/>
                <w:color w:val="000000"/>
              </w:rPr>
            </w:pPr>
            <w:r>
              <w:rPr>
                <w:rFonts w:ascii="Calibri" w:hAnsi="Calibri"/>
                <w:color w:val="000000"/>
              </w:rPr>
              <w:t>0.081</w:t>
            </w:r>
          </w:p>
        </w:tc>
        <w:tc>
          <w:tcPr>
            <w:tcW w:w="1685" w:type="dxa"/>
          </w:tcPr>
          <w:p w14:paraId="66D217C0" w14:textId="1CA6B19C" w:rsidR="0040234F" w:rsidRDefault="006E63F1" w:rsidP="00B73361">
            <w:pPr>
              <w:jc w:val="center"/>
              <w:rPr>
                <w:rFonts w:ascii="Calibri" w:hAnsi="Calibri"/>
                <w:color w:val="000000"/>
              </w:rPr>
            </w:pPr>
            <w:r>
              <w:rPr>
                <w:rFonts w:ascii="Calibri" w:hAnsi="Calibri"/>
                <w:color w:val="000000"/>
              </w:rPr>
              <w:t>0.042</w:t>
            </w:r>
          </w:p>
        </w:tc>
      </w:tr>
      <w:tr w:rsidR="0040234F" w:rsidRPr="00E7045D" w14:paraId="3B961385" w14:textId="24E620CE" w:rsidTr="0040234F">
        <w:trPr>
          <w:jc w:val="center"/>
        </w:trPr>
        <w:tc>
          <w:tcPr>
            <w:tcW w:w="2119" w:type="dxa"/>
            <w:vAlign w:val="center"/>
          </w:tcPr>
          <w:p w14:paraId="029CAD53" w14:textId="77777777" w:rsidR="0040234F" w:rsidRPr="00E7045D" w:rsidRDefault="0040234F" w:rsidP="2130DD19">
            <w:pPr>
              <w:jc w:val="center"/>
              <w:rPr>
                <w:rFonts w:cs="Times New Roman"/>
                <w:b/>
                <w:bCs/>
                <w:color w:val="FF0000"/>
              </w:rPr>
            </w:pPr>
            <w:r w:rsidRPr="27FF0EBE">
              <w:rPr>
                <w:rFonts w:cs="Times New Roman"/>
                <w:b/>
                <w:bCs/>
                <w:color w:val="000000" w:themeColor="text1"/>
              </w:rPr>
              <w:t>%CV</w:t>
            </w:r>
          </w:p>
        </w:tc>
        <w:tc>
          <w:tcPr>
            <w:tcW w:w="1763" w:type="dxa"/>
            <w:vAlign w:val="center"/>
          </w:tcPr>
          <w:p w14:paraId="308A2B10" w14:textId="2F054721" w:rsidR="0040234F" w:rsidRDefault="0040234F" w:rsidP="00B73361">
            <w:pPr>
              <w:jc w:val="center"/>
              <w:rPr>
                <w:rFonts w:ascii="Calibri" w:hAnsi="Calibri"/>
                <w:color w:val="000000"/>
              </w:rPr>
            </w:pPr>
            <w:r>
              <w:rPr>
                <w:rFonts w:ascii="Calibri" w:hAnsi="Calibri"/>
                <w:color w:val="000000"/>
              </w:rPr>
              <w:t>0.</w:t>
            </w:r>
            <w:r w:rsidR="00A36A89">
              <w:rPr>
                <w:rFonts w:ascii="Calibri" w:hAnsi="Calibri"/>
                <w:color w:val="000000"/>
              </w:rPr>
              <w:t>15</w:t>
            </w:r>
          </w:p>
        </w:tc>
        <w:tc>
          <w:tcPr>
            <w:tcW w:w="1764" w:type="dxa"/>
            <w:vAlign w:val="center"/>
          </w:tcPr>
          <w:p w14:paraId="4FB1F3F0" w14:textId="3C9E93B3" w:rsidR="0040234F" w:rsidRPr="00E7045D" w:rsidRDefault="0040234F" w:rsidP="00B73361">
            <w:pPr>
              <w:jc w:val="center"/>
              <w:rPr>
                <w:rFonts w:cs="Times New Roman"/>
              </w:rPr>
            </w:pPr>
            <w:r>
              <w:rPr>
                <w:rFonts w:ascii="Calibri" w:hAnsi="Calibri"/>
                <w:color w:val="000000"/>
              </w:rPr>
              <w:t>0.1</w:t>
            </w:r>
            <w:r w:rsidR="005D1C57">
              <w:rPr>
                <w:rFonts w:ascii="Calibri" w:hAnsi="Calibri"/>
                <w:color w:val="000000"/>
              </w:rPr>
              <w:t>4</w:t>
            </w:r>
          </w:p>
        </w:tc>
        <w:tc>
          <w:tcPr>
            <w:tcW w:w="1685" w:type="dxa"/>
          </w:tcPr>
          <w:p w14:paraId="3D70EBFE" w14:textId="7FFB31E2" w:rsidR="0040234F" w:rsidRDefault="005D1C57" w:rsidP="00B73361">
            <w:pPr>
              <w:jc w:val="center"/>
              <w:rPr>
                <w:rFonts w:ascii="Calibri" w:hAnsi="Calibri"/>
                <w:color w:val="000000"/>
              </w:rPr>
            </w:pPr>
            <w:r>
              <w:rPr>
                <w:rFonts w:ascii="Calibri" w:hAnsi="Calibri"/>
                <w:color w:val="000000"/>
              </w:rPr>
              <w:t>0.15</w:t>
            </w:r>
          </w:p>
        </w:tc>
        <w:tc>
          <w:tcPr>
            <w:tcW w:w="1685" w:type="dxa"/>
          </w:tcPr>
          <w:p w14:paraId="2B854293" w14:textId="6F28A012" w:rsidR="0040234F" w:rsidRDefault="006E63F1" w:rsidP="00B73361">
            <w:pPr>
              <w:jc w:val="center"/>
              <w:rPr>
                <w:rFonts w:ascii="Calibri" w:hAnsi="Calibri"/>
                <w:color w:val="000000"/>
              </w:rPr>
            </w:pPr>
            <w:r>
              <w:rPr>
                <w:rFonts w:ascii="Calibri" w:hAnsi="Calibri"/>
                <w:color w:val="000000"/>
              </w:rPr>
              <w:t>0.13</w:t>
            </w:r>
          </w:p>
        </w:tc>
      </w:tr>
      <w:tr w:rsidR="0040234F" w:rsidRPr="00E7045D" w14:paraId="2386A3EB" w14:textId="3257BCAC" w:rsidTr="0040234F">
        <w:trPr>
          <w:jc w:val="center"/>
        </w:trPr>
        <w:tc>
          <w:tcPr>
            <w:tcW w:w="2119" w:type="dxa"/>
            <w:vAlign w:val="center"/>
          </w:tcPr>
          <w:p w14:paraId="0777BAD9" w14:textId="24D73BC4" w:rsidR="0040234F" w:rsidRPr="00E7045D" w:rsidRDefault="0040234F" w:rsidP="2130DD19">
            <w:pPr>
              <w:jc w:val="center"/>
              <w:rPr>
                <w:rFonts w:cs="Times New Roman"/>
                <w:b/>
                <w:bCs/>
                <w:color w:val="000000" w:themeColor="text1"/>
              </w:rPr>
            </w:pPr>
            <w:r w:rsidRPr="27FF0EBE">
              <w:rPr>
                <w:rFonts w:cs="Times New Roman"/>
                <w:b/>
                <w:bCs/>
                <w:color w:val="000000" w:themeColor="text1"/>
              </w:rPr>
              <w:t>Minimum on QC Chart</w:t>
            </w:r>
          </w:p>
        </w:tc>
        <w:tc>
          <w:tcPr>
            <w:tcW w:w="1763" w:type="dxa"/>
            <w:vAlign w:val="center"/>
          </w:tcPr>
          <w:p w14:paraId="6319E2CF" w14:textId="433C495A" w:rsidR="0040234F" w:rsidRDefault="0040234F" w:rsidP="00B73361">
            <w:pPr>
              <w:jc w:val="center"/>
              <w:rPr>
                <w:rFonts w:cs="Times New Roman"/>
              </w:rPr>
            </w:pPr>
            <w:r>
              <w:rPr>
                <w:rFonts w:cs="Times New Roman"/>
              </w:rPr>
              <w:t>40.</w:t>
            </w:r>
            <w:r w:rsidR="00A36A89">
              <w:rPr>
                <w:rFonts w:cs="Times New Roman"/>
              </w:rPr>
              <w:t>71</w:t>
            </w:r>
          </w:p>
        </w:tc>
        <w:tc>
          <w:tcPr>
            <w:tcW w:w="1764" w:type="dxa"/>
            <w:vAlign w:val="center"/>
          </w:tcPr>
          <w:p w14:paraId="1747CF08" w14:textId="760D0587" w:rsidR="0040234F" w:rsidRPr="00E7045D" w:rsidRDefault="0040234F" w:rsidP="00B73361">
            <w:pPr>
              <w:jc w:val="center"/>
              <w:rPr>
                <w:rFonts w:cs="Times New Roman"/>
              </w:rPr>
            </w:pPr>
            <w:r>
              <w:rPr>
                <w:rFonts w:cs="Times New Roman"/>
              </w:rPr>
              <w:t>4</w:t>
            </w:r>
            <w:r w:rsidR="005D1C57">
              <w:rPr>
                <w:rFonts w:cs="Times New Roman"/>
              </w:rPr>
              <w:t>2.28</w:t>
            </w:r>
          </w:p>
        </w:tc>
        <w:tc>
          <w:tcPr>
            <w:tcW w:w="1685" w:type="dxa"/>
          </w:tcPr>
          <w:p w14:paraId="78DBAD14" w14:textId="63A06449" w:rsidR="0040234F" w:rsidRDefault="005D1C57" w:rsidP="005D1C57">
            <w:pPr>
              <w:spacing w:before="240"/>
              <w:jc w:val="center"/>
              <w:rPr>
                <w:rFonts w:cs="Times New Roman"/>
              </w:rPr>
            </w:pPr>
            <w:r>
              <w:rPr>
                <w:rFonts w:cs="Times New Roman"/>
              </w:rPr>
              <w:t>40.30</w:t>
            </w:r>
          </w:p>
        </w:tc>
        <w:tc>
          <w:tcPr>
            <w:tcW w:w="1685" w:type="dxa"/>
          </w:tcPr>
          <w:p w14:paraId="6AEDDFF5" w14:textId="4A48CAF5" w:rsidR="0040234F" w:rsidRDefault="006E63F1" w:rsidP="00B73361">
            <w:pPr>
              <w:jc w:val="center"/>
              <w:rPr>
                <w:rFonts w:cs="Times New Roman"/>
              </w:rPr>
            </w:pPr>
            <w:r>
              <w:rPr>
                <w:rFonts w:cs="Times New Roman"/>
              </w:rPr>
              <w:t>44.38</w:t>
            </w:r>
          </w:p>
        </w:tc>
      </w:tr>
      <w:tr w:rsidR="0040234F" w:rsidRPr="00E7045D" w14:paraId="787D9F42" w14:textId="42B5B32A" w:rsidTr="0040234F">
        <w:trPr>
          <w:jc w:val="center"/>
        </w:trPr>
        <w:tc>
          <w:tcPr>
            <w:tcW w:w="2119" w:type="dxa"/>
            <w:vAlign w:val="center"/>
          </w:tcPr>
          <w:p w14:paraId="7F4B4270" w14:textId="5F473C70" w:rsidR="0040234F" w:rsidRPr="00E7045D" w:rsidRDefault="0040234F" w:rsidP="2130DD19">
            <w:pPr>
              <w:jc w:val="center"/>
              <w:rPr>
                <w:rFonts w:cs="Times New Roman"/>
                <w:b/>
                <w:bCs/>
                <w:color w:val="000000" w:themeColor="text1"/>
              </w:rPr>
            </w:pPr>
            <w:r w:rsidRPr="27FF0EBE">
              <w:rPr>
                <w:rFonts w:cs="Times New Roman"/>
                <w:b/>
                <w:bCs/>
                <w:color w:val="000000" w:themeColor="text1"/>
              </w:rPr>
              <w:t>Maximum on QC Chart</w:t>
            </w:r>
          </w:p>
        </w:tc>
        <w:tc>
          <w:tcPr>
            <w:tcW w:w="1763" w:type="dxa"/>
            <w:vAlign w:val="center"/>
          </w:tcPr>
          <w:p w14:paraId="07E2B3AF" w14:textId="3B03FA57" w:rsidR="0040234F" w:rsidRDefault="0040234F" w:rsidP="00B73361">
            <w:pPr>
              <w:jc w:val="center"/>
              <w:rPr>
                <w:rFonts w:cs="Times New Roman"/>
              </w:rPr>
            </w:pPr>
            <w:r>
              <w:rPr>
                <w:rFonts w:cs="Times New Roman"/>
              </w:rPr>
              <w:t>4</w:t>
            </w:r>
            <w:r w:rsidR="00A36A89">
              <w:rPr>
                <w:rFonts w:cs="Times New Roman"/>
              </w:rPr>
              <w:t>1.38</w:t>
            </w:r>
          </w:p>
        </w:tc>
        <w:tc>
          <w:tcPr>
            <w:tcW w:w="1764" w:type="dxa"/>
            <w:vAlign w:val="center"/>
          </w:tcPr>
          <w:p w14:paraId="0540BB40" w14:textId="5CB7F8C6" w:rsidR="0040234F" w:rsidRPr="00E7045D" w:rsidRDefault="0040234F" w:rsidP="005D1C57">
            <w:pPr>
              <w:jc w:val="center"/>
              <w:rPr>
                <w:rFonts w:cs="Times New Roman"/>
              </w:rPr>
            </w:pPr>
            <w:r>
              <w:rPr>
                <w:rFonts w:cs="Times New Roman"/>
              </w:rPr>
              <w:t>4</w:t>
            </w:r>
            <w:r w:rsidR="005D1C57">
              <w:rPr>
                <w:rFonts w:cs="Times New Roman"/>
              </w:rPr>
              <w:t>2.58</w:t>
            </w:r>
          </w:p>
        </w:tc>
        <w:tc>
          <w:tcPr>
            <w:tcW w:w="1685" w:type="dxa"/>
          </w:tcPr>
          <w:p w14:paraId="74D9F279" w14:textId="112055A2" w:rsidR="0040234F" w:rsidRDefault="005D1C57" w:rsidP="005D1C57">
            <w:pPr>
              <w:spacing w:before="240"/>
              <w:jc w:val="center"/>
              <w:rPr>
                <w:rFonts w:cs="Times New Roman"/>
              </w:rPr>
            </w:pPr>
            <w:r>
              <w:rPr>
                <w:rFonts w:cs="Times New Roman"/>
              </w:rPr>
              <w:t>40.69</w:t>
            </w:r>
          </w:p>
        </w:tc>
        <w:tc>
          <w:tcPr>
            <w:tcW w:w="1685" w:type="dxa"/>
          </w:tcPr>
          <w:p w14:paraId="4FA72128" w14:textId="30001318" w:rsidR="0040234F" w:rsidRDefault="006E63F1" w:rsidP="00B73361">
            <w:pPr>
              <w:jc w:val="center"/>
              <w:rPr>
                <w:rFonts w:cs="Times New Roman"/>
              </w:rPr>
            </w:pPr>
            <w:r>
              <w:rPr>
                <w:rFonts w:cs="Times New Roman"/>
              </w:rPr>
              <w:t>44.56</w:t>
            </w:r>
          </w:p>
        </w:tc>
      </w:tr>
      <w:tr w:rsidR="0040234F" w:rsidRPr="00E7045D" w14:paraId="5A1E73D7" w14:textId="59AFDFA2" w:rsidTr="0040234F">
        <w:trPr>
          <w:jc w:val="center"/>
        </w:trPr>
        <w:tc>
          <w:tcPr>
            <w:tcW w:w="2119" w:type="dxa"/>
            <w:vAlign w:val="center"/>
          </w:tcPr>
          <w:p w14:paraId="0653A768" w14:textId="41A25130" w:rsidR="0040234F" w:rsidRPr="00E7045D" w:rsidRDefault="0040234F" w:rsidP="2130DD19">
            <w:pPr>
              <w:jc w:val="center"/>
              <w:rPr>
                <w:rFonts w:cs="Times New Roman"/>
                <w:b/>
                <w:bCs/>
                <w:color w:val="000000" w:themeColor="text1"/>
              </w:rPr>
            </w:pPr>
            <w:r w:rsidRPr="27FF0EBE">
              <w:rPr>
                <w:rFonts w:cs="Times New Roman"/>
                <w:b/>
                <w:bCs/>
                <w:color w:val="000000" w:themeColor="text1"/>
              </w:rPr>
              <w:t>Uncertainty (2007)</w:t>
            </w:r>
          </w:p>
        </w:tc>
        <w:tc>
          <w:tcPr>
            <w:tcW w:w="1763" w:type="dxa"/>
            <w:vAlign w:val="center"/>
          </w:tcPr>
          <w:p w14:paraId="5E88C5BC" w14:textId="34E6C071" w:rsidR="0040234F" w:rsidRPr="00E7045D" w:rsidRDefault="0040234F" w:rsidP="00B73361">
            <w:pPr>
              <w:jc w:val="center"/>
              <w:rPr>
                <w:rFonts w:cs="Times New Roman"/>
              </w:rPr>
            </w:pPr>
            <w:r w:rsidRPr="00E7045D">
              <w:rPr>
                <w:rFonts w:cs="Times New Roman"/>
              </w:rPr>
              <w:t>0.11%</w:t>
            </w:r>
            <w:r>
              <w:rPr>
                <w:rFonts w:cs="Times New Roman"/>
              </w:rPr>
              <w:t xml:space="preserve"> abv</w:t>
            </w:r>
          </w:p>
        </w:tc>
        <w:tc>
          <w:tcPr>
            <w:tcW w:w="1764" w:type="dxa"/>
            <w:vAlign w:val="center"/>
          </w:tcPr>
          <w:p w14:paraId="524A0125" w14:textId="1F140822" w:rsidR="0040234F" w:rsidRPr="00E7045D" w:rsidRDefault="0040234F" w:rsidP="00B73361">
            <w:pPr>
              <w:jc w:val="center"/>
              <w:rPr>
                <w:rFonts w:cs="Times New Roman"/>
              </w:rPr>
            </w:pPr>
            <w:r w:rsidRPr="00E7045D">
              <w:rPr>
                <w:rFonts w:cs="Times New Roman"/>
              </w:rPr>
              <w:t>0.11%</w:t>
            </w:r>
            <w:r>
              <w:rPr>
                <w:rFonts w:cs="Times New Roman"/>
              </w:rPr>
              <w:t xml:space="preserve"> abv</w:t>
            </w:r>
          </w:p>
        </w:tc>
        <w:tc>
          <w:tcPr>
            <w:tcW w:w="1685" w:type="dxa"/>
          </w:tcPr>
          <w:p w14:paraId="4A5F6565" w14:textId="40B04862" w:rsidR="0040234F" w:rsidRPr="00E7045D" w:rsidRDefault="005D1C57" w:rsidP="00B73361">
            <w:pPr>
              <w:jc w:val="center"/>
              <w:rPr>
                <w:rFonts w:cs="Times New Roman"/>
              </w:rPr>
            </w:pPr>
            <w:r w:rsidRPr="00E7045D">
              <w:rPr>
                <w:rFonts w:cs="Times New Roman"/>
              </w:rPr>
              <w:t>0.11%</w:t>
            </w:r>
            <w:r>
              <w:rPr>
                <w:rFonts w:cs="Times New Roman"/>
              </w:rPr>
              <w:t xml:space="preserve"> abv</w:t>
            </w:r>
          </w:p>
        </w:tc>
        <w:tc>
          <w:tcPr>
            <w:tcW w:w="1685" w:type="dxa"/>
          </w:tcPr>
          <w:p w14:paraId="4B233D77" w14:textId="45D5BB08" w:rsidR="0040234F" w:rsidRPr="00E7045D" w:rsidRDefault="005D1C57" w:rsidP="00B73361">
            <w:pPr>
              <w:jc w:val="center"/>
              <w:rPr>
                <w:rFonts w:cs="Times New Roman"/>
              </w:rPr>
            </w:pPr>
            <w:r w:rsidRPr="00E7045D">
              <w:rPr>
                <w:rFonts w:cs="Times New Roman"/>
              </w:rPr>
              <w:t>0.11%</w:t>
            </w:r>
            <w:r>
              <w:rPr>
                <w:rFonts w:cs="Times New Roman"/>
              </w:rPr>
              <w:t xml:space="preserve"> abv</w:t>
            </w:r>
          </w:p>
        </w:tc>
      </w:tr>
      <w:tr w:rsidR="0040234F" w:rsidRPr="00E7045D" w14:paraId="2467BA24" w14:textId="21F9E27D" w:rsidTr="0040234F">
        <w:trPr>
          <w:jc w:val="center"/>
        </w:trPr>
        <w:tc>
          <w:tcPr>
            <w:tcW w:w="2119" w:type="dxa"/>
            <w:vAlign w:val="center"/>
          </w:tcPr>
          <w:p w14:paraId="5D4ED9EB" w14:textId="77777777" w:rsidR="0040234F" w:rsidRPr="00E7045D" w:rsidRDefault="0040234F" w:rsidP="2130DD19">
            <w:pPr>
              <w:jc w:val="center"/>
              <w:rPr>
                <w:rFonts w:cs="Times New Roman"/>
                <w:b/>
                <w:bCs/>
                <w:color w:val="FF0000"/>
              </w:rPr>
            </w:pPr>
            <w:r w:rsidRPr="27FF0EBE">
              <w:rPr>
                <w:rFonts w:cs="Times New Roman"/>
                <w:b/>
                <w:bCs/>
                <w:color w:val="000000" w:themeColor="text1"/>
              </w:rPr>
              <w:t>Lower Limit</w:t>
            </w:r>
          </w:p>
        </w:tc>
        <w:tc>
          <w:tcPr>
            <w:tcW w:w="1763" w:type="dxa"/>
            <w:vAlign w:val="center"/>
          </w:tcPr>
          <w:p w14:paraId="3ED61E32" w14:textId="7F945106" w:rsidR="0040234F" w:rsidRDefault="0040234F" w:rsidP="00B73361">
            <w:pPr>
              <w:jc w:val="center"/>
              <w:rPr>
                <w:rFonts w:cs="Times New Roman"/>
              </w:rPr>
            </w:pPr>
            <w:r>
              <w:rPr>
                <w:rFonts w:cs="Times New Roman"/>
              </w:rPr>
              <w:t>40.</w:t>
            </w:r>
            <w:r w:rsidR="005D1C57">
              <w:rPr>
                <w:rFonts w:cs="Times New Roman"/>
              </w:rPr>
              <w:t>87</w:t>
            </w:r>
          </w:p>
        </w:tc>
        <w:tc>
          <w:tcPr>
            <w:tcW w:w="1764" w:type="dxa"/>
            <w:vAlign w:val="center"/>
          </w:tcPr>
          <w:p w14:paraId="350AEBE8" w14:textId="4C26318B" w:rsidR="0040234F" w:rsidRPr="00E7045D" w:rsidRDefault="0040234F" w:rsidP="00B73361">
            <w:pPr>
              <w:jc w:val="center"/>
              <w:rPr>
                <w:rFonts w:cs="Times New Roman"/>
              </w:rPr>
            </w:pPr>
            <w:r>
              <w:rPr>
                <w:rFonts w:cs="Times New Roman"/>
              </w:rPr>
              <w:t>4</w:t>
            </w:r>
            <w:r w:rsidR="005D1C57">
              <w:rPr>
                <w:rFonts w:cs="Times New Roman"/>
              </w:rPr>
              <w:t>2.22</w:t>
            </w:r>
          </w:p>
        </w:tc>
        <w:tc>
          <w:tcPr>
            <w:tcW w:w="1685" w:type="dxa"/>
          </w:tcPr>
          <w:p w14:paraId="4AD19911" w14:textId="4A38B61B" w:rsidR="0040234F" w:rsidRDefault="006E63F1" w:rsidP="00B73361">
            <w:pPr>
              <w:jc w:val="center"/>
              <w:rPr>
                <w:rFonts w:cs="Times New Roman"/>
              </w:rPr>
            </w:pPr>
            <w:r>
              <w:rPr>
                <w:rFonts w:cs="Times New Roman"/>
              </w:rPr>
              <w:t>40.31</w:t>
            </w:r>
          </w:p>
        </w:tc>
        <w:tc>
          <w:tcPr>
            <w:tcW w:w="1685" w:type="dxa"/>
          </w:tcPr>
          <w:p w14:paraId="0A728A3D" w14:textId="7335AC67" w:rsidR="0040234F" w:rsidRDefault="006E63F1" w:rsidP="00B73361">
            <w:pPr>
              <w:jc w:val="center"/>
              <w:rPr>
                <w:rFonts w:cs="Times New Roman"/>
              </w:rPr>
            </w:pPr>
            <w:r>
              <w:rPr>
                <w:rFonts w:cs="Times New Roman"/>
              </w:rPr>
              <w:t>44.33</w:t>
            </w:r>
          </w:p>
        </w:tc>
      </w:tr>
      <w:tr w:rsidR="0040234F" w:rsidRPr="00E7045D" w14:paraId="12E397EE" w14:textId="672DFBCF" w:rsidTr="0040234F">
        <w:trPr>
          <w:jc w:val="center"/>
        </w:trPr>
        <w:tc>
          <w:tcPr>
            <w:tcW w:w="2119" w:type="dxa"/>
            <w:vAlign w:val="center"/>
          </w:tcPr>
          <w:p w14:paraId="3A5CCAB3" w14:textId="77777777" w:rsidR="0040234F" w:rsidRPr="00E7045D" w:rsidRDefault="0040234F" w:rsidP="2130DD19">
            <w:pPr>
              <w:jc w:val="center"/>
              <w:rPr>
                <w:rFonts w:cs="Times New Roman"/>
                <w:b/>
                <w:bCs/>
                <w:color w:val="FF0000"/>
              </w:rPr>
            </w:pPr>
            <w:r w:rsidRPr="27FF0EBE">
              <w:rPr>
                <w:rFonts w:cs="Times New Roman"/>
                <w:b/>
                <w:bCs/>
                <w:color w:val="000000" w:themeColor="text1"/>
              </w:rPr>
              <w:t>Upper Limit</w:t>
            </w:r>
          </w:p>
        </w:tc>
        <w:tc>
          <w:tcPr>
            <w:tcW w:w="1763" w:type="dxa"/>
            <w:vAlign w:val="center"/>
          </w:tcPr>
          <w:p w14:paraId="42F27BF7" w14:textId="5F11D646" w:rsidR="0040234F" w:rsidRDefault="0040234F" w:rsidP="00B73361">
            <w:pPr>
              <w:jc w:val="center"/>
              <w:rPr>
                <w:rFonts w:cs="Times New Roman"/>
              </w:rPr>
            </w:pPr>
            <w:r>
              <w:rPr>
                <w:rFonts w:cs="Times New Roman"/>
              </w:rPr>
              <w:t>4</w:t>
            </w:r>
            <w:r w:rsidR="005D1C57">
              <w:rPr>
                <w:rFonts w:cs="Times New Roman"/>
              </w:rPr>
              <w:t>1.59</w:t>
            </w:r>
          </w:p>
        </w:tc>
        <w:tc>
          <w:tcPr>
            <w:tcW w:w="1764" w:type="dxa"/>
            <w:vAlign w:val="center"/>
          </w:tcPr>
          <w:p w14:paraId="14D903C8" w14:textId="7451456B" w:rsidR="0040234F" w:rsidRPr="00E7045D" w:rsidRDefault="0040234F" w:rsidP="00B73361">
            <w:pPr>
              <w:jc w:val="center"/>
              <w:rPr>
                <w:rFonts w:cs="Times New Roman"/>
              </w:rPr>
            </w:pPr>
            <w:r>
              <w:rPr>
                <w:rFonts w:cs="Times New Roman"/>
              </w:rPr>
              <w:t>4</w:t>
            </w:r>
            <w:r w:rsidR="005D1C57">
              <w:rPr>
                <w:rFonts w:cs="Times New Roman"/>
              </w:rPr>
              <w:t>2.66</w:t>
            </w:r>
          </w:p>
        </w:tc>
        <w:tc>
          <w:tcPr>
            <w:tcW w:w="1685" w:type="dxa"/>
          </w:tcPr>
          <w:p w14:paraId="5D71ED10" w14:textId="0F6D5157" w:rsidR="0040234F" w:rsidRDefault="006E63F1" w:rsidP="00B73361">
            <w:pPr>
              <w:jc w:val="center"/>
              <w:rPr>
                <w:rFonts w:cs="Times New Roman"/>
              </w:rPr>
            </w:pPr>
            <w:r>
              <w:rPr>
                <w:rFonts w:cs="Times New Roman"/>
              </w:rPr>
              <w:t>40.79</w:t>
            </w:r>
          </w:p>
        </w:tc>
        <w:tc>
          <w:tcPr>
            <w:tcW w:w="1685" w:type="dxa"/>
          </w:tcPr>
          <w:p w14:paraId="6A221022" w14:textId="1B62426F" w:rsidR="0040234F" w:rsidRDefault="006E63F1" w:rsidP="00B73361">
            <w:pPr>
              <w:jc w:val="center"/>
              <w:rPr>
                <w:rFonts w:cs="Times New Roman"/>
              </w:rPr>
            </w:pPr>
            <w:r>
              <w:rPr>
                <w:rFonts w:cs="Times New Roman"/>
              </w:rPr>
              <w:t>44.59</w:t>
            </w:r>
          </w:p>
        </w:tc>
      </w:tr>
    </w:tbl>
    <w:p w14:paraId="75C8BACF" w14:textId="1FAB7E97" w:rsidR="00226E12" w:rsidRPr="00257C94" w:rsidRDefault="00226E12" w:rsidP="002F2599">
      <w:pPr>
        <w:spacing w:after="0" w:line="240" w:lineRule="auto"/>
        <w:jc w:val="both"/>
        <w:rPr>
          <w:rFonts w:cs="Times New Roman"/>
        </w:rPr>
      </w:pPr>
    </w:p>
    <w:p w14:paraId="3E5032F9" w14:textId="1868B830" w:rsidR="00284D07" w:rsidRDefault="67172055" w:rsidP="00284D07">
      <w:pPr>
        <w:spacing w:after="0" w:line="240" w:lineRule="auto"/>
        <w:jc w:val="both"/>
        <w:rPr>
          <w:rFonts w:cs="Times New Roman"/>
        </w:rPr>
      </w:pPr>
      <w:r w:rsidRPr="27FF0EBE">
        <w:rPr>
          <w:rFonts w:cs="Times New Roman"/>
        </w:rPr>
        <w:t>Precision data from the 2007 uncertainty document used data from 8 quality control samples, all approximately 40%, and repeated analyses of these gave standard deviations between 0.025 and 0.072% abv.</w:t>
      </w:r>
      <w:r w:rsidR="006E63F1">
        <w:rPr>
          <w:rFonts w:cs="Times New Roman"/>
        </w:rPr>
        <w:t xml:space="preserve"> </w:t>
      </w:r>
      <w:r w:rsidR="006E63F1" w:rsidRPr="27FF0EBE">
        <w:rPr>
          <w:rFonts w:cs="Times New Roman"/>
        </w:rPr>
        <w:t xml:space="preserve">Standard deviations for </w:t>
      </w:r>
      <w:r w:rsidR="006E63F1">
        <w:rPr>
          <w:rFonts w:cs="Times New Roman"/>
        </w:rPr>
        <w:t xml:space="preserve">one of the </w:t>
      </w:r>
      <w:r w:rsidR="006E63F1" w:rsidRPr="27FF0EBE">
        <w:rPr>
          <w:rFonts w:cs="Times New Roman"/>
        </w:rPr>
        <w:t>QC sample</w:t>
      </w:r>
      <w:r w:rsidR="006E63F1">
        <w:rPr>
          <w:rFonts w:cs="Times New Roman"/>
        </w:rPr>
        <w:t>s</w:t>
      </w:r>
      <w:r w:rsidR="006E63F1" w:rsidRPr="27FF0EBE">
        <w:rPr>
          <w:rFonts w:cs="Times New Roman"/>
        </w:rPr>
        <w:t xml:space="preserve"> used in 202</w:t>
      </w:r>
      <w:r w:rsidR="006E63F1">
        <w:rPr>
          <w:rFonts w:cs="Times New Roman"/>
        </w:rPr>
        <w:t>1, ActS043,</w:t>
      </w:r>
      <w:r w:rsidR="006E63F1" w:rsidRPr="27FF0EBE">
        <w:rPr>
          <w:rFonts w:cs="Times New Roman"/>
        </w:rPr>
        <w:t xml:space="preserve"> </w:t>
      </w:r>
      <w:r w:rsidR="006E63F1">
        <w:rPr>
          <w:rFonts w:cs="Times New Roman"/>
        </w:rPr>
        <w:t xml:space="preserve">is within this range. ActS041 and ActS042 are both slightly above this range with a standard deviation of 0.073% abv </w:t>
      </w:r>
      <w:proofErr w:type="gramStart"/>
      <w:r w:rsidR="006E63F1">
        <w:rPr>
          <w:rFonts w:cs="Times New Roman"/>
        </w:rPr>
        <w:t>and  0.0</w:t>
      </w:r>
      <w:r w:rsidR="00E4218A">
        <w:rPr>
          <w:rFonts w:cs="Times New Roman"/>
        </w:rPr>
        <w:t>81</w:t>
      </w:r>
      <w:proofErr w:type="gramEnd"/>
      <w:r w:rsidR="00E4218A">
        <w:rPr>
          <w:rFonts w:cs="Times New Roman"/>
        </w:rPr>
        <w:t>% abv respectively</w:t>
      </w:r>
      <w:r w:rsidR="006E63F1">
        <w:rPr>
          <w:rFonts w:cs="Times New Roman"/>
        </w:rPr>
        <w:t>.</w:t>
      </w:r>
      <w:r w:rsidR="00E4218A">
        <w:rPr>
          <w:rFonts w:cs="Times New Roman"/>
        </w:rPr>
        <w:t xml:space="preserve"> The standard deviation for ActS040, 0.12% abv, is much higher than the range given in the 2007 uncertainty document, 0.025 to 0.072% abv. However, this QC sample includes a data point</w:t>
      </w:r>
      <w:r w:rsidR="00C60C8F">
        <w:rPr>
          <w:rFonts w:cs="Times New Roman"/>
        </w:rPr>
        <w:t xml:space="preserve"> significantly lower than usual. This data point is from a run</w:t>
      </w:r>
      <w:r w:rsidR="00E4218A">
        <w:rPr>
          <w:rFonts w:cs="Times New Roman"/>
        </w:rPr>
        <w:t xml:space="preserve"> during which the gas was turned off to the laboratory </w:t>
      </w:r>
      <w:r w:rsidR="00C60C8F">
        <w:rPr>
          <w:rFonts w:cs="Times New Roman"/>
        </w:rPr>
        <w:t>whilst</w:t>
      </w:r>
      <w:r w:rsidR="00E4218A">
        <w:rPr>
          <w:rFonts w:cs="Times New Roman"/>
        </w:rPr>
        <w:t xml:space="preserve"> the distillation</w:t>
      </w:r>
      <w:r w:rsidR="00C60C8F">
        <w:rPr>
          <w:rFonts w:cs="Times New Roman"/>
        </w:rPr>
        <w:t>s were running</w:t>
      </w:r>
      <w:r w:rsidR="00815063">
        <w:rPr>
          <w:rFonts w:cs="Times New Roman"/>
        </w:rPr>
        <w:t>.</w:t>
      </w:r>
      <w:r w:rsidR="00E4218A">
        <w:rPr>
          <w:rFonts w:cs="Times New Roman"/>
        </w:rPr>
        <w:t xml:space="preserve"> Removing that data point from ActS040 results in a standard deviation of </w:t>
      </w:r>
      <w:commentRangeStart w:id="28"/>
      <w:r w:rsidR="00E4218A">
        <w:rPr>
          <w:rFonts w:cs="Times New Roman"/>
        </w:rPr>
        <w:t>0.059</w:t>
      </w:r>
      <w:commentRangeEnd w:id="28"/>
      <w:r w:rsidR="00815063">
        <w:rPr>
          <w:rStyle w:val="CommentReference"/>
        </w:rPr>
        <w:commentReference w:id="28"/>
      </w:r>
      <w:r w:rsidR="00E4218A">
        <w:rPr>
          <w:rFonts w:cs="Times New Roman"/>
        </w:rPr>
        <w:t>% abv which falls within the range given in the 2007 uncertainty document.</w:t>
      </w:r>
      <w:r w:rsidR="00D23CF6">
        <w:rPr>
          <w:rFonts w:cs="Times New Roman"/>
        </w:rPr>
        <w:t xml:space="preserve"> </w:t>
      </w:r>
      <w:r w:rsidR="4603249B" w:rsidRPr="27FF0EBE">
        <w:rPr>
          <w:rFonts w:cs="Times New Roman"/>
        </w:rPr>
        <w:t>T</w:t>
      </w:r>
      <w:r w:rsidRPr="27FF0EBE">
        <w:rPr>
          <w:rFonts w:cs="Times New Roman"/>
        </w:rPr>
        <w:t>his indicates the method has been performed with satisfactory precision during 20</w:t>
      </w:r>
      <w:r w:rsidR="6A352A81" w:rsidRPr="27FF0EBE">
        <w:rPr>
          <w:rFonts w:cs="Times New Roman"/>
        </w:rPr>
        <w:t>20.</w:t>
      </w:r>
    </w:p>
    <w:p w14:paraId="30A1DD28" w14:textId="759D481F" w:rsidR="00C6650A" w:rsidRDefault="00C6650A" w:rsidP="002F2599">
      <w:pPr>
        <w:spacing w:after="0" w:line="240" w:lineRule="auto"/>
        <w:jc w:val="both"/>
        <w:rPr>
          <w:rFonts w:cs="Times New Roman"/>
          <w:color w:val="FF0000"/>
        </w:rPr>
      </w:pPr>
    </w:p>
    <w:p w14:paraId="0078A428" w14:textId="77777777" w:rsidR="00284D07" w:rsidRDefault="00284D07" w:rsidP="00284D07">
      <w:pPr>
        <w:spacing w:after="0" w:line="240" w:lineRule="auto"/>
        <w:jc w:val="both"/>
        <w:rPr>
          <w:rFonts w:cs="Times New Roman"/>
          <w:b/>
          <w:i/>
        </w:rPr>
      </w:pPr>
      <w:r>
        <w:rPr>
          <w:rFonts w:cs="Times New Roman"/>
          <w:b/>
          <w:i/>
        </w:rPr>
        <w:t>Proficiency Schemes</w:t>
      </w:r>
    </w:p>
    <w:p w14:paraId="0CCD35C2" w14:textId="77777777" w:rsidR="00284D07" w:rsidRDefault="00284D07" w:rsidP="002F2599">
      <w:pPr>
        <w:spacing w:after="0" w:line="240" w:lineRule="auto"/>
        <w:jc w:val="both"/>
        <w:rPr>
          <w:rFonts w:cs="Times New Roman"/>
          <w:color w:val="FF0000"/>
        </w:rPr>
      </w:pPr>
    </w:p>
    <w:p w14:paraId="59B79B70" w14:textId="73AC922D" w:rsidR="00284D07" w:rsidRDefault="67172055" w:rsidP="00284D07">
      <w:pPr>
        <w:spacing w:after="0" w:line="240" w:lineRule="auto"/>
        <w:jc w:val="both"/>
        <w:rPr>
          <w:rFonts w:cs="Times New Roman"/>
        </w:rPr>
      </w:pPr>
      <w:r w:rsidRPr="0849D260">
        <w:rPr>
          <w:rFonts w:cs="Times New Roman"/>
        </w:rPr>
        <w:t>DAPS analysis performed well over 20</w:t>
      </w:r>
      <w:r w:rsidR="6A352A81" w:rsidRPr="0849D260">
        <w:rPr>
          <w:rFonts w:cs="Times New Roman"/>
        </w:rPr>
        <w:t>2</w:t>
      </w:r>
      <w:r w:rsidR="0027174E">
        <w:rPr>
          <w:rFonts w:cs="Times New Roman"/>
        </w:rPr>
        <w:t>1</w:t>
      </w:r>
      <w:r w:rsidRPr="0849D260">
        <w:rPr>
          <w:rFonts w:cs="Times New Roman"/>
        </w:rPr>
        <w:t xml:space="preserve"> with Z scores between 2 and -2 being achieved.</w:t>
      </w:r>
      <w:r w:rsidR="0027174E">
        <w:rPr>
          <w:rFonts w:cs="Times New Roman"/>
        </w:rPr>
        <w:t xml:space="preserve"> There was only one case where Z scores outside of 2 and -2 were achieved (</w:t>
      </w:r>
      <w:r w:rsidR="006C5946">
        <w:rPr>
          <w:rFonts w:cs="Times New Roman"/>
        </w:rPr>
        <w:t xml:space="preserve">Round 104 </w:t>
      </w:r>
      <w:r w:rsidR="0027174E">
        <w:rPr>
          <w:rFonts w:cs="Times New Roman"/>
        </w:rPr>
        <w:t xml:space="preserve">B4, Z = </w:t>
      </w:r>
      <w:commentRangeStart w:id="29"/>
      <w:r w:rsidR="0027174E">
        <w:rPr>
          <w:rFonts w:cs="Times New Roman"/>
        </w:rPr>
        <w:t>25.12</w:t>
      </w:r>
      <w:commentRangeEnd w:id="29"/>
      <w:r w:rsidR="00815063">
        <w:rPr>
          <w:rStyle w:val="CommentReference"/>
        </w:rPr>
        <w:commentReference w:id="29"/>
      </w:r>
      <w:r w:rsidR="0027174E">
        <w:rPr>
          <w:rFonts w:cs="Times New Roman"/>
        </w:rPr>
        <w:t>).</w:t>
      </w:r>
      <w:r w:rsidRPr="0849D260">
        <w:rPr>
          <w:rFonts w:cs="Times New Roman"/>
        </w:rPr>
        <w:t xml:space="preserve">  Summary of reported results, their bias compared with the assigned values, assigned values and their associated uncertainty are given in Table 5 for the different matrices analysed.  B1 = Scotch whisky; B2 = dark spirit; B3 = clear spirit; B4 = simulant; D1 = white wine; D2 = </w:t>
      </w:r>
      <w:r w:rsidR="459003B1" w:rsidRPr="0849D260">
        <w:rPr>
          <w:rFonts w:cs="Times New Roman"/>
        </w:rPr>
        <w:t>r</w:t>
      </w:r>
      <w:r w:rsidRPr="0849D260">
        <w:rPr>
          <w:rFonts w:cs="Times New Roman"/>
        </w:rPr>
        <w:t>ed wine</w:t>
      </w:r>
      <w:r w:rsidR="459003B1" w:rsidRPr="0849D260">
        <w:rPr>
          <w:rFonts w:cs="Times New Roman"/>
        </w:rPr>
        <w:t>; E1 = “ready to drink” beverage and E2 = liqueur</w:t>
      </w:r>
      <w:r w:rsidRPr="0849D260">
        <w:rPr>
          <w:rFonts w:cs="Times New Roman"/>
        </w:rPr>
        <w:t>.</w:t>
      </w:r>
      <w:r w:rsidR="6A352A81" w:rsidRPr="0849D260">
        <w:rPr>
          <w:rFonts w:cs="Times New Roman"/>
        </w:rPr>
        <w:t xml:space="preserve"> </w:t>
      </w:r>
    </w:p>
    <w:p w14:paraId="795BBCD6" w14:textId="77777777" w:rsidR="002413B9" w:rsidRDefault="002413B9" w:rsidP="00284D07">
      <w:pPr>
        <w:spacing w:after="0" w:line="240" w:lineRule="auto"/>
        <w:jc w:val="both"/>
        <w:rPr>
          <w:rFonts w:cs="Times New Roman"/>
        </w:rPr>
      </w:pPr>
    </w:p>
    <w:p w14:paraId="4DC77430" w14:textId="33A7C0CB" w:rsidR="002413B9" w:rsidRDefault="002413B9" w:rsidP="00815063">
      <w:pPr>
        <w:spacing w:after="0" w:line="240" w:lineRule="auto"/>
        <w:jc w:val="both"/>
        <w:rPr>
          <w:rFonts w:cs="Times New Roman"/>
        </w:rPr>
      </w:pPr>
      <w:r w:rsidRPr="0849D260">
        <w:rPr>
          <w:rFonts w:cs="Times New Roman"/>
        </w:rPr>
        <w:t xml:space="preserve">Across all sample </w:t>
      </w:r>
      <w:proofErr w:type="gramStart"/>
      <w:r w:rsidRPr="0849D260">
        <w:rPr>
          <w:rFonts w:cs="Times New Roman"/>
        </w:rPr>
        <w:t>types</w:t>
      </w:r>
      <w:proofErr w:type="gramEnd"/>
      <w:r w:rsidRPr="0849D260">
        <w:rPr>
          <w:rFonts w:cs="Times New Roman"/>
        </w:rPr>
        <w:t xml:space="preserve"> the results give a root mean square bias of </w:t>
      </w:r>
      <w:commentRangeStart w:id="30"/>
      <w:r w:rsidRPr="0849D260">
        <w:rPr>
          <w:rFonts w:cs="Times New Roman"/>
        </w:rPr>
        <w:t>0.</w:t>
      </w:r>
      <w:r w:rsidR="00066DEF">
        <w:rPr>
          <w:rFonts w:cs="Times New Roman"/>
        </w:rPr>
        <w:t>54</w:t>
      </w:r>
      <w:commentRangeEnd w:id="30"/>
      <w:r w:rsidR="00815063">
        <w:rPr>
          <w:rStyle w:val="CommentReference"/>
        </w:rPr>
        <w:commentReference w:id="30"/>
      </w:r>
      <w:r w:rsidRPr="0849D260">
        <w:rPr>
          <w:rFonts w:cs="Times New Roman"/>
        </w:rPr>
        <w:t xml:space="preserve">% abv.  Combined with the uncertainties of the assigned value and the uncertainty from the determination of apparent strength, this gives a combined uncertainty arising from the accuracy of the method of </w:t>
      </w:r>
      <w:commentRangeStart w:id="31"/>
      <w:r w:rsidRPr="0849D260">
        <w:rPr>
          <w:rFonts w:cs="Times New Roman"/>
        </w:rPr>
        <w:t>0.</w:t>
      </w:r>
      <w:r w:rsidR="00066DEF">
        <w:rPr>
          <w:rFonts w:cs="Times New Roman"/>
        </w:rPr>
        <w:t>5</w:t>
      </w:r>
      <w:r w:rsidR="17A95B65" w:rsidRPr="0849D260">
        <w:rPr>
          <w:rFonts w:cs="Times New Roman"/>
        </w:rPr>
        <w:t>4</w:t>
      </w:r>
      <w:commentRangeEnd w:id="31"/>
      <w:r w:rsidR="00815063">
        <w:rPr>
          <w:rStyle w:val="CommentReference"/>
        </w:rPr>
        <w:commentReference w:id="31"/>
      </w:r>
      <w:r w:rsidRPr="0849D260">
        <w:rPr>
          <w:rFonts w:cs="Times New Roman"/>
        </w:rPr>
        <w:t xml:space="preserve">% abv. </w:t>
      </w:r>
      <w:r w:rsidR="00066DEF">
        <w:rPr>
          <w:rFonts w:cs="Times New Roman"/>
        </w:rPr>
        <w:t xml:space="preserve">Omitting </w:t>
      </w:r>
      <w:r w:rsidR="006C5946">
        <w:rPr>
          <w:rFonts w:cs="Times New Roman"/>
        </w:rPr>
        <w:t xml:space="preserve">round 104 </w:t>
      </w:r>
      <w:r w:rsidR="00066DEF">
        <w:rPr>
          <w:rFonts w:cs="Times New Roman"/>
        </w:rPr>
        <w:t xml:space="preserve">B4 from the calculations </w:t>
      </w:r>
      <w:r w:rsidR="00066DEF" w:rsidRPr="0849D260">
        <w:rPr>
          <w:rFonts w:cs="Times New Roman"/>
        </w:rPr>
        <w:t>give</w:t>
      </w:r>
      <w:r w:rsidR="00066DEF">
        <w:rPr>
          <w:rFonts w:cs="Times New Roman"/>
        </w:rPr>
        <w:t>s</w:t>
      </w:r>
      <w:r w:rsidR="00066DEF" w:rsidRPr="0849D260">
        <w:rPr>
          <w:rFonts w:cs="Times New Roman"/>
        </w:rPr>
        <w:t xml:space="preserve"> a root mean square bias of </w:t>
      </w:r>
      <w:commentRangeStart w:id="32"/>
      <w:r w:rsidR="00066DEF" w:rsidRPr="0849D260">
        <w:rPr>
          <w:rFonts w:cs="Times New Roman"/>
        </w:rPr>
        <w:t>0.</w:t>
      </w:r>
      <w:r w:rsidR="006C5946">
        <w:rPr>
          <w:rFonts w:cs="Times New Roman"/>
        </w:rPr>
        <w:t>055</w:t>
      </w:r>
      <w:commentRangeEnd w:id="32"/>
      <w:r w:rsidR="00815063">
        <w:rPr>
          <w:rStyle w:val="CommentReference"/>
        </w:rPr>
        <w:commentReference w:id="32"/>
      </w:r>
      <w:r w:rsidR="00066DEF" w:rsidRPr="0849D260">
        <w:rPr>
          <w:rFonts w:cs="Times New Roman"/>
        </w:rPr>
        <w:t>% abv</w:t>
      </w:r>
      <w:r w:rsidR="006C5946">
        <w:rPr>
          <w:rFonts w:cs="Times New Roman"/>
        </w:rPr>
        <w:t xml:space="preserve"> and a combined </w:t>
      </w:r>
      <w:r w:rsidR="006C5946" w:rsidRPr="0849D260">
        <w:rPr>
          <w:rFonts w:cs="Times New Roman"/>
        </w:rPr>
        <w:t>uncertainty arising from the accuracy of the method of</w:t>
      </w:r>
      <w:r w:rsidR="006C5946">
        <w:rPr>
          <w:rFonts w:cs="Times New Roman"/>
        </w:rPr>
        <w:t xml:space="preserve"> </w:t>
      </w:r>
      <w:commentRangeStart w:id="33"/>
      <w:r w:rsidR="006C5946">
        <w:rPr>
          <w:rFonts w:cs="Times New Roman"/>
        </w:rPr>
        <w:t>0.058</w:t>
      </w:r>
      <w:commentRangeEnd w:id="33"/>
      <w:r w:rsidR="00815063">
        <w:rPr>
          <w:rStyle w:val="CommentReference"/>
        </w:rPr>
        <w:commentReference w:id="33"/>
      </w:r>
      <w:r w:rsidR="006C5946">
        <w:rPr>
          <w:rFonts w:cs="Times New Roman"/>
        </w:rPr>
        <w:t>% abv</w:t>
      </w:r>
      <w:r w:rsidR="00066DEF" w:rsidRPr="0849D260">
        <w:rPr>
          <w:rFonts w:cs="Times New Roman"/>
        </w:rPr>
        <w:t>.</w:t>
      </w:r>
      <w:r w:rsidR="00066DEF">
        <w:rPr>
          <w:rFonts w:cs="Times New Roman"/>
        </w:rPr>
        <w:t xml:space="preserve"> </w:t>
      </w:r>
      <w:r w:rsidRPr="0849D260">
        <w:rPr>
          <w:rFonts w:cs="Times New Roman"/>
        </w:rPr>
        <w:t xml:space="preserve">This is </w:t>
      </w:r>
      <w:r w:rsidR="000519FE" w:rsidRPr="0849D260">
        <w:rPr>
          <w:rFonts w:cs="Times New Roman"/>
        </w:rPr>
        <w:t>close to but above</w:t>
      </w:r>
      <w:r w:rsidRPr="0849D260">
        <w:rPr>
          <w:rFonts w:cs="Times New Roman"/>
        </w:rPr>
        <w:t xml:space="preserve"> the standard uncertainty calculated in the 2007 document (0.056% abv).</w:t>
      </w:r>
      <w:r w:rsidR="000519FE" w:rsidRPr="0849D260">
        <w:rPr>
          <w:rFonts w:cs="Times New Roman"/>
        </w:rPr>
        <w:t xml:space="preserve"> </w:t>
      </w:r>
      <w:r w:rsidR="00956778" w:rsidRPr="0849D260">
        <w:rPr>
          <w:rFonts w:cs="Times New Roman"/>
        </w:rPr>
        <w:t xml:space="preserve">DAPS covers </w:t>
      </w:r>
      <w:r w:rsidR="000519FE" w:rsidRPr="0849D260">
        <w:rPr>
          <w:rFonts w:cs="Times New Roman"/>
        </w:rPr>
        <w:t xml:space="preserve">a </w:t>
      </w:r>
      <w:r w:rsidR="00956778" w:rsidRPr="0849D260">
        <w:rPr>
          <w:rFonts w:cs="Times New Roman"/>
        </w:rPr>
        <w:t xml:space="preserve">wider range of matrices than </w:t>
      </w:r>
      <w:r w:rsidR="000519FE" w:rsidRPr="0849D260">
        <w:rPr>
          <w:rFonts w:cs="Times New Roman"/>
        </w:rPr>
        <w:t xml:space="preserve">the </w:t>
      </w:r>
      <w:r w:rsidR="00956778" w:rsidRPr="0849D260">
        <w:rPr>
          <w:rFonts w:cs="Times New Roman"/>
        </w:rPr>
        <w:t xml:space="preserve">2007 document </w:t>
      </w:r>
      <w:r w:rsidR="000519FE" w:rsidRPr="0849D260">
        <w:rPr>
          <w:rFonts w:cs="Times New Roman"/>
        </w:rPr>
        <w:t>and this</w:t>
      </w:r>
      <w:r w:rsidR="00956778" w:rsidRPr="0849D260">
        <w:rPr>
          <w:rFonts w:cs="Times New Roman"/>
        </w:rPr>
        <w:t xml:space="preserve"> document </w:t>
      </w:r>
      <w:r w:rsidR="000519FE" w:rsidRPr="0849D260">
        <w:rPr>
          <w:rFonts w:cs="Times New Roman"/>
        </w:rPr>
        <w:t xml:space="preserve">is already </w:t>
      </w:r>
      <w:r w:rsidR="00956778" w:rsidRPr="0849D260">
        <w:rPr>
          <w:rFonts w:cs="Times New Roman"/>
        </w:rPr>
        <w:t xml:space="preserve">pending revision </w:t>
      </w:r>
      <w:r w:rsidR="000519FE" w:rsidRPr="0849D260">
        <w:rPr>
          <w:rFonts w:cs="Times New Roman"/>
        </w:rPr>
        <w:t>to reflect this.</w:t>
      </w:r>
    </w:p>
    <w:p w14:paraId="459BE7FD" w14:textId="77777777" w:rsidR="00815063" w:rsidRPr="00815063" w:rsidRDefault="00815063" w:rsidP="00815063">
      <w:pPr>
        <w:spacing w:after="0" w:line="240" w:lineRule="auto"/>
        <w:jc w:val="both"/>
        <w:rPr>
          <w:rFonts w:cs="Times New Roman"/>
        </w:rPr>
      </w:pPr>
    </w:p>
    <w:p w14:paraId="761DF77A" w14:textId="7009D1A8" w:rsidR="006E3059" w:rsidRPr="003C08A7" w:rsidRDefault="459003B1" w:rsidP="2130DD19">
      <w:pPr>
        <w:spacing w:after="0" w:line="240" w:lineRule="auto"/>
        <w:jc w:val="both"/>
        <w:rPr>
          <w:rFonts w:cs="Times New Roman"/>
        </w:rPr>
      </w:pPr>
      <w:r w:rsidRPr="27FF0EBE">
        <w:rPr>
          <w:rFonts w:cs="Times New Roman"/>
          <w:b/>
          <w:bCs/>
        </w:rPr>
        <w:t xml:space="preserve">Table </w:t>
      </w:r>
      <w:r w:rsidR="0A174D25" w:rsidRPr="27FF0EBE">
        <w:rPr>
          <w:rFonts w:cs="Times New Roman"/>
          <w:b/>
          <w:bCs/>
        </w:rPr>
        <w:t>5</w:t>
      </w:r>
      <w:r w:rsidRPr="27FF0EBE">
        <w:rPr>
          <w:rFonts w:cs="Times New Roman"/>
          <w:b/>
          <w:bCs/>
        </w:rPr>
        <w:t>:</w:t>
      </w:r>
      <w:r w:rsidRPr="27FF0EBE">
        <w:rPr>
          <w:rFonts w:cs="Times New Roman"/>
        </w:rPr>
        <w:t xml:space="preserve">  Summary of D</w:t>
      </w:r>
      <w:r w:rsidR="5E814E12" w:rsidRPr="27FF0EBE">
        <w:rPr>
          <w:rFonts w:cs="Times New Roman"/>
        </w:rPr>
        <w:t xml:space="preserve">APS </w:t>
      </w:r>
      <w:r w:rsidR="00CA19B1">
        <w:rPr>
          <w:rFonts w:cs="Times New Roman"/>
        </w:rPr>
        <w:t>a</w:t>
      </w:r>
      <w:r w:rsidR="5E814E12" w:rsidRPr="27FF0EBE">
        <w:rPr>
          <w:rFonts w:ascii="Calibri" w:eastAsia="Calibri" w:hAnsi="Calibri" w:cs="Calibri"/>
          <w:color w:val="000000" w:themeColor="text1"/>
        </w:rPr>
        <w:t xml:space="preserve">ctual </w:t>
      </w:r>
      <w:r w:rsidR="00CA19B1">
        <w:rPr>
          <w:rFonts w:ascii="Calibri" w:eastAsia="Calibri" w:hAnsi="Calibri" w:cs="Calibri"/>
          <w:color w:val="000000" w:themeColor="text1"/>
        </w:rPr>
        <w:t>s</w:t>
      </w:r>
      <w:r w:rsidR="5E814E12" w:rsidRPr="27FF0EBE">
        <w:rPr>
          <w:rFonts w:ascii="Calibri" w:eastAsia="Calibri" w:hAnsi="Calibri" w:cs="Calibri"/>
          <w:color w:val="000000" w:themeColor="text1"/>
        </w:rPr>
        <w:t xml:space="preserve">trength </w:t>
      </w:r>
      <w:r w:rsidR="00CA19B1">
        <w:rPr>
          <w:rFonts w:ascii="Calibri" w:eastAsia="Calibri" w:hAnsi="Calibri" w:cs="Calibri"/>
          <w:color w:val="000000" w:themeColor="text1"/>
        </w:rPr>
        <w:t>r</w:t>
      </w:r>
      <w:r w:rsidR="5E814E12" w:rsidRPr="27FF0EBE">
        <w:rPr>
          <w:rFonts w:ascii="Calibri" w:eastAsia="Calibri" w:hAnsi="Calibri" w:cs="Calibri"/>
          <w:color w:val="000000" w:themeColor="text1"/>
        </w:rPr>
        <w:t>esults</w:t>
      </w:r>
      <w:r w:rsidRPr="27FF0EBE">
        <w:rPr>
          <w:rFonts w:cs="Times New Roman"/>
        </w:rPr>
        <w:t xml:space="preserve"> in 20</w:t>
      </w:r>
      <w:r w:rsidR="2EE1D169" w:rsidRPr="27FF0EBE">
        <w:rPr>
          <w:rFonts w:cs="Times New Roman"/>
        </w:rPr>
        <w:t>2</w:t>
      </w:r>
      <w:r w:rsidR="006C5946">
        <w:rPr>
          <w:rFonts w:cs="Times New Roman"/>
        </w:rPr>
        <w:t>1</w:t>
      </w:r>
    </w:p>
    <w:p w14:paraId="2655F30F" w14:textId="48D90A39" w:rsidR="00284D07" w:rsidRDefault="00284D07" w:rsidP="002F2599">
      <w:pPr>
        <w:spacing w:after="0" w:line="240" w:lineRule="auto"/>
        <w:jc w:val="both"/>
        <w:rPr>
          <w:rFonts w:cs="Times New Roman"/>
        </w:rPr>
      </w:pPr>
    </w:p>
    <w:tbl>
      <w:tblPr>
        <w:tblW w:w="6544" w:type="dxa"/>
        <w:jc w:val="center"/>
        <w:tblLook w:val="04A0" w:firstRow="1" w:lastRow="0" w:firstColumn="1" w:lastColumn="0" w:noHBand="0" w:noVBand="1"/>
      </w:tblPr>
      <w:tblGrid>
        <w:gridCol w:w="960"/>
        <w:gridCol w:w="960"/>
        <w:gridCol w:w="1336"/>
        <w:gridCol w:w="1842"/>
        <w:gridCol w:w="1297"/>
        <w:gridCol w:w="960"/>
      </w:tblGrid>
      <w:tr w:rsidR="006C5946" w:rsidRPr="006C5946" w14:paraId="3CD823FE" w14:textId="77777777" w:rsidTr="007A78A7">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77E441" w14:textId="77777777" w:rsidR="006C5946" w:rsidRPr="006C5946" w:rsidRDefault="006C5946" w:rsidP="006C5946">
            <w:pPr>
              <w:spacing w:after="0" w:line="240" w:lineRule="auto"/>
              <w:jc w:val="center"/>
              <w:rPr>
                <w:rFonts w:ascii="Calibri" w:eastAsia="Times New Roman" w:hAnsi="Calibri" w:cs="Calibri"/>
                <w:b/>
                <w:bCs/>
                <w:color w:val="000000"/>
                <w:lang w:eastAsia="en-GB"/>
              </w:rPr>
            </w:pPr>
            <w:r w:rsidRPr="006C5946">
              <w:rPr>
                <w:rFonts w:ascii="Calibri" w:eastAsia="Times New Roman" w:hAnsi="Calibri" w:cs="Calibri"/>
                <w:b/>
                <w:bCs/>
                <w:color w:val="000000"/>
                <w:lang w:eastAsia="en-GB"/>
              </w:rPr>
              <w:t>Round</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337C3BB9" w14:textId="77777777" w:rsidR="006C5946" w:rsidRPr="006C5946" w:rsidRDefault="006C5946" w:rsidP="006C5946">
            <w:pPr>
              <w:spacing w:after="0" w:line="240" w:lineRule="auto"/>
              <w:jc w:val="center"/>
              <w:rPr>
                <w:rFonts w:ascii="Calibri" w:eastAsia="Times New Roman" w:hAnsi="Calibri" w:cs="Calibri"/>
                <w:b/>
                <w:bCs/>
                <w:color w:val="000000"/>
                <w:lang w:eastAsia="en-GB"/>
              </w:rPr>
            </w:pPr>
            <w:r w:rsidRPr="006C5946">
              <w:rPr>
                <w:rFonts w:ascii="Calibri" w:eastAsia="Times New Roman" w:hAnsi="Calibri" w:cs="Calibri"/>
                <w:b/>
                <w:bCs/>
                <w:color w:val="000000"/>
                <w:lang w:eastAsia="en-GB"/>
              </w:rPr>
              <w:t>Sample</w:t>
            </w:r>
          </w:p>
        </w:tc>
        <w:tc>
          <w:tcPr>
            <w:tcW w:w="1336" w:type="dxa"/>
            <w:tcBorders>
              <w:top w:val="single" w:sz="4" w:space="0" w:color="000000"/>
              <w:left w:val="nil"/>
              <w:bottom w:val="single" w:sz="4" w:space="0" w:color="000000"/>
              <w:right w:val="single" w:sz="4" w:space="0" w:color="000000"/>
            </w:tcBorders>
            <w:shd w:val="clear" w:color="auto" w:fill="auto"/>
            <w:noWrap/>
            <w:vAlign w:val="bottom"/>
            <w:hideMark/>
          </w:tcPr>
          <w:p w14:paraId="400C0532" w14:textId="742615F7" w:rsidR="006C5946" w:rsidRPr="006C5946" w:rsidRDefault="006C5946" w:rsidP="006C5946">
            <w:pPr>
              <w:spacing w:after="0" w:line="240" w:lineRule="auto"/>
              <w:jc w:val="center"/>
              <w:rPr>
                <w:rFonts w:ascii="Calibri" w:eastAsia="Times New Roman" w:hAnsi="Calibri" w:cs="Calibri"/>
                <w:b/>
                <w:bCs/>
                <w:color w:val="000000"/>
                <w:lang w:eastAsia="en-GB"/>
              </w:rPr>
            </w:pPr>
            <w:r w:rsidRPr="006C5946">
              <w:rPr>
                <w:rFonts w:ascii="Calibri" w:eastAsia="Times New Roman" w:hAnsi="Calibri" w:cs="Calibri"/>
                <w:b/>
                <w:bCs/>
                <w:color w:val="000000"/>
                <w:lang w:eastAsia="en-GB"/>
              </w:rPr>
              <w:t>SWRI</w:t>
            </w:r>
            <w:r w:rsidR="007A78A7">
              <w:rPr>
                <w:rFonts w:ascii="Calibri" w:eastAsia="Times New Roman" w:hAnsi="Calibri" w:cs="Calibri"/>
                <w:b/>
                <w:bCs/>
                <w:color w:val="000000"/>
                <w:lang w:eastAsia="en-GB"/>
              </w:rPr>
              <w:t xml:space="preserve"> Result</w:t>
            </w:r>
          </w:p>
        </w:tc>
        <w:tc>
          <w:tcPr>
            <w:tcW w:w="1842" w:type="dxa"/>
            <w:tcBorders>
              <w:top w:val="single" w:sz="4" w:space="0" w:color="000000"/>
              <w:left w:val="nil"/>
              <w:bottom w:val="single" w:sz="4" w:space="0" w:color="000000"/>
              <w:right w:val="single" w:sz="4" w:space="0" w:color="000000"/>
            </w:tcBorders>
            <w:shd w:val="clear" w:color="auto" w:fill="auto"/>
            <w:noWrap/>
            <w:vAlign w:val="bottom"/>
            <w:hideMark/>
          </w:tcPr>
          <w:p w14:paraId="2830129A" w14:textId="77777777" w:rsidR="006C5946" w:rsidRPr="006C5946" w:rsidRDefault="006C5946" w:rsidP="006C5946">
            <w:pPr>
              <w:spacing w:after="0" w:line="240" w:lineRule="auto"/>
              <w:jc w:val="center"/>
              <w:rPr>
                <w:rFonts w:ascii="Calibri" w:eastAsia="Times New Roman" w:hAnsi="Calibri" w:cs="Calibri"/>
                <w:b/>
                <w:bCs/>
                <w:color w:val="000000"/>
                <w:lang w:eastAsia="en-GB"/>
              </w:rPr>
            </w:pPr>
            <w:r w:rsidRPr="006C5946">
              <w:rPr>
                <w:rFonts w:ascii="Calibri" w:eastAsia="Times New Roman" w:hAnsi="Calibri" w:cs="Calibri"/>
                <w:b/>
                <w:bCs/>
                <w:color w:val="000000"/>
                <w:lang w:eastAsia="en-GB"/>
              </w:rPr>
              <w:t>Assigned (DAPS)</w:t>
            </w:r>
          </w:p>
        </w:tc>
        <w:tc>
          <w:tcPr>
            <w:tcW w:w="486" w:type="dxa"/>
            <w:tcBorders>
              <w:top w:val="single" w:sz="4" w:space="0" w:color="000000"/>
              <w:left w:val="nil"/>
              <w:bottom w:val="single" w:sz="4" w:space="0" w:color="000000"/>
              <w:right w:val="single" w:sz="4" w:space="0" w:color="000000"/>
            </w:tcBorders>
            <w:shd w:val="clear" w:color="auto" w:fill="auto"/>
            <w:noWrap/>
            <w:vAlign w:val="bottom"/>
            <w:hideMark/>
          </w:tcPr>
          <w:p w14:paraId="574663B4" w14:textId="77777777" w:rsidR="006C5946" w:rsidRPr="006C5946" w:rsidRDefault="006C5946" w:rsidP="006C5946">
            <w:pPr>
              <w:spacing w:after="0" w:line="240" w:lineRule="auto"/>
              <w:jc w:val="center"/>
              <w:rPr>
                <w:rFonts w:ascii="Calibri" w:eastAsia="Times New Roman" w:hAnsi="Calibri" w:cs="Calibri"/>
                <w:b/>
                <w:bCs/>
                <w:color w:val="000000"/>
                <w:lang w:eastAsia="en-GB"/>
              </w:rPr>
            </w:pPr>
            <w:r w:rsidRPr="006C5946">
              <w:rPr>
                <w:rFonts w:ascii="Calibri" w:eastAsia="Times New Roman" w:hAnsi="Calibri" w:cs="Calibri"/>
                <w:b/>
                <w:bCs/>
                <w:color w:val="000000"/>
                <w:lang w:eastAsia="en-GB"/>
              </w:rPr>
              <w:t>Uncertainty</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426BCE5A" w14:textId="77777777" w:rsidR="006C5946" w:rsidRPr="006C5946" w:rsidRDefault="006C5946" w:rsidP="006C5946">
            <w:pPr>
              <w:spacing w:after="0" w:line="240" w:lineRule="auto"/>
              <w:jc w:val="center"/>
              <w:rPr>
                <w:rFonts w:ascii="Calibri" w:eastAsia="Times New Roman" w:hAnsi="Calibri" w:cs="Calibri"/>
                <w:b/>
                <w:bCs/>
                <w:color w:val="000000"/>
                <w:lang w:eastAsia="en-GB"/>
              </w:rPr>
            </w:pPr>
            <w:r w:rsidRPr="006C5946">
              <w:rPr>
                <w:rFonts w:ascii="Calibri" w:eastAsia="Times New Roman" w:hAnsi="Calibri" w:cs="Calibri"/>
                <w:b/>
                <w:bCs/>
                <w:color w:val="000000"/>
                <w:lang w:eastAsia="en-GB"/>
              </w:rPr>
              <w:t>Bias</w:t>
            </w:r>
          </w:p>
        </w:tc>
      </w:tr>
      <w:tr w:rsidR="006C5946" w:rsidRPr="006C5946" w14:paraId="6F2CF66D"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4AE9A42F"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104</w:t>
            </w:r>
          </w:p>
        </w:tc>
        <w:tc>
          <w:tcPr>
            <w:tcW w:w="960" w:type="dxa"/>
            <w:tcBorders>
              <w:top w:val="nil"/>
              <w:left w:val="nil"/>
              <w:bottom w:val="single" w:sz="4" w:space="0" w:color="000000"/>
              <w:right w:val="single" w:sz="4" w:space="0" w:color="000000"/>
            </w:tcBorders>
            <w:shd w:val="clear" w:color="auto" w:fill="auto"/>
            <w:noWrap/>
            <w:vAlign w:val="bottom"/>
            <w:hideMark/>
          </w:tcPr>
          <w:p w14:paraId="004C81E9"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B1</w:t>
            </w:r>
          </w:p>
        </w:tc>
        <w:tc>
          <w:tcPr>
            <w:tcW w:w="1336" w:type="dxa"/>
            <w:tcBorders>
              <w:top w:val="nil"/>
              <w:left w:val="nil"/>
              <w:bottom w:val="single" w:sz="4" w:space="0" w:color="000000"/>
              <w:right w:val="single" w:sz="4" w:space="0" w:color="000000"/>
            </w:tcBorders>
            <w:shd w:val="clear" w:color="auto" w:fill="auto"/>
            <w:noWrap/>
            <w:vAlign w:val="bottom"/>
            <w:hideMark/>
          </w:tcPr>
          <w:p w14:paraId="12206B2A"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39.96</w:t>
            </w:r>
          </w:p>
        </w:tc>
        <w:tc>
          <w:tcPr>
            <w:tcW w:w="1842" w:type="dxa"/>
            <w:tcBorders>
              <w:top w:val="nil"/>
              <w:left w:val="nil"/>
              <w:bottom w:val="single" w:sz="4" w:space="0" w:color="000000"/>
              <w:right w:val="single" w:sz="4" w:space="0" w:color="000000"/>
            </w:tcBorders>
            <w:shd w:val="clear" w:color="auto" w:fill="auto"/>
            <w:noWrap/>
            <w:vAlign w:val="bottom"/>
            <w:hideMark/>
          </w:tcPr>
          <w:p w14:paraId="00BBE17C"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39.97</w:t>
            </w:r>
          </w:p>
        </w:tc>
        <w:tc>
          <w:tcPr>
            <w:tcW w:w="486" w:type="dxa"/>
            <w:tcBorders>
              <w:top w:val="nil"/>
              <w:left w:val="nil"/>
              <w:bottom w:val="single" w:sz="4" w:space="0" w:color="000000"/>
              <w:right w:val="single" w:sz="4" w:space="0" w:color="000000"/>
            </w:tcBorders>
            <w:shd w:val="clear" w:color="auto" w:fill="auto"/>
            <w:noWrap/>
            <w:vAlign w:val="bottom"/>
            <w:hideMark/>
          </w:tcPr>
          <w:p w14:paraId="42C60EDF"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0.010</w:t>
            </w:r>
          </w:p>
        </w:tc>
        <w:tc>
          <w:tcPr>
            <w:tcW w:w="960" w:type="dxa"/>
            <w:tcBorders>
              <w:top w:val="nil"/>
              <w:left w:val="nil"/>
              <w:bottom w:val="single" w:sz="4" w:space="0" w:color="000000"/>
              <w:right w:val="single" w:sz="4" w:space="0" w:color="000000"/>
            </w:tcBorders>
            <w:shd w:val="clear" w:color="auto" w:fill="auto"/>
            <w:noWrap/>
            <w:vAlign w:val="bottom"/>
            <w:hideMark/>
          </w:tcPr>
          <w:p w14:paraId="43354F38"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-0.01</w:t>
            </w:r>
          </w:p>
        </w:tc>
      </w:tr>
      <w:tr w:rsidR="006C5946" w:rsidRPr="006C5946" w14:paraId="7F4C181E"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2AF6A0B2"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104</w:t>
            </w:r>
          </w:p>
        </w:tc>
        <w:tc>
          <w:tcPr>
            <w:tcW w:w="960" w:type="dxa"/>
            <w:tcBorders>
              <w:top w:val="nil"/>
              <w:left w:val="nil"/>
              <w:bottom w:val="single" w:sz="4" w:space="0" w:color="000000"/>
              <w:right w:val="single" w:sz="4" w:space="0" w:color="000000"/>
            </w:tcBorders>
            <w:shd w:val="clear" w:color="auto" w:fill="auto"/>
            <w:noWrap/>
            <w:vAlign w:val="bottom"/>
            <w:hideMark/>
          </w:tcPr>
          <w:p w14:paraId="527F921F"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B3</w:t>
            </w:r>
          </w:p>
        </w:tc>
        <w:tc>
          <w:tcPr>
            <w:tcW w:w="1336" w:type="dxa"/>
            <w:tcBorders>
              <w:top w:val="nil"/>
              <w:left w:val="nil"/>
              <w:bottom w:val="single" w:sz="4" w:space="0" w:color="000000"/>
              <w:right w:val="single" w:sz="4" w:space="0" w:color="000000"/>
            </w:tcBorders>
            <w:shd w:val="clear" w:color="auto" w:fill="auto"/>
            <w:noWrap/>
            <w:vAlign w:val="bottom"/>
            <w:hideMark/>
          </w:tcPr>
          <w:p w14:paraId="031597B7"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37.37</w:t>
            </w:r>
          </w:p>
        </w:tc>
        <w:tc>
          <w:tcPr>
            <w:tcW w:w="1842" w:type="dxa"/>
            <w:tcBorders>
              <w:top w:val="nil"/>
              <w:left w:val="nil"/>
              <w:bottom w:val="single" w:sz="4" w:space="0" w:color="000000"/>
              <w:right w:val="single" w:sz="4" w:space="0" w:color="000000"/>
            </w:tcBorders>
            <w:shd w:val="clear" w:color="auto" w:fill="auto"/>
            <w:noWrap/>
            <w:vAlign w:val="bottom"/>
            <w:hideMark/>
          </w:tcPr>
          <w:p w14:paraId="6E6A02E5"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37.40</w:t>
            </w:r>
          </w:p>
        </w:tc>
        <w:tc>
          <w:tcPr>
            <w:tcW w:w="486" w:type="dxa"/>
            <w:tcBorders>
              <w:top w:val="nil"/>
              <w:left w:val="nil"/>
              <w:bottom w:val="single" w:sz="4" w:space="0" w:color="000000"/>
              <w:right w:val="single" w:sz="4" w:space="0" w:color="000000"/>
            </w:tcBorders>
            <w:shd w:val="clear" w:color="auto" w:fill="auto"/>
            <w:noWrap/>
            <w:vAlign w:val="bottom"/>
            <w:hideMark/>
          </w:tcPr>
          <w:p w14:paraId="73FE0CF7"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0.010</w:t>
            </w:r>
          </w:p>
        </w:tc>
        <w:tc>
          <w:tcPr>
            <w:tcW w:w="960" w:type="dxa"/>
            <w:tcBorders>
              <w:top w:val="nil"/>
              <w:left w:val="nil"/>
              <w:bottom w:val="single" w:sz="4" w:space="0" w:color="000000"/>
              <w:right w:val="single" w:sz="4" w:space="0" w:color="000000"/>
            </w:tcBorders>
            <w:shd w:val="clear" w:color="auto" w:fill="auto"/>
            <w:noWrap/>
            <w:vAlign w:val="bottom"/>
            <w:hideMark/>
          </w:tcPr>
          <w:p w14:paraId="744467B9"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-0.03</w:t>
            </w:r>
          </w:p>
        </w:tc>
      </w:tr>
      <w:tr w:rsidR="006C5946" w:rsidRPr="006C5946" w14:paraId="7D5BCCB0"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2546371A"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104</w:t>
            </w:r>
          </w:p>
        </w:tc>
        <w:tc>
          <w:tcPr>
            <w:tcW w:w="960" w:type="dxa"/>
            <w:tcBorders>
              <w:top w:val="nil"/>
              <w:left w:val="nil"/>
              <w:bottom w:val="single" w:sz="4" w:space="0" w:color="000000"/>
              <w:right w:val="single" w:sz="4" w:space="0" w:color="000000"/>
            </w:tcBorders>
            <w:shd w:val="clear" w:color="auto" w:fill="auto"/>
            <w:noWrap/>
            <w:vAlign w:val="bottom"/>
            <w:hideMark/>
          </w:tcPr>
          <w:p w14:paraId="11BCB232"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B4</w:t>
            </w:r>
          </w:p>
        </w:tc>
        <w:tc>
          <w:tcPr>
            <w:tcW w:w="1336" w:type="dxa"/>
            <w:tcBorders>
              <w:top w:val="nil"/>
              <w:left w:val="nil"/>
              <w:bottom w:val="single" w:sz="4" w:space="0" w:color="000000"/>
              <w:right w:val="single" w:sz="4" w:space="0" w:color="000000"/>
            </w:tcBorders>
            <w:shd w:val="clear" w:color="auto" w:fill="auto"/>
            <w:noWrap/>
            <w:vAlign w:val="bottom"/>
            <w:hideMark/>
          </w:tcPr>
          <w:p w14:paraId="0F0CE229"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36.14</w:t>
            </w:r>
          </w:p>
        </w:tc>
        <w:tc>
          <w:tcPr>
            <w:tcW w:w="1842" w:type="dxa"/>
            <w:tcBorders>
              <w:top w:val="nil"/>
              <w:left w:val="nil"/>
              <w:bottom w:val="single" w:sz="4" w:space="0" w:color="000000"/>
              <w:right w:val="single" w:sz="4" w:space="0" w:color="000000"/>
            </w:tcBorders>
            <w:shd w:val="clear" w:color="auto" w:fill="auto"/>
            <w:noWrap/>
            <w:vAlign w:val="bottom"/>
            <w:hideMark/>
          </w:tcPr>
          <w:p w14:paraId="7C4D08FF"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38.15</w:t>
            </w:r>
          </w:p>
        </w:tc>
        <w:tc>
          <w:tcPr>
            <w:tcW w:w="486" w:type="dxa"/>
            <w:tcBorders>
              <w:top w:val="nil"/>
              <w:left w:val="nil"/>
              <w:bottom w:val="single" w:sz="4" w:space="0" w:color="000000"/>
              <w:right w:val="single" w:sz="4" w:space="0" w:color="000000"/>
            </w:tcBorders>
            <w:shd w:val="clear" w:color="auto" w:fill="auto"/>
            <w:noWrap/>
            <w:vAlign w:val="bottom"/>
            <w:hideMark/>
          </w:tcPr>
          <w:p w14:paraId="325F1121"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0.020</w:t>
            </w:r>
          </w:p>
        </w:tc>
        <w:tc>
          <w:tcPr>
            <w:tcW w:w="960" w:type="dxa"/>
            <w:tcBorders>
              <w:top w:val="nil"/>
              <w:left w:val="nil"/>
              <w:bottom w:val="single" w:sz="4" w:space="0" w:color="000000"/>
              <w:right w:val="single" w:sz="4" w:space="0" w:color="000000"/>
            </w:tcBorders>
            <w:shd w:val="clear" w:color="auto" w:fill="auto"/>
            <w:noWrap/>
            <w:vAlign w:val="bottom"/>
            <w:hideMark/>
          </w:tcPr>
          <w:p w14:paraId="0420E773"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-2.01</w:t>
            </w:r>
          </w:p>
        </w:tc>
      </w:tr>
      <w:tr w:rsidR="006C5946" w:rsidRPr="006C5946" w14:paraId="3AA42390"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45C878B1"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104</w:t>
            </w:r>
          </w:p>
        </w:tc>
        <w:tc>
          <w:tcPr>
            <w:tcW w:w="960" w:type="dxa"/>
            <w:tcBorders>
              <w:top w:val="nil"/>
              <w:left w:val="nil"/>
              <w:bottom w:val="single" w:sz="4" w:space="0" w:color="000000"/>
              <w:right w:val="single" w:sz="4" w:space="0" w:color="000000"/>
            </w:tcBorders>
            <w:shd w:val="clear" w:color="auto" w:fill="auto"/>
            <w:noWrap/>
            <w:vAlign w:val="bottom"/>
            <w:hideMark/>
          </w:tcPr>
          <w:p w14:paraId="36CB08C6"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D2</w:t>
            </w:r>
          </w:p>
        </w:tc>
        <w:tc>
          <w:tcPr>
            <w:tcW w:w="1336" w:type="dxa"/>
            <w:tcBorders>
              <w:top w:val="nil"/>
              <w:left w:val="nil"/>
              <w:bottom w:val="single" w:sz="4" w:space="0" w:color="000000"/>
              <w:right w:val="single" w:sz="4" w:space="0" w:color="000000"/>
            </w:tcBorders>
            <w:shd w:val="clear" w:color="auto" w:fill="auto"/>
            <w:noWrap/>
            <w:vAlign w:val="bottom"/>
            <w:hideMark/>
          </w:tcPr>
          <w:p w14:paraId="261C720B"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13.30</w:t>
            </w:r>
          </w:p>
        </w:tc>
        <w:tc>
          <w:tcPr>
            <w:tcW w:w="1842" w:type="dxa"/>
            <w:tcBorders>
              <w:top w:val="nil"/>
              <w:left w:val="nil"/>
              <w:bottom w:val="single" w:sz="4" w:space="0" w:color="000000"/>
              <w:right w:val="single" w:sz="4" w:space="0" w:color="000000"/>
            </w:tcBorders>
            <w:shd w:val="clear" w:color="auto" w:fill="auto"/>
            <w:noWrap/>
            <w:vAlign w:val="bottom"/>
            <w:hideMark/>
          </w:tcPr>
          <w:p w14:paraId="2C4FC8DE"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13.33</w:t>
            </w:r>
          </w:p>
        </w:tc>
        <w:tc>
          <w:tcPr>
            <w:tcW w:w="486" w:type="dxa"/>
            <w:tcBorders>
              <w:top w:val="nil"/>
              <w:left w:val="nil"/>
              <w:bottom w:val="single" w:sz="4" w:space="0" w:color="000000"/>
              <w:right w:val="single" w:sz="4" w:space="0" w:color="000000"/>
            </w:tcBorders>
            <w:shd w:val="clear" w:color="auto" w:fill="auto"/>
            <w:noWrap/>
            <w:vAlign w:val="bottom"/>
            <w:hideMark/>
          </w:tcPr>
          <w:p w14:paraId="0BD9C152"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0.020</w:t>
            </w:r>
          </w:p>
        </w:tc>
        <w:tc>
          <w:tcPr>
            <w:tcW w:w="960" w:type="dxa"/>
            <w:tcBorders>
              <w:top w:val="nil"/>
              <w:left w:val="nil"/>
              <w:bottom w:val="single" w:sz="4" w:space="0" w:color="000000"/>
              <w:right w:val="single" w:sz="4" w:space="0" w:color="000000"/>
            </w:tcBorders>
            <w:shd w:val="clear" w:color="auto" w:fill="auto"/>
            <w:noWrap/>
            <w:vAlign w:val="bottom"/>
            <w:hideMark/>
          </w:tcPr>
          <w:p w14:paraId="3BDA2402"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-0.03</w:t>
            </w:r>
          </w:p>
        </w:tc>
      </w:tr>
      <w:tr w:rsidR="006C5946" w:rsidRPr="006C5946" w14:paraId="552F5AE8"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45F5260D"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104</w:t>
            </w:r>
          </w:p>
        </w:tc>
        <w:tc>
          <w:tcPr>
            <w:tcW w:w="960" w:type="dxa"/>
            <w:tcBorders>
              <w:top w:val="nil"/>
              <w:left w:val="nil"/>
              <w:bottom w:val="single" w:sz="4" w:space="0" w:color="000000"/>
              <w:right w:val="single" w:sz="4" w:space="0" w:color="000000"/>
            </w:tcBorders>
            <w:shd w:val="clear" w:color="auto" w:fill="auto"/>
            <w:noWrap/>
            <w:vAlign w:val="bottom"/>
            <w:hideMark/>
          </w:tcPr>
          <w:p w14:paraId="68C19949"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E1</w:t>
            </w:r>
          </w:p>
        </w:tc>
        <w:tc>
          <w:tcPr>
            <w:tcW w:w="1336" w:type="dxa"/>
            <w:tcBorders>
              <w:top w:val="nil"/>
              <w:left w:val="nil"/>
              <w:bottom w:val="single" w:sz="4" w:space="0" w:color="000000"/>
              <w:right w:val="single" w:sz="4" w:space="0" w:color="000000"/>
            </w:tcBorders>
            <w:shd w:val="clear" w:color="auto" w:fill="auto"/>
            <w:noWrap/>
            <w:vAlign w:val="bottom"/>
            <w:hideMark/>
          </w:tcPr>
          <w:p w14:paraId="66227A2E"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4.86</w:t>
            </w:r>
          </w:p>
        </w:tc>
        <w:tc>
          <w:tcPr>
            <w:tcW w:w="1842" w:type="dxa"/>
            <w:tcBorders>
              <w:top w:val="nil"/>
              <w:left w:val="nil"/>
              <w:bottom w:val="single" w:sz="4" w:space="0" w:color="000000"/>
              <w:right w:val="single" w:sz="4" w:space="0" w:color="000000"/>
            </w:tcBorders>
            <w:shd w:val="clear" w:color="auto" w:fill="auto"/>
            <w:noWrap/>
            <w:vAlign w:val="bottom"/>
            <w:hideMark/>
          </w:tcPr>
          <w:p w14:paraId="53B62FCB"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4.92</w:t>
            </w:r>
          </w:p>
        </w:tc>
        <w:tc>
          <w:tcPr>
            <w:tcW w:w="486" w:type="dxa"/>
            <w:tcBorders>
              <w:top w:val="nil"/>
              <w:left w:val="nil"/>
              <w:bottom w:val="single" w:sz="4" w:space="0" w:color="000000"/>
              <w:right w:val="single" w:sz="4" w:space="0" w:color="000000"/>
            </w:tcBorders>
            <w:shd w:val="clear" w:color="auto" w:fill="auto"/>
            <w:noWrap/>
            <w:vAlign w:val="bottom"/>
            <w:hideMark/>
          </w:tcPr>
          <w:p w14:paraId="0F546CF8"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0.020</w:t>
            </w:r>
          </w:p>
        </w:tc>
        <w:tc>
          <w:tcPr>
            <w:tcW w:w="960" w:type="dxa"/>
            <w:tcBorders>
              <w:top w:val="nil"/>
              <w:left w:val="nil"/>
              <w:bottom w:val="single" w:sz="4" w:space="0" w:color="000000"/>
              <w:right w:val="single" w:sz="4" w:space="0" w:color="000000"/>
            </w:tcBorders>
            <w:shd w:val="clear" w:color="auto" w:fill="auto"/>
            <w:noWrap/>
            <w:vAlign w:val="bottom"/>
            <w:hideMark/>
          </w:tcPr>
          <w:p w14:paraId="34E520FD"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-0.06</w:t>
            </w:r>
          </w:p>
        </w:tc>
      </w:tr>
      <w:tr w:rsidR="006C5946" w:rsidRPr="006C5946" w14:paraId="7D61E73A"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14BF5DAF"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105</w:t>
            </w:r>
          </w:p>
        </w:tc>
        <w:tc>
          <w:tcPr>
            <w:tcW w:w="960" w:type="dxa"/>
            <w:tcBorders>
              <w:top w:val="nil"/>
              <w:left w:val="nil"/>
              <w:bottom w:val="single" w:sz="4" w:space="0" w:color="000000"/>
              <w:right w:val="single" w:sz="4" w:space="0" w:color="000000"/>
            </w:tcBorders>
            <w:shd w:val="clear" w:color="auto" w:fill="auto"/>
            <w:noWrap/>
            <w:vAlign w:val="bottom"/>
            <w:hideMark/>
          </w:tcPr>
          <w:p w14:paraId="0C79CF87"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B1</w:t>
            </w:r>
          </w:p>
        </w:tc>
        <w:tc>
          <w:tcPr>
            <w:tcW w:w="1336" w:type="dxa"/>
            <w:tcBorders>
              <w:top w:val="nil"/>
              <w:left w:val="nil"/>
              <w:bottom w:val="single" w:sz="4" w:space="0" w:color="000000"/>
              <w:right w:val="single" w:sz="4" w:space="0" w:color="000000"/>
            </w:tcBorders>
            <w:shd w:val="clear" w:color="auto" w:fill="auto"/>
            <w:noWrap/>
            <w:vAlign w:val="bottom"/>
            <w:hideMark/>
          </w:tcPr>
          <w:p w14:paraId="381B366D"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39.91</w:t>
            </w:r>
          </w:p>
        </w:tc>
        <w:tc>
          <w:tcPr>
            <w:tcW w:w="1842" w:type="dxa"/>
            <w:tcBorders>
              <w:top w:val="nil"/>
              <w:left w:val="nil"/>
              <w:bottom w:val="single" w:sz="4" w:space="0" w:color="000000"/>
              <w:right w:val="single" w:sz="4" w:space="0" w:color="000000"/>
            </w:tcBorders>
            <w:shd w:val="clear" w:color="auto" w:fill="auto"/>
            <w:noWrap/>
            <w:vAlign w:val="bottom"/>
            <w:hideMark/>
          </w:tcPr>
          <w:p w14:paraId="0703B8E9"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40.00</w:t>
            </w:r>
          </w:p>
        </w:tc>
        <w:tc>
          <w:tcPr>
            <w:tcW w:w="486" w:type="dxa"/>
            <w:tcBorders>
              <w:top w:val="nil"/>
              <w:left w:val="nil"/>
              <w:bottom w:val="single" w:sz="4" w:space="0" w:color="000000"/>
              <w:right w:val="single" w:sz="4" w:space="0" w:color="000000"/>
            </w:tcBorders>
            <w:shd w:val="clear" w:color="auto" w:fill="auto"/>
            <w:noWrap/>
            <w:vAlign w:val="bottom"/>
            <w:hideMark/>
          </w:tcPr>
          <w:p w14:paraId="34D976CC"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0.009</w:t>
            </w:r>
          </w:p>
        </w:tc>
        <w:tc>
          <w:tcPr>
            <w:tcW w:w="960" w:type="dxa"/>
            <w:tcBorders>
              <w:top w:val="nil"/>
              <w:left w:val="nil"/>
              <w:bottom w:val="single" w:sz="4" w:space="0" w:color="000000"/>
              <w:right w:val="single" w:sz="4" w:space="0" w:color="000000"/>
            </w:tcBorders>
            <w:shd w:val="clear" w:color="auto" w:fill="auto"/>
            <w:noWrap/>
            <w:vAlign w:val="bottom"/>
            <w:hideMark/>
          </w:tcPr>
          <w:p w14:paraId="15AF33C6"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-0.09</w:t>
            </w:r>
          </w:p>
        </w:tc>
      </w:tr>
      <w:tr w:rsidR="006C5946" w:rsidRPr="006C5946" w14:paraId="3724DD13"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2FF09408"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105</w:t>
            </w:r>
          </w:p>
        </w:tc>
        <w:tc>
          <w:tcPr>
            <w:tcW w:w="960" w:type="dxa"/>
            <w:tcBorders>
              <w:top w:val="nil"/>
              <w:left w:val="nil"/>
              <w:bottom w:val="single" w:sz="4" w:space="0" w:color="000000"/>
              <w:right w:val="single" w:sz="4" w:space="0" w:color="000000"/>
            </w:tcBorders>
            <w:shd w:val="clear" w:color="auto" w:fill="auto"/>
            <w:noWrap/>
            <w:vAlign w:val="bottom"/>
            <w:hideMark/>
          </w:tcPr>
          <w:p w14:paraId="3B6BC967"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B2</w:t>
            </w:r>
          </w:p>
        </w:tc>
        <w:tc>
          <w:tcPr>
            <w:tcW w:w="1336" w:type="dxa"/>
            <w:tcBorders>
              <w:top w:val="nil"/>
              <w:left w:val="nil"/>
              <w:bottom w:val="single" w:sz="4" w:space="0" w:color="000000"/>
              <w:right w:val="single" w:sz="4" w:space="0" w:color="000000"/>
            </w:tcBorders>
            <w:shd w:val="clear" w:color="auto" w:fill="auto"/>
            <w:noWrap/>
            <w:vAlign w:val="bottom"/>
            <w:hideMark/>
          </w:tcPr>
          <w:p w14:paraId="311A4DBC"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40.10</w:t>
            </w:r>
          </w:p>
        </w:tc>
        <w:tc>
          <w:tcPr>
            <w:tcW w:w="1842" w:type="dxa"/>
            <w:tcBorders>
              <w:top w:val="nil"/>
              <w:left w:val="nil"/>
              <w:bottom w:val="single" w:sz="4" w:space="0" w:color="000000"/>
              <w:right w:val="single" w:sz="4" w:space="0" w:color="000000"/>
            </w:tcBorders>
            <w:shd w:val="clear" w:color="auto" w:fill="auto"/>
            <w:noWrap/>
            <w:vAlign w:val="bottom"/>
            <w:hideMark/>
          </w:tcPr>
          <w:p w14:paraId="5924EC8D"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40.05</w:t>
            </w:r>
          </w:p>
        </w:tc>
        <w:tc>
          <w:tcPr>
            <w:tcW w:w="486" w:type="dxa"/>
            <w:tcBorders>
              <w:top w:val="nil"/>
              <w:left w:val="nil"/>
              <w:bottom w:val="single" w:sz="4" w:space="0" w:color="000000"/>
              <w:right w:val="single" w:sz="4" w:space="0" w:color="000000"/>
            </w:tcBorders>
            <w:shd w:val="clear" w:color="auto" w:fill="auto"/>
            <w:noWrap/>
            <w:vAlign w:val="bottom"/>
            <w:hideMark/>
          </w:tcPr>
          <w:p w14:paraId="7893D375"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0.024</w:t>
            </w:r>
          </w:p>
        </w:tc>
        <w:tc>
          <w:tcPr>
            <w:tcW w:w="960" w:type="dxa"/>
            <w:tcBorders>
              <w:top w:val="nil"/>
              <w:left w:val="nil"/>
              <w:bottom w:val="single" w:sz="4" w:space="0" w:color="000000"/>
              <w:right w:val="single" w:sz="4" w:space="0" w:color="000000"/>
            </w:tcBorders>
            <w:shd w:val="clear" w:color="auto" w:fill="auto"/>
            <w:noWrap/>
            <w:vAlign w:val="bottom"/>
            <w:hideMark/>
          </w:tcPr>
          <w:p w14:paraId="5A242178"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0.05</w:t>
            </w:r>
          </w:p>
        </w:tc>
      </w:tr>
      <w:tr w:rsidR="006C5946" w:rsidRPr="006C5946" w14:paraId="5E179C97"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1C41EBA2"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105</w:t>
            </w:r>
          </w:p>
        </w:tc>
        <w:tc>
          <w:tcPr>
            <w:tcW w:w="960" w:type="dxa"/>
            <w:tcBorders>
              <w:top w:val="nil"/>
              <w:left w:val="nil"/>
              <w:bottom w:val="single" w:sz="4" w:space="0" w:color="000000"/>
              <w:right w:val="single" w:sz="4" w:space="0" w:color="000000"/>
            </w:tcBorders>
            <w:shd w:val="clear" w:color="auto" w:fill="auto"/>
            <w:noWrap/>
            <w:vAlign w:val="bottom"/>
            <w:hideMark/>
          </w:tcPr>
          <w:p w14:paraId="27F97581"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B4</w:t>
            </w:r>
          </w:p>
        </w:tc>
        <w:tc>
          <w:tcPr>
            <w:tcW w:w="1336" w:type="dxa"/>
            <w:tcBorders>
              <w:top w:val="nil"/>
              <w:left w:val="nil"/>
              <w:bottom w:val="single" w:sz="4" w:space="0" w:color="000000"/>
              <w:right w:val="single" w:sz="4" w:space="0" w:color="000000"/>
            </w:tcBorders>
            <w:shd w:val="clear" w:color="auto" w:fill="auto"/>
            <w:noWrap/>
            <w:vAlign w:val="bottom"/>
            <w:hideMark/>
          </w:tcPr>
          <w:p w14:paraId="281D8C90"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47.39</w:t>
            </w:r>
          </w:p>
        </w:tc>
        <w:tc>
          <w:tcPr>
            <w:tcW w:w="1842" w:type="dxa"/>
            <w:tcBorders>
              <w:top w:val="nil"/>
              <w:left w:val="nil"/>
              <w:bottom w:val="single" w:sz="4" w:space="0" w:color="000000"/>
              <w:right w:val="single" w:sz="4" w:space="0" w:color="000000"/>
            </w:tcBorders>
            <w:shd w:val="clear" w:color="auto" w:fill="auto"/>
            <w:noWrap/>
            <w:vAlign w:val="bottom"/>
            <w:hideMark/>
          </w:tcPr>
          <w:p w14:paraId="10A63AB8"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47.47</w:t>
            </w:r>
          </w:p>
        </w:tc>
        <w:tc>
          <w:tcPr>
            <w:tcW w:w="486" w:type="dxa"/>
            <w:tcBorders>
              <w:top w:val="nil"/>
              <w:left w:val="nil"/>
              <w:bottom w:val="single" w:sz="4" w:space="0" w:color="000000"/>
              <w:right w:val="single" w:sz="4" w:space="0" w:color="000000"/>
            </w:tcBorders>
            <w:shd w:val="clear" w:color="auto" w:fill="auto"/>
            <w:noWrap/>
            <w:vAlign w:val="bottom"/>
            <w:hideMark/>
          </w:tcPr>
          <w:p w14:paraId="5427667B"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0.022</w:t>
            </w:r>
          </w:p>
        </w:tc>
        <w:tc>
          <w:tcPr>
            <w:tcW w:w="960" w:type="dxa"/>
            <w:tcBorders>
              <w:top w:val="nil"/>
              <w:left w:val="nil"/>
              <w:bottom w:val="single" w:sz="4" w:space="0" w:color="000000"/>
              <w:right w:val="single" w:sz="4" w:space="0" w:color="000000"/>
            </w:tcBorders>
            <w:shd w:val="clear" w:color="auto" w:fill="auto"/>
            <w:noWrap/>
            <w:vAlign w:val="bottom"/>
            <w:hideMark/>
          </w:tcPr>
          <w:p w14:paraId="06935B06"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-0.08</w:t>
            </w:r>
          </w:p>
        </w:tc>
      </w:tr>
      <w:tr w:rsidR="006C5946" w:rsidRPr="006C5946" w14:paraId="57A6B488"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4ADF3B86"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105</w:t>
            </w:r>
          </w:p>
        </w:tc>
        <w:tc>
          <w:tcPr>
            <w:tcW w:w="960" w:type="dxa"/>
            <w:tcBorders>
              <w:top w:val="nil"/>
              <w:left w:val="nil"/>
              <w:bottom w:val="single" w:sz="4" w:space="0" w:color="000000"/>
              <w:right w:val="single" w:sz="4" w:space="0" w:color="000000"/>
            </w:tcBorders>
            <w:shd w:val="clear" w:color="auto" w:fill="auto"/>
            <w:noWrap/>
            <w:vAlign w:val="bottom"/>
            <w:hideMark/>
          </w:tcPr>
          <w:p w14:paraId="70FB6861"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E2</w:t>
            </w:r>
          </w:p>
        </w:tc>
        <w:tc>
          <w:tcPr>
            <w:tcW w:w="1336" w:type="dxa"/>
            <w:tcBorders>
              <w:top w:val="nil"/>
              <w:left w:val="nil"/>
              <w:bottom w:val="single" w:sz="4" w:space="0" w:color="000000"/>
              <w:right w:val="single" w:sz="4" w:space="0" w:color="000000"/>
            </w:tcBorders>
            <w:shd w:val="clear" w:color="auto" w:fill="auto"/>
            <w:noWrap/>
            <w:vAlign w:val="bottom"/>
            <w:hideMark/>
          </w:tcPr>
          <w:p w14:paraId="77E0563C"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35.06</w:t>
            </w:r>
          </w:p>
        </w:tc>
        <w:tc>
          <w:tcPr>
            <w:tcW w:w="1842" w:type="dxa"/>
            <w:tcBorders>
              <w:top w:val="nil"/>
              <w:left w:val="nil"/>
              <w:bottom w:val="single" w:sz="4" w:space="0" w:color="000000"/>
              <w:right w:val="single" w:sz="4" w:space="0" w:color="000000"/>
            </w:tcBorders>
            <w:shd w:val="clear" w:color="auto" w:fill="auto"/>
            <w:noWrap/>
            <w:vAlign w:val="bottom"/>
            <w:hideMark/>
          </w:tcPr>
          <w:p w14:paraId="74592585"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35.07</w:t>
            </w:r>
          </w:p>
        </w:tc>
        <w:tc>
          <w:tcPr>
            <w:tcW w:w="486" w:type="dxa"/>
            <w:tcBorders>
              <w:top w:val="nil"/>
              <w:left w:val="nil"/>
              <w:bottom w:val="single" w:sz="4" w:space="0" w:color="000000"/>
              <w:right w:val="single" w:sz="4" w:space="0" w:color="000000"/>
            </w:tcBorders>
            <w:shd w:val="clear" w:color="auto" w:fill="auto"/>
            <w:noWrap/>
            <w:vAlign w:val="bottom"/>
            <w:hideMark/>
          </w:tcPr>
          <w:p w14:paraId="1B01448C"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0.032</w:t>
            </w:r>
          </w:p>
        </w:tc>
        <w:tc>
          <w:tcPr>
            <w:tcW w:w="960" w:type="dxa"/>
            <w:tcBorders>
              <w:top w:val="nil"/>
              <w:left w:val="nil"/>
              <w:bottom w:val="single" w:sz="4" w:space="0" w:color="000000"/>
              <w:right w:val="single" w:sz="4" w:space="0" w:color="000000"/>
            </w:tcBorders>
            <w:shd w:val="clear" w:color="auto" w:fill="auto"/>
            <w:noWrap/>
            <w:vAlign w:val="bottom"/>
            <w:hideMark/>
          </w:tcPr>
          <w:p w14:paraId="1AAF71A0"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-0.01</w:t>
            </w:r>
          </w:p>
        </w:tc>
      </w:tr>
      <w:tr w:rsidR="006C5946" w:rsidRPr="006C5946" w14:paraId="353D4B45"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3168A218"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106</w:t>
            </w:r>
          </w:p>
        </w:tc>
        <w:tc>
          <w:tcPr>
            <w:tcW w:w="960" w:type="dxa"/>
            <w:tcBorders>
              <w:top w:val="nil"/>
              <w:left w:val="nil"/>
              <w:bottom w:val="single" w:sz="4" w:space="0" w:color="000000"/>
              <w:right w:val="single" w:sz="4" w:space="0" w:color="000000"/>
            </w:tcBorders>
            <w:shd w:val="clear" w:color="auto" w:fill="auto"/>
            <w:noWrap/>
            <w:vAlign w:val="bottom"/>
            <w:hideMark/>
          </w:tcPr>
          <w:p w14:paraId="161F40A6"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B1</w:t>
            </w:r>
          </w:p>
        </w:tc>
        <w:tc>
          <w:tcPr>
            <w:tcW w:w="1336" w:type="dxa"/>
            <w:tcBorders>
              <w:top w:val="nil"/>
              <w:left w:val="nil"/>
              <w:bottom w:val="single" w:sz="4" w:space="0" w:color="000000"/>
              <w:right w:val="single" w:sz="4" w:space="0" w:color="000000"/>
            </w:tcBorders>
            <w:shd w:val="clear" w:color="auto" w:fill="auto"/>
            <w:noWrap/>
            <w:vAlign w:val="bottom"/>
            <w:hideMark/>
          </w:tcPr>
          <w:p w14:paraId="47FFD02F"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39.91</w:t>
            </w:r>
          </w:p>
        </w:tc>
        <w:tc>
          <w:tcPr>
            <w:tcW w:w="1842" w:type="dxa"/>
            <w:tcBorders>
              <w:top w:val="nil"/>
              <w:left w:val="nil"/>
              <w:bottom w:val="single" w:sz="4" w:space="0" w:color="000000"/>
              <w:right w:val="single" w:sz="4" w:space="0" w:color="000000"/>
            </w:tcBorders>
            <w:shd w:val="clear" w:color="auto" w:fill="auto"/>
            <w:noWrap/>
            <w:vAlign w:val="bottom"/>
            <w:hideMark/>
          </w:tcPr>
          <w:p w14:paraId="3BE27789"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39.93</w:t>
            </w:r>
          </w:p>
        </w:tc>
        <w:tc>
          <w:tcPr>
            <w:tcW w:w="486" w:type="dxa"/>
            <w:tcBorders>
              <w:top w:val="nil"/>
              <w:left w:val="nil"/>
              <w:bottom w:val="single" w:sz="4" w:space="0" w:color="000000"/>
              <w:right w:val="single" w:sz="4" w:space="0" w:color="000000"/>
            </w:tcBorders>
            <w:shd w:val="clear" w:color="auto" w:fill="auto"/>
            <w:noWrap/>
            <w:vAlign w:val="bottom"/>
            <w:hideMark/>
          </w:tcPr>
          <w:p w14:paraId="7A10A226"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0.017</w:t>
            </w:r>
          </w:p>
        </w:tc>
        <w:tc>
          <w:tcPr>
            <w:tcW w:w="960" w:type="dxa"/>
            <w:tcBorders>
              <w:top w:val="nil"/>
              <w:left w:val="nil"/>
              <w:bottom w:val="single" w:sz="4" w:space="0" w:color="000000"/>
              <w:right w:val="single" w:sz="4" w:space="0" w:color="000000"/>
            </w:tcBorders>
            <w:shd w:val="clear" w:color="auto" w:fill="auto"/>
            <w:noWrap/>
            <w:vAlign w:val="bottom"/>
            <w:hideMark/>
          </w:tcPr>
          <w:p w14:paraId="6B2994C5"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-0.02</w:t>
            </w:r>
          </w:p>
        </w:tc>
      </w:tr>
      <w:tr w:rsidR="006C5946" w:rsidRPr="006C5946" w14:paraId="6989482E"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0B7D59BB"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106</w:t>
            </w:r>
          </w:p>
        </w:tc>
        <w:tc>
          <w:tcPr>
            <w:tcW w:w="960" w:type="dxa"/>
            <w:tcBorders>
              <w:top w:val="nil"/>
              <w:left w:val="nil"/>
              <w:bottom w:val="single" w:sz="4" w:space="0" w:color="000000"/>
              <w:right w:val="single" w:sz="4" w:space="0" w:color="000000"/>
            </w:tcBorders>
            <w:shd w:val="clear" w:color="auto" w:fill="auto"/>
            <w:noWrap/>
            <w:vAlign w:val="bottom"/>
            <w:hideMark/>
          </w:tcPr>
          <w:p w14:paraId="62E80F3B"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B3</w:t>
            </w:r>
          </w:p>
        </w:tc>
        <w:tc>
          <w:tcPr>
            <w:tcW w:w="1336" w:type="dxa"/>
            <w:tcBorders>
              <w:top w:val="nil"/>
              <w:left w:val="nil"/>
              <w:bottom w:val="single" w:sz="4" w:space="0" w:color="000000"/>
              <w:right w:val="single" w:sz="4" w:space="0" w:color="000000"/>
            </w:tcBorders>
            <w:shd w:val="clear" w:color="auto" w:fill="auto"/>
            <w:noWrap/>
            <w:vAlign w:val="bottom"/>
            <w:hideMark/>
          </w:tcPr>
          <w:p w14:paraId="7B9D4264"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37.58</w:t>
            </w:r>
          </w:p>
        </w:tc>
        <w:tc>
          <w:tcPr>
            <w:tcW w:w="1842" w:type="dxa"/>
            <w:tcBorders>
              <w:top w:val="nil"/>
              <w:left w:val="nil"/>
              <w:bottom w:val="single" w:sz="4" w:space="0" w:color="000000"/>
              <w:right w:val="single" w:sz="4" w:space="0" w:color="000000"/>
            </w:tcBorders>
            <w:shd w:val="clear" w:color="auto" w:fill="auto"/>
            <w:noWrap/>
            <w:vAlign w:val="bottom"/>
            <w:hideMark/>
          </w:tcPr>
          <w:p w14:paraId="5B08EF1C"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37.60</w:t>
            </w:r>
          </w:p>
        </w:tc>
        <w:tc>
          <w:tcPr>
            <w:tcW w:w="486" w:type="dxa"/>
            <w:tcBorders>
              <w:top w:val="nil"/>
              <w:left w:val="nil"/>
              <w:bottom w:val="single" w:sz="4" w:space="0" w:color="000000"/>
              <w:right w:val="single" w:sz="4" w:space="0" w:color="000000"/>
            </w:tcBorders>
            <w:shd w:val="clear" w:color="auto" w:fill="auto"/>
            <w:noWrap/>
            <w:vAlign w:val="bottom"/>
            <w:hideMark/>
          </w:tcPr>
          <w:p w14:paraId="00C9FDE3"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0.026</w:t>
            </w:r>
          </w:p>
        </w:tc>
        <w:tc>
          <w:tcPr>
            <w:tcW w:w="960" w:type="dxa"/>
            <w:tcBorders>
              <w:top w:val="nil"/>
              <w:left w:val="nil"/>
              <w:bottom w:val="single" w:sz="4" w:space="0" w:color="000000"/>
              <w:right w:val="single" w:sz="4" w:space="0" w:color="000000"/>
            </w:tcBorders>
            <w:shd w:val="clear" w:color="auto" w:fill="auto"/>
            <w:noWrap/>
            <w:vAlign w:val="bottom"/>
            <w:hideMark/>
          </w:tcPr>
          <w:p w14:paraId="601D927A"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-0.02</w:t>
            </w:r>
          </w:p>
        </w:tc>
      </w:tr>
      <w:tr w:rsidR="006C5946" w:rsidRPr="006C5946" w14:paraId="349EECA5"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52A30DA9"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106</w:t>
            </w:r>
          </w:p>
        </w:tc>
        <w:tc>
          <w:tcPr>
            <w:tcW w:w="960" w:type="dxa"/>
            <w:tcBorders>
              <w:top w:val="nil"/>
              <w:left w:val="nil"/>
              <w:bottom w:val="single" w:sz="4" w:space="0" w:color="000000"/>
              <w:right w:val="single" w:sz="4" w:space="0" w:color="000000"/>
            </w:tcBorders>
            <w:shd w:val="clear" w:color="auto" w:fill="auto"/>
            <w:noWrap/>
            <w:vAlign w:val="bottom"/>
            <w:hideMark/>
          </w:tcPr>
          <w:p w14:paraId="544FFD63"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B4</w:t>
            </w:r>
          </w:p>
        </w:tc>
        <w:tc>
          <w:tcPr>
            <w:tcW w:w="1336" w:type="dxa"/>
            <w:tcBorders>
              <w:top w:val="nil"/>
              <w:left w:val="nil"/>
              <w:bottom w:val="single" w:sz="4" w:space="0" w:color="000000"/>
              <w:right w:val="single" w:sz="4" w:space="0" w:color="000000"/>
            </w:tcBorders>
            <w:shd w:val="clear" w:color="auto" w:fill="auto"/>
            <w:noWrap/>
            <w:vAlign w:val="bottom"/>
            <w:hideMark/>
          </w:tcPr>
          <w:p w14:paraId="1BB89582"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39.10</w:t>
            </w:r>
          </w:p>
        </w:tc>
        <w:tc>
          <w:tcPr>
            <w:tcW w:w="1842" w:type="dxa"/>
            <w:tcBorders>
              <w:top w:val="nil"/>
              <w:left w:val="nil"/>
              <w:bottom w:val="single" w:sz="4" w:space="0" w:color="000000"/>
              <w:right w:val="single" w:sz="4" w:space="0" w:color="000000"/>
            </w:tcBorders>
            <w:shd w:val="clear" w:color="auto" w:fill="auto"/>
            <w:noWrap/>
            <w:vAlign w:val="bottom"/>
            <w:hideMark/>
          </w:tcPr>
          <w:p w14:paraId="134C6E33"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39.22</w:t>
            </w:r>
          </w:p>
        </w:tc>
        <w:tc>
          <w:tcPr>
            <w:tcW w:w="486" w:type="dxa"/>
            <w:tcBorders>
              <w:top w:val="nil"/>
              <w:left w:val="nil"/>
              <w:bottom w:val="single" w:sz="4" w:space="0" w:color="000000"/>
              <w:right w:val="single" w:sz="4" w:space="0" w:color="000000"/>
            </w:tcBorders>
            <w:shd w:val="clear" w:color="auto" w:fill="auto"/>
            <w:noWrap/>
            <w:vAlign w:val="bottom"/>
            <w:hideMark/>
          </w:tcPr>
          <w:p w14:paraId="762C696D"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0.029</w:t>
            </w:r>
          </w:p>
        </w:tc>
        <w:tc>
          <w:tcPr>
            <w:tcW w:w="960" w:type="dxa"/>
            <w:tcBorders>
              <w:top w:val="nil"/>
              <w:left w:val="nil"/>
              <w:bottom w:val="single" w:sz="4" w:space="0" w:color="000000"/>
              <w:right w:val="single" w:sz="4" w:space="0" w:color="000000"/>
            </w:tcBorders>
            <w:shd w:val="clear" w:color="auto" w:fill="auto"/>
            <w:noWrap/>
            <w:vAlign w:val="bottom"/>
            <w:hideMark/>
          </w:tcPr>
          <w:p w14:paraId="20D55EB4"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-0.12</w:t>
            </w:r>
          </w:p>
        </w:tc>
      </w:tr>
      <w:tr w:rsidR="006C5946" w:rsidRPr="006C5946" w14:paraId="082018E9"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4FE933D5"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106</w:t>
            </w:r>
          </w:p>
        </w:tc>
        <w:tc>
          <w:tcPr>
            <w:tcW w:w="960" w:type="dxa"/>
            <w:tcBorders>
              <w:top w:val="nil"/>
              <w:left w:val="nil"/>
              <w:bottom w:val="single" w:sz="4" w:space="0" w:color="000000"/>
              <w:right w:val="single" w:sz="4" w:space="0" w:color="000000"/>
            </w:tcBorders>
            <w:shd w:val="clear" w:color="auto" w:fill="auto"/>
            <w:noWrap/>
            <w:vAlign w:val="bottom"/>
            <w:hideMark/>
          </w:tcPr>
          <w:p w14:paraId="40764D91"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D1</w:t>
            </w:r>
          </w:p>
        </w:tc>
        <w:tc>
          <w:tcPr>
            <w:tcW w:w="1336" w:type="dxa"/>
            <w:tcBorders>
              <w:top w:val="nil"/>
              <w:left w:val="nil"/>
              <w:bottom w:val="single" w:sz="4" w:space="0" w:color="000000"/>
              <w:right w:val="single" w:sz="4" w:space="0" w:color="000000"/>
            </w:tcBorders>
            <w:shd w:val="clear" w:color="auto" w:fill="auto"/>
            <w:noWrap/>
            <w:vAlign w:val="bottom"/>
            <w:hideMark/>
          </w:tcPr>
          <w:p w14:paraId="158A8FB1"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11.59</w:t>
            </w:r>
          </w:p>
        </w:tc>
        <w:tc>
          <w:tcPr>
            <w:tcW w:w="1842" w:type="dxa"/>
            <w:tcBorders>
              <w:top w:val="nil"/>
              <w:left w:val="nil"/>
              <w:bottom w:val="single" w:sz="4" w:space="0" w:color="000000"/>
              <w:right w:val="single" w:sz="4" w:space="0" w:color="000000"/>
            </w:tcBorders>
            <w:shd w:val="clear" w:color="auto" w:fill="auto"/>
            <w:noWrap/>
            <w:vAlign w:val="bottom"/>
            <w:hideMark/>
          </w:tcPr>
          <w:p w14:paraId="7FB72EDF"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11.63</w:t>
            </w:r>
          </w:p>
        </w:tc>
        <w:tc>
          <w:tcPr>
            <w:tcW w:w="486" w:type="dxa"/>
            <w:tcBorders>
              <w:top w:val="nil"/>
              <w:left w:val="nil"/>
              <w:bottom w:val="single" w:sz="4" w:space="0" w:color="000000"/>
              <w:right w:val="single" w:sz="4" w:space="0" w:color="000000"/>
            </w:tcBorders>
            <w:shd w:val="clear" w:color="auto" w:fill="auto"/>
            <w:noWrap/>
            <w:vAlign w:val="bottom"/>
            <w:hideMark/>
          </w:tcPr>
          <w:p w14:paraId="318E1C58"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0.015</w:t>
            </w:r>
          </w:p>
        </w:tc>
        <w:tc>
          <w:tcPr>
            <w:tcW w:w="960" w:type="dxa"/>
            <w:tcBorders>
              <w:top w:val="nil"/>
              <w:left w:val="nil"/>
              <w:bottom w:val="single" w:sz="4" w:space="0" w:color="000000"/>
              <w:right w:val="single" w:sz="4" w:space="0" w:color="000000"/>
            </w:tcBorders>
            <w:shd w:val="clear" w:color="auto" w:fill="auto"/>
            <w:noWrap/>
            <w:vAlign w:val="bottom"/>
            <w:hideMark/>
          </w:tcPr>
          <w:p w14:paraId="33E23536"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-0.04</w:t>
            </w:r>
          </w:p>
        </w:tc>
      </w:tr>
      <w:tr w:rsidR="006C5946" w:rsidRPr="006C5946" w14:paraId="6FC51539" w14:textId="77777777" w:rsidTr="007A78A7">
        <w:trPr>
          <w:trHeight w:val="290"/>
          <w:jc w:val="center"/>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52685046"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106</w:t>
            </w:r>
          </w:p>
        </w:tc>
        <w:tc>
          <w:tcPr>
            <w:tcW w:w="960" w:type="dxa"/>
            <w:tcBorders>
              <w:top w:val="nil"/>
              <w:left w:val="nil"/>
              <w:bottom w:val="single" w:sz="4" w:space="0" w:color="000000"/>
              <w:right w:val="single" w:sz="4" w:space="0" w:color="000000"/>
            </w:tcBorders>
            <w:shd w:val="clear" w:color="auto" w:fill="auto"/>
            <w:noWrap/>
            <w:vAlign w:val="bottom"/>
            <w:hideMark/>
          </w:tcPr>
          <w:p w14:paraId="06DC7F06"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E1</w:t>
            </w:r>
          </w:p>
        </w:tc>
        <w:tc>
          <w:tcPr>
            <w:tcW w:w="1336" w:type="dxa"/>
            <w:tcBorders>
              <w:top w:val="nil"/>
              <w:left w:val="nil"/>
              <w:bottom w:val="single" w:sz="4" w:space="0" w:color="000000"/>
              <w:right w:val="single" w:sz="4" w:space="0" w:color="000000"/>
            </w:tcBorders>
            <w:shd w:val="clear" w:color="auto" w:fill="auto"/>
            <w:noWrap/>
            <w:vAlign w:val="bottom"/>
            <w:hideMark/>
          </w:tcPr>
          <w:p w14:paraId="5401CABE"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3.91</w:t>
            </w:r>
          </w:p>
        </w:tc>
        <w:tc>
          <w:tcPr>
            <w:tcW w:w="1842" w:type="dxa"/>
            <w:tcBorders>
              <w:top w:val="nil"/>
              <w:left w:val="nil"/>
              <w:bottom w:val="single" w:sz="4" w:space="0" w:color="000000"/>
              <w:right w:val="single" w:sz="4" w:space="0" w:color="000000"/>
            </w:tcBorders>
            <w:shd w:val="clear" w:color="auto" w:fill="auto"/>
            <w:noWrap/>
            <w:vAlign w:val="bottom"/>
            <w:hideMark/>
          </w:tcPr>
          <w:p w14:paraId="63CBB263"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3.92</w:t>
            </w:r>
          </w:p>
        </w:tc>
        <w:tc>
          <w:tcPr>
            <w:tcW w:w="486" w:type="dxa"/>
            <w:tcBorders>
              <w:top w:val="nil"/>
              <w:left w:val="nil"/>
              <w:bottom w:val="single" w:sz="4" w:space="0" w:color="000000"/>
              <w:right w:val="single" w:sz="4" w:space="0" w:color="000000"/>
            </w:tcBorders>
            <w:shd w:val="clear" w:color="auto" w:fill="auto"/>
            <w:noWrap/>
            <w:vAlign w:val="bottom"/>
            <w:hideMark/>
          </w:tcPr>
          <w:p w14:paraId="1887783A"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0.012</w:t>
            </w:r>
          </w:p>
        </w:tc>
        <w:tc>
          <w:tcPr>
            <w:tcW w:w="960" w:type="dxa"/>
            <w:tcBorders>
              <w:top w:val="nil"/>
              <w:left w:val="nil"/>
              <w:bottom w:val="single" w:sz="4" w:space="0" w:color="000000"/>
              <w:right w:val="single" w:sz="4" w:space="0" w:color="000000"/>
            </w:tcBorders>
            <w:shd w:val="clear" w:color="auto" w:fill="auto"/>
            <w:noWrap/>
            <w:vAlign w:val="bottom"/>
            <w:hideMark/>
          </w:tcPr>
          <w:p w14:paraId="201C1101" w14:textId="77777777" w:rsidR="006C5946" w:rsidRPr="006C5946" w:rsidRDefault="006C5946" w:rsidP="006C5946">
            <w:pPr>
              <w:spacing w:after="0" w:line="240" w:lineRule="auto"/>
              <w:jc w:val="center"/>
              <w:rPr>
                <w:rFonts w:ascii="Calibri" w:eastAsia="Times New Roman" w:hAnsi="Calibri" w:cs="Calibri"/>
                <w:color w:val="000000"/>
                <w:lang w:eastAsia="en-GB"/>
              </w:rPr>
            </w:pPr>
            <w:r w:rsidRPr="006C5946">
              <w:rPr>
                <w:rFonts w:ascii="Calibri" w:eastAsia="Times New Roman" w:hAnsi="Calibri" w:cs="Calibri"/>
                <w:color w:val="000000"/>
                <w:lang w:eastAsia="en-GB"/>
              </w:rPr>
              <w:t>-0.01</w:t>
            </w:r>
          </w:p>
        </w:tc>
      </w:tr>
    </w:tbl>
    <w:p w14:paraId="496A00B4" w14:textId="72176014" w:rsidR="00284D07" w:rsidRDefault="00284D07" w:rsidP="006C5946">
      <w:pPr>
        <w:spacing w:after="0" w:line="240" w:lineRule="auto"/>
        <w:jc w:val="center"/>
        <w:rPr>
          <w:rFonts w:cs="Times New Roman"/>
        </w:rPr>
      </w:pPr>
    </w:p>
    <w:p w14:paraId="79B5A312" w14:textId="7306AFA3" w:rsidR="00CC7410" w:rsidRPr="001B106B" w:rsidRDefault="00CC7410" w:rsidP="0849D260">
      <w:pPr>
        <w:spacing w:after="0" w:line="240" w:lineRule="auto"/>
        <w:jc w:val="both"/>
        <w:rPr>
          <w:rFonts w:cs="Times New Roman"/>
          <w:b/>
          <w:bCs/>
          <w:i/>
          <w:iCs/>
        </w:rPr>
      </w:pPr>
      <w:r w:rsidRPr="0849D260">
        <w:rPr>
          <w:rFonts w:cs="Times New Roman"/>
          <w:b/>
          <w:bCs/>
          <w:i/>
          <w:iCs/>
        </w:rPr>
        <w:t>Technical Anomalies</w:t>
      </w:r>
      <w:r w:rsidR="08F32A0A" w:rsidRPr="0849D260">
        <w:rPr>
          <w:rFonts w:cs="Times New Roman"/>
          <w:b/>
          <w:bCs/>
          <w:i/>
          <w:iCs/>
        </w:rPr>
        <w:t>/Departures.</w:t>
      </w:r>
    </w:p>
    <w:p w14:paraId="483DD30A" w14:textId="77777777" w:rsidR="00CC7410" w:rsidRDefault="00CC7410" w:rsidP="002F2599">
      <w:pPr>
        <w:spacing w:after="0" w:line="240" w:lineRule="auto"/>
        <w:jc w:val="both"/>
        <w:rPr>
          <w:rFonts w:cs="Times New Roman"/>
        </w:rPr>
      </w:pPr>
    </w:p>
    <w:p w14:paraId="571EDDC7" w14:textId="77777777" w:rsidR="00F1565D" w:rsidRPr="00F1565D" w:rsidRDefault="00F1565D" w:rsidP="00F1565D">
      <w:pPr>
        <w:numPr>
          <w:ilvl w:val="0"/>
          <w:numId w:val="10"/>
        </w:numPr>
        <w:spacing w:after="0" w:line="240" w:lineRule="auto"/>
        <w:rPr>
          <w:rFonts w:eastAsia="Times New Roman"/>
          <w:lang w:val="en-US"/>
        </w:rPr>
      </w:pPr>
      <w:r w:rsidRPr="00F1565D">
        <w:rPr>
          <w:rFonts w:eastAsia="Times New Roman"/>
        </w:rPr>
        <w:t xml:space="preserve">TA360: Discrepancy in results of repeated sample </w:t>
      </w:r>
      <w:r w:rsidRPr="00F1565D">
        <w:rPr>
          <w:rFonts w:eastAsia="Times New Roman"/>
          <w:lang w:val="en-US"/>
        </w:rPr>
        <w:t>Status: CLOSED</w:t>
      </w:r>
    </w:p>
    <w:p w14:paraId="562EF4E8" w14:textId="77777777" w:rsidR="00F1565D" w:rsidRPr="00F1565D" w:rsidRDefault="00F1565D" w:rsidP="00F1565D">
      <w:pPr>
        <w:numPr>
          <w:ilvl w:val="0"/>
          <w:numId w:val="10"/>
        </w:numPr>
        <w:spacing w:after="0" w:line="240" w:lineRule="auto"/>
        <w:rPr>
          <w:rFonts w:eastAsia="Times New Roman"/>
          <w:lang w:val="en-US"/>
        </w:rPr>
      </w:pPr>
      <w:r w:rsidRPr="00F1565D">
        <w:rPr>
          <w:rFonts w:eastAsia="Times New Roman"/>
        </w:rPr>
        <w:t>TA374: Actual strength QC below 2sd</w:t>
      </w:r>
      <w:r w:rsidRPr="00F1565D">
        <w:rPr>
          <w:rFonts w:eastAsia="Times New Roman"/>
          <w:lang w:val="en-US"/>
        </w:rPr>
        <w:t xml:space="preserve"> Status: CLOSED</w:t>
      </w:r>
    </w:p>
    <w:p w14:paraId="62764B69" w14:textId="77777777" w:rsidR="00F1565D" w:rsidRPr="00F1565D" w:rsidRDefault="00F1565D" w:rsidP="00F1565D">
      <w:pPr>
        <w:numPr>
          <w:ilvl w:val="0"/>
          <w:numId w:val="10"/>
        </w:numPr>
        <w:spacing w:after="0" w:line="240" w:lineRule="auto"/>
        <w:rPr>
          <w:rFonts w:eastAsia="Times New Roman"/>
          <w:b/>
          <w:bCs/>
          <w:lang w:val="fr-FR"/>
        </w:rPr>
      </w:pPr>
      <w:commentRangeStart w:id="34"/>
      <w:r w:rsidRPr="00F1565D">
        <w:rPr>
          <w:rFonts w:eastAsia="Times New Roman"/>
          <w:b/>
          <w:bCs/>
          <w:lang w:val="fr-FR"/>
        </w:rPr>
        <w:t>TA</w:t>
      </w:r>
      <w:proofErr w:type="gramStart"/>
      <w:r w:rsidRPr="00F1565D">
        <w:rPr>
          <w:rFonts w:eastAsia="Times New Roman"/>
          <w:b/>
          <w:bCs/>
          <w:lang w:val="fr-FR"/>
        </w:rPr>
        <w:t>382:</w:t>
      </w:r>
      <w:proofErr w:type="gramEnd"/>
      <w:r w:rsidRPr="00F1565D">
        <w:rPr>
          <w:rFonts w:eastAsia="Times New Roman"/>
          <w:b/>
          <w:bCs/>
          <w:lang w:val="fr-FR"/>
        </w:rPr>
        <w:t xml:space="preserve"> 200ml dilution (SA) </w:t>
      </w:r>
      <w:proofErr w:type="spellStart"/>
      <w:r w:rsidRPr="00F1565D">
        <w:rPr>
          <w:rFonts w:eastAsia="Times New Roman"/>
          <w:b/>
          <w:bCs/>
          <w:u w:val="single"/>
          <w:lang w:val="fr-FR"/>
        </w:rPr>
        <w:t>Status</w:t>
      </w:r>
      <w:proofErr w:type="spellEnd"/>
      <w:r w:rsidRPr="00F1565D">
        <w:rPr>
          <w:rFonts w:eastAsia="Times New Roman"/>
          <w:b/>
          <w:bCs/>
          <w:u w:val="single"/>
          <w:lang w:val="fr-FR"/>
        </w:rPr>
        <w:t>: Open</w:t>
      </w:r>
      <w:commentRangeEnd w:id="34"/>
      <w:r w:rsidR="00CB0CD1">
        <w:rPr>
          <w:rStyle w:val="CommentReference"/>
        </w:rPr>
        <w:commentReference w:id="34"/>
      </w:r>
    </w:p>
    <w:p w14:paraId="6F37E0E5" w14:textId="77777777" w:rsidR="00F1565D" w:rsidRPr="00F1565D" w:rsidRDefault="00F1565D" w:rsidP="00F1565D">
      <w:pPr>
        <w:numPr>
          <w:ilvl w:val="0"/>
          <w:numId w:val="10"/>
        </w:numPr>
        <w:spacing w:after="0" w:line="240" w:lineRule="auto"/>
        <w:rPr>
          <w:rFonts w:eastAsia="Times New Roman"/>
          <w:color w:val="000000"/>
          <w:lang w:val="en-US"/>
        </w:rPr>
      </w:pPr>
      <w:r w:rsidRPr="00F1565D">
        <w:rPr>
          <w:rFonts w:eastAsia="Times New Roman"/>
          <w:color w:val="000000"/>
        </w:rPr>
        <w:t>TA387: Difference between QC app and act is 0.0</w:t>
      </w:r>
      <w:r w:rsidRPr="00F1565D">
        <w:rPr>
          <w:rFonts w:eastAsia="Times New Roman"/>
          <w:color w:val="000000"/>
          <w:lang w:val="en-US"/>
        </w:rPr>
        <w:t xml:space="preserve"> Status: CLOSED</w:t>
      </w:r>
    </w:p>
    <w:p w14:paraId="08C5F4A3" w14:textId="77777777" w:rsidR="00F1565D" w:rsidRPr="00F1565D" w:rsidRDefault="00F1565D" w:rsidP="00F1565D">
      <w:pPr>
        <w:numPr>
          <w:ilvl w:val="0"/>
          <w:numId w:val="10"/>
        </w:numPr>
        <w:spacing w:after="0" w:line="240" w:lineRule="auto"/>
        <w:rPr>
          <w:rFonts w:eastAsia="Times New Roman"/>
          <w:b/>
          <w:bCs/>
          <w:color w:val="000000"/>
          <w:lang w:val="en-US"/>
        </w:rPr>
      </w:pPr>
      <w:r w:rsidRPr="00F1565D">
        <w:rPr>
          <w:rFonts w:eastAsia="Times New Roman"/>
        </w:rPr>
        <w:t xml:space="preserve">TA395: Failed bracket check and QC points on warning limit </w:t>
      </w:r>
      <w:r w:rsidRPr="00F1565D">
        <w:rPr>
          <w:rFonts w:eastAsia="Times New Roman"/>
          <w:color w:val="000000"/>
          <w:lang w:val="en-US"/>
        </w:rPr>
        <w:t>Status: CLOSED</w:t>
      </w:r>
    </w:p>
    <w:p w14:paraId="2D46C1FF" w14:textId="77777777" w:rsidR="00F1565D" w:rsidRPr="00F1565D" w:rsidRDefault="00F1565D" w:rsidP="00F1565D">
      <w:pPr>
        <w:numPr>
          <w:ilvl w:val="0"/>
          <w:numId w:val="10"/>
        </w:numPr>
        <w:spacing w:after="0" w:line="240" w:lineRule="auto"/>
        <w:rPr>
          <w:rFonts w:eastAsia="Times New Roman"/>
          <w:b/>
          <w:bCs/>
          <w:color w:val="000000"/>
          <w:lang w:val="en-US"/>
        </w:rPr>
      </w:pPr>
      <w:r w:rsidRPr="00F1565D">
        <w:rPr>
          <w:rFonts w:eastAsia="Times New Roman"/>
        </w:rPr>
        <w:t xml:space="preserve">TA405: Failed QC check </w:t>
      </w:r>
      <w:r w:rsidRPr="00F1565D">
        <w:rPr>
          <w:rFonts w:eastAsia="Times New Roman"/>
          <w:color w:val="000000"/>
          <w:lang w:val="en-US"/>
        </w:rPr>
        <w:t>Status: CLOSED</w:t>
      </w:r>
    </w:p>
    <w:p w14:paraId="0E8D10A2" w14:textId="77777777" w:rsidR="00F1565D" w:rsidRPr="00F1565D" w:rsidRDefault="00F1565D" w:rsidP="00F1565D">
      <w:pPr>
        <w:numPr>
          <w:ilvl w:val="0"/>
          <w:numId w:val="10"/>
        </w:numPr>
        <w:spacing w:after="0" w:line="240" w:lineRule="auto"/>
        <w:rPr>
          <w:rFonts w:eastAsia="Times New Roman"/>
          <w:b/>
          <w:bCs/>
          <w:color w:val="000000"/>
          <w:lang w:val="en-US"/>
        </w:rPr>
      </w:pPr>
      <w:r w:rsidRPr="00F1565D">
        <w:rPr>
          <w:rFonts w:eastAsia="Times New Roman"/>
        </w:rPr>
        <w:t xml:space="preserve">TA408: Filling error for first measurement of bracket check </w:t>
      </w:r>
      <w:r w:rsidRPr="00F1565D">
        <w:rPr>
          <w:rFonts w:eastAsia="Times New Roman"/>
          <w:color w:val="000000"/>
          <w:lang w:val="en-US"/>
        </w:rPr>
        <w:t>Status: CLOSED</w:t>
      </w:r>
    </w:p>
    <w:p w14:paraId="333EA050" w14:textId="77777777" w:rsidR="00F1565D" w:rsidRDefault="00F1565D" w:rsidP="002F2599">
      <w:pPr>
        <w:spacing w:after="0" w:line="240" w:lineRule="auto"/>
        <w:jc w:val="both"/>
        <w:rPr>
          <w:lang w:val="en-US"/>
        </w:rPr>
      </w:pPr>
    </w:p>
    <w:p w14:paraId="00969640" w14:textId="78FB1DCB" w:rsidR="00237F68" w:rsidRDefault="1CFC8055" w:rsidP="002F2599">
      <w:pPr>
        <w:spacing w:after="0" w:line="240" w:lineRule="auto"/>
        <w:jc w:val="both"/>
      </w:pPr>
      <w:r>
        <w:t xml:space="preserve">A total of </w:t>
      </w:r>
      <w:r w:rsidR="00F1565D">
        <w:t>7</w:t>
      </w:r>
      <w:r>
        <w:t xml:space="preserve"> Technical </w:t>
      </w:r>
      <w:r w:rsidR="7175554D">
        <w:t>A</w:t>
      </w:r>
      <w:r>
        <w:t>nomalies were raised for this method over 20</w:t>
      </w:r>
      <w:r w:rsidR="06216E49">
        <w:t>2</w:t>
      </w:r>
      <w:r w:rsidR="00F1565D">
        <w:t>1</w:t>
      </w:r>
      <w:r w:rsidR="2D33C975">
        <w:t xml:space="preserve">, though a number of the </w:t>
      </w:r>
      <w:proofErr w:type="gramStart"/>
      <w:r w:rsidR="2D33C975">
        <w:t>Technical</w:t>
      </w:r>
      <w:proofErr w:type="gramEnd"/>
      <w:r w:rsidR="2D33C975">
        <w:t xml:space="preserve"> anomalies listed </w:t>
      </w:r>
      <w:r w:rsidR="1CAB4B51">
        <w:t>for</w:t>
      </w:r>
      <w:r w:rsidR="2D33C975">
        <w:t xml:space="preserve"> OP221, also </w:t>
      </w:r>
      <w:r w:rsidR="1CAB4B51">
        <w:t>a</w:t>
      </w:r>
      <w:r w:rsidR="2D33C975">
        <w:t>ffected results from this method</w:t>
      </w:r>
      <w:r w:rsidR="00F1565D">
        <w:t xml:space="preserve"> and are listed in both sections</w:t>
      </w:r>
      <w:r w:rsidR="2D33C975">
        <w:t>.</w:t>
      </w:r>
      <w:r w:rsidR="2EE1D169">
        <w:t xml:space="preserve"> </w:t>
      </w:r>
      <w:r w:rsidR="06216E49">
        <w:t xml:space="preserve">This is </w:t>
      </w:r>
      <w:r w:rsidR="00F1565D">
        <w:t>higher</w:t>
      </w:r>
      <w:r w:rsidR="06216E49">
        <w:t xml:space="preserve"> than the number of TAs in 20</w:t>
      </w:r>
      <w:r w:rsidR="00F1565D">
        <w:t>20</w:t>
      </w:r>
      <w:r w:rsidR="06216E49">
        <w:t xml:space="preserve"> but c</w:t>
      </w:r>
      <w:r w:rsidR="2EE1D169">
        <w:t>onsideration must also be given to the fact that the lab was closed for 3 months during the COVID-19 lockdown</w:t>
      </w:r>
      <w:r w:rsidR="00F1565D">
        <w:t xml:space="preserve"> in 2020</w:t>
      </w:r>
      <w:r w:rsidR="2EE1D169">
        <w:t>.</w:t>
      </w:r>
      <w:r w:rsidR="00237F68">
        <w:t xml:space="preserve"> </w:t>
      </w:r>
      <w:r w:rsidR="00237F68">
        <w:rPr>
          <w:rFonts w:eastAsia="Times New Roman"/>
          <w:lang w:val="en-US"/>
        </w:rPr>
        <w:t>T</w:t>
      </w:r>
      <w:r w:rsidR="00237F68" w:rsidRPr="27FF0EBE">
        <w:rPr>
          <w:rFonts w:eastAsia="Times New Roman"/>
          <w:lang w:val="en-US"/>
        </w:rPr>
        <w:t xml:space="preserve">he proportion of </w:t>
      </w:r>
      <w:r w:rsidR="00237F68">
        <w:rPr>
          <w:rFonts w:eastAsia="Times New Roman"/>
          <w:lang w:val="en-US"/>
        </w:rPr>
        <w:t>T</w:t>
      </w:r>
      <w:r w:rsidR="00237F68" w:rsidRPr="27FF0EBE">
        <w:rPr>
          <w:rFonts w:eastAsia="Times New Roman"/>
          <w:lang w:val="en-US"/>
        </w:rPr>
        <w:t xml:space="preserve">echnical </w:t>
      </w:r>
      <w:r w:rsidR="00237F68">
        <w:rPr>
          <w:rFonts w:eastAsia="Times New Roman"/>
          <w:lang w:val="en-US"/>
        </w:rPr>
        <w:t>A</w:t>
      </w:r>
      <w:r w:rsidR="00237F68" w:rsidRPr="27FF0EBE">
        <w:rPr>
          <w:rFonts w:eastAsia="Times New Roman"/>
          <w:lang w:val="en-US"/>
        </w:rPr>
        <w:t>nomalies to runs performed in 20</w:t>
      </w:r>
      <w:r w:rsidR="00237F68">
        <w:rPr>
          <w:rFonts w:eastAsia="Times New Roman"/>
          <w:lang w:val="en-US"/>
        </w:rPr>
        <w:t>20 was 14</w:t>
      </w:r>
      <w:r w:rsidR="00237F68" w:rsidRPr="27FF0EBE">
        <w:rPr>
          <w:rFonts w:eastAsia="Times New Roman"/>
          <w:lang w:val="en-US"/>
        </w:rPr>
        <w:t xml:space="preserve"> </w:t>
      </w:r>
      <w:r w:rsidR="00237F68">
        <w:rPr>
          <w:rFonts w:eastAsia="Times New Roman"/>
          <w:lang w:val="en-US"/>
        </w:rPr>
        <w:t>whilst in</w:t>
      </w:r>
      <w:r w:rsidR="00237F68" w:rsidRPr="27FF0EBE">
        <w:rPr>
          <w:rFonts w:eastAsia="Times New Roman"/>
          <w:lang w:val="en-US"/>
        </w:rPr>
        <w:t xml:space="preserve"> 202</w:t>
      </w:r>
      <w:r w:rsidR="00237F68">
        <w:rPr>
          <w:rFonts w:eastAsia="Times New Roman"/>
          <w:lang w:val="en-US"/>
        </w:rPr>
        <w:t>1 it was 12</w:t>
      </w:r>
      <w:r w:rsidR="00237F68" w:rsidRPr="27FF0EBE">
        <w:rPr>
          <w:rFonts w:eastAsia="Times New Roman"/>
          <w:lang w:val="en-US"/>
        </w:rPr>
        <w:t>.</w:t>
      </w:r>
      <w:r w:rsidR="00237F68">
        <w:rPr>
          <w:rFonts w:eastAsia="Times New Roman"/>
          <w:lang w:val="en-US"/>
        </w:rPr>
        <w:t xml:space="preserve"> 3 of the Technical Anomalies were related to bracket check/repeatability failures and were resolved after following instrument maintenance proc</w:t>
      </w:r>
      <w:r w:rsidR="00CB0CD1">
        <w:rPr>
          <w:rFonts w:eastAsia="Times New Roman"/>
          <w:lang w:val="en-US"/>
        </w:rPr>
        <w:t xml:space="preserve">edures. 3 of the Technical Anomalies were related to analyst error (overfilling the flask during the distillation/not maintaining the glycol temperature below 15 </w:t>
      </w:r>
      <w:r w:rsidR="00CB0CD1">
        <w:rPr>
          <w:rFonts w:eastAsia="Times New Roman" w:cstheme="minorHAnsi"/>
          <w:lang w:val="en-US"/>
        </w:rPr>
        <w:t>°</w:t>
      </w:r>
      <w:r w:rsidR="00CB0CD1">
        <w:rPr>
          <w:rFonts w:eastAsia="Times New Roman"/>
          <w:lang w:val="en-US"/>
        </w:rPr>
        <w:t xml:space="preserve">C). The remaining Technical Anomaly related to a filling error by which was resolved by tightening the peristaltic pump. </w:t>
      </w:r>
    </w:p>
    <w:p w14:paraId="3A7898F7" w14:textId="77777777" w:rsidR="00F1565D" w:rsidRDefault="00F1565D" w:rsidP="0849D260">
      <w:pPr>
        <w:spacing w:after="0" w:line="240" w:lineRule="auto"/>
        <w:jc w:val="both"/>
      </w:pPr>
    </w:p>
    <w:p w14:paraId="308D8A9F" w14:textId="7010401D" w:rsidR="007E1132" w:rsidRDefault="5BFCA1FC" w:rsidP="0849D260">
      <w:pPr>
        <w:spacing w:after="0" w:line="240" w:lineRule="auto"/>
        <w:jc w:val="both"/>
      </w:pPr>
      <w:r>
        <w:t>No departures were recorded against this method in 202</w:t>
      </w:r>
      <w:r w:rsidR="00F1565D">
        <w:t>1</w:t>
      </w:r>
      <w:r>
        <w:t>.</w:t>
      </w:r>
    </w:p>
    <w:p w14:paraId="146E369F" w14:textId="54B2F420" w:rsidR="00F1565D" w:rsidRDefault="00F1565D" w:rsidP="0849D260">
      <w:pPr>
        <w:spacing w:after="0" w:line="240" w:lineRule="auto"/>
        <w:jc w:val="both"/>
      </w:pPr>
    </w:p>
    <w:p w14:paraId="704C415F" w14:textId="3874B9DF" w:rsidR="00CB0CD1" w:rsidRDefault="00CB0CD1" w:rsidP="0849D260">
      <w:pPr>
        <w:spacing w:after="0" w:line="240" w:lineRule="auto"/>
        <w:jc w:val="both"/>
      </w:pPr>
    </w:p>
    <w:p w14:paraId="710B6A43" w14:textId="5DF88CC4" w:rsidR="00CB0CD1" w:rsidRDefault="00CB0CD1" w:rsidP="0849D260">
      <w:pPr>
        <w:spacing w:after="0" w:line="240" w:lineRule="auto"/>
        <w:jc w:val="both"/>
      </w:pPr>
    </w:p>
    <w:p w14:paraId="233D21EF" w14:textId="7B4B826C" w:rsidR="00CB0CD1" w:rsidRDefault="00CB0CD1" w:rsidP="0849D260">
      <w:pPr>
        <w:spacing w:after="0" w:line="240" w:lineRule="auto"/>
        <w:jc w:val="both"/>
      </w:pPr>
    </w:p>
    <w:p w14:paraId="1AD756B5" w14:textId="77777777" w:rsidR="00CB0CD1" w:rsidRPr="00BA5194" w:rsidRDefault="00CB0CD1" w:rsidP="0849D260">
      <w:pPr>
        <w:spacing w:after="0" w:line="240" w:lineRule="auto"/>
        <w:jc w:val="both"/>
      </w:pPr>
    </w:p>
    <w:p w14:paraId="3F07155F" w14:textId="51C60B0B" w:rsidR="007E1132" w:rsidRPr="00BA5194" w:rsidRDefault="000807B8" w:rsidP="0849D260">
      <w:pPr>
        <w:spacing w:after="0" w:line="240" w:lineRule="auto"/>
        <w:jc w:val="both"/>
        <w:rPr>
          <w:rFonts w:cs="Times New Roman"/>
          <w:b/>
          <w:bCs/>
          <w:i/>
          <w:iCs/>
        </w:rPr>
      </w:pPr>
      <w:r w:rsidRPr="0849D260">
        <w:rPr>
          <w:rFonts w:cs="Times New Roman"/>
          <w:b/>
          <w:bCs/>
          <w:i/>
          <w:iCs/>
        </w:rPr>
        <w:t>Conclusion</w:t>
      </w:r>
    </w:p>
    <w:p w14:paraId="578ED012" w14:textId="00C7B049" w:rsidR="005C601E" w:rsidRPr="000519FE" w:rsidRDefault="00CF617B" w:rsidP="005C601E">
      <w:pPr>
        <w:spacing w:after="0" w:line="240" w:lineRule="auto"/>
        <w:jc w:val="both"/>
        <w:rPr>
          <w:rFonts w:cs="Times New Roman"/>
        </w:rPr>
      </w:pPr>
      <w:r w:rsidRPr="00BA5194">
        <w:rPr>
          <w:rFonts w:cs="Times New Roman"/>
        </w:rPr>
        <w:lastRenderedPageBreak/>
        <w:t>This method performed satisfactorily during 20</w:t>
      </w:r>
      <w:r w:rsidR="00BA5194" w:rsidRPr="00BA5194">
        <w:rPr>
          <w:rFonts w:cs="Times New Roman"/>
        </w:rPr>
        <w:t>2</w:t>
      </w:r>
      <w:r w:rsidR="00CB0CD1">
        <w:rPr>
          <w:rFonts w:cs="Times New Roman"/>
        </w:rPr>
        <w:t>1</w:t>
      </w:r>
      <w:r w:rsidRPr="00BA5194">
        <w:rPr>
          <w:rFonts w:cs="Times New Roman"/>
        </w:rPr>
        <w:t xml:space="preserve"> with uncertainties due to precision and accuracy </w:t>
      </w:r>
      <w:r w:rsidR="00BA5194" w:rsidRPr="00BA5194">
        <w:rPr>
          <w:rFonts w:cs="Times New Roman"/>
        </w:rPr>
        <w:t>comparable to</w:t>
      </w:r>
      <w:r w:rsidRPr="00BA5194">
        <w:rPr>
          <w:rFonts w:cs="Times New Roman"/>
        </w:rPr>
        <w:t xml:space="preserve"> the 2007 uncertainty document.  </w:t>
      </w:r>
      <w:r w:rsidR="005C601E" w:rsidRPr="27FF0EBE">
        <w:rPr>
          <w:rFonts w:cs="Times New Roman"/>
        </w:rPr>
        <w:t xml:space="preserve">Based on the analysis of </w:t>
      </w:r>
      <w:r w:rsidR="005C601E">
        <w:rPr>
          <w:rFonts w:cs="Times New Roman"/>
        </w:rPr>
        <w:t xml:space="preserve">the </w:t>
      </w:r>
      <w:r w:rsidR="005C601E" w:rsidRPr="27FF0EBE">
        <w:rPr>
          <w:rFonts w:cs="Times New Roman"/>
        </w:rPr>
        <w:t xml:space="preserve">proficiency </w:t>
      </w:r>
      <w:proofErr w:type="gramStart"/>
      <w:r w:rsidR="005C601E" w:rsidRPr="27FF0EBE">
        <w:rPr>
          <w:rFonts w:cs="Times New Roman"/>
        </w:rPr>
        <w:t xml:space="preserve">scheme </w:t>
      </w:r>
      <w:r w:rsidR="005C601E">
        <w:rPr>
          <w:rFonts w:cs="Times New Roman"/>
        </w:rPr>
        <w:t xml:space="preserve"> s</w:t>
      </w:r>
      <w:r w:rsidR="005C601E" w:rsidRPr="27FF0EBE">
        <w:rPr>
          <w:rFonts w:cs="Times New Roman"/>
        </w:rPr>
        <w:t>amples</w:t>
      </w:r>
      <w:proofErr w:type="gramEnd"/>
      <w:r w:rsidR="005C601E" w:rsidRPr="27FF0EBE">
        <w:rPr>
          <w:rFonts w:cs="Times New Roman"/>
        </w:rPr>
        <w:t xml:space="preserve">, the uncertainty of the method accuracy is greater than in the 2007 document and this should be revised. </w:t>
      </w:r>
    </w:p>
    <w:p w14:paraId="1CD124C6" w14:textId="77777777" w:rsidR="005C601E" w:rsidRPr="000519FE" w:rsidRDefault="005C601E" w:rsidP="005C601E">
      <w:pPr>
        <w:spacing w:after="0" w:line="240" w:lineRule="auto"/>
        <w:jc w:val="both"/>
      </w:pPr>
    </w:p>
    <w:p w14:paraId="1E7C864A" w14:textId="56A72DFA" w:rsidR="005C601E" w:rsidRPr="000519FE" w:rsidRDefault="005C601E" w:rsidP="005C601E">
      <w:pPr>
        <w:spacing w:after="0" w:line="240" w:lineRule="auto"/>
        <w:jc w:val="both"/>
      </w:pPr>
      <w:r w:rsidRPr="000519FE">
        <w:t xml:space="preserve">The Technical Anomalies raised were all actioned </w:t>
      </w:r>
      <w:proofErr w:type="gramStart"/>
      <w:r w:rsidRPr="000519FE">
        <w:t>appropriately</w:t>
      </w:r>
      <w:proofErr w:type="gramEnd"/>
      <w:r w:rsidRPr="000519FE">
        <w:t xml:space="preserve"> and thorough investigations carried out.</w:t>
      </w:r>
      <w:r>
        <w:t xml:space="preserve"> </w:t>
      </w:r>
    </w:p>
    <w:p w14:paraId="4EB47E56" w14:textId="2A388DDD" w:rsidR="00834A8D" w:rsidRDefault="00834A8D" w:rsidP="005C601E">
      <w:pPr>
        <w:jc w:val="both"/>
        <w:rPr>
          <w:rFonts w:cs="Times New Roman"/>
        </w:rPr>
      </w:pPr>
    </w:p>
    <w:sectPr w:rsidR="00834A8D">
      <w:headerReference w:type="default" r:id="rId15"/>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dsay Maguire" w:date="2022-01-20T19:34:00Z" w:initials="LM">
    <w:p w14:paraId="2D5985A2" w14:textId="739EEEA6" w:rsidR="00184E07" w:rsidRDefault="00184E07">
      <w:pPr>
        <w:pStyle w:val="CommentText"/>
      </w:pPr>
      <w:r>
        <w:rPr>
          <w:rStyle w:val="CommentReference"/>
        </w:rPr>
        <w:annotationRef/>
      </w:r>
      <w:r>
        <w:t xml:space="preserve">58 of these points were from 2020, do I still include them in calculations? </w:t>
      </w:r>
    </w:p>
  </w:comment>
  <w:comment w:id="1" w:author="Hannah Ford" w:date="2022-01-24T12:19:00Z" w:initials="HF">
    <w:p w14:paraId="3B67C731" w14:textId="3B9C6597" w:rsidR="00501885" w:rsidRDefault="00501885">
      <w:pPr>
        <w:pStyle w:val="CommentText"/>
      </w:pPr>
      <w:r>
        <w:rPr>
          <w:rStyle w:val="CommentReference"/>
        </w:rPr>
        <w:annotationRef/>
      </w:r>
      <w:r>
        <w:t>I think so, yes. As data from the whole chart is relevant to the performance of the 2021 points</w:t>
      </w:r>
    </w:p>
  </w:comment>
  <w:comment w:id="2" w:author="Lindsay Maguire" w:date="2022-01-21T09:47:00Z" w:initials="LM">
    <w:p w14:paraId="4FE33555" w14:textId="75F4CEA7" w:rsidR="001E33FC" w:rsidRDefault="001E33FC">
      <w:pPr>
        <w:pStyle w:val="CommentText"/>
      </w:pPr>
      <w:r>
        <w:rPr>
          <w:rStyle w:val="CommentReference"/>
        </w:rPr>
        <w:annotationRef/>
      </w:r>
      <w:r>
        <w:t>Data from ‘Apparent QCs 2021’ tab</w:t>
      </w:r>
    </w:p>
  </w:comment>
  <w:comment w:id="3" w:author="Hannah Ford" w:date="2022-01-24T12:25:00Z" w:initials="HF">
    <w:p w14:paraId="54BE3F5E" w14:textId="69DB381A" w:rsidR="003E0B6F" w:rsidRDefault="003E0B6F">
      <w:pPr>
        <w:pStyle w:val="CommentText"/>
      </w:pPr>
      <w:r>
        <w:rPr>
          <w:rStyle w:val="CommentReference"/>
        </w:rPr>
        <w:annotationRef/>
      </w:r>
      <w:r>
        <w:t>I’ve just realised that these numbers on the control chart are calculated from the fixed value used to set the limits and not the actual standard deviation. That can’t be right?! Note to self, check with JF/SH/SF in the meeting</w:t>
      </w:r>
    </w:p>
  </w:comment>
  <w:comment w:id="4" w:author="Hannah Ford" w:date="2022-01-24T12:26:00Z" w:initials="HF">
    <w:p w14:paraId="1A04358F" w14:textId="3F6E5A60" w:rsidR="003E0B6F" w:rsidRDefault="003E0B6F">
      <w:pPr>
        <w:pStyle w:val="CommentText"/>
      </w:pPr>
      <w:r>
        <w:rPr>
          <w:rStyle w:val="CommentReference"/>
        </w:rPr>
        <w:annotationRef/>
      </w:r>
      <w:r>
        <w:t>%CV from this would be 0.048% - you could mention that this would still be below the 0.05% from the 2007 uncertainty</w:t>
      </w:r>
    </w:p>
  </w:comment>
  <w:comment w:id="5" w:author="Lindsay Maguire" w:date="2022-01-21T09:48:00Z" w:initials="LM">
    <w:p w14:paraId="0C6E9C4D" w14:textId="7A5EBA54" w:rsidR="001E33FC" w:rsidRDefault="001E33FC">
      <w:pPr>
        <w:pStyle w:val="CommentText"/>
      </w:pPr>
      <w:r>
        <w:rPr>
          <w:rStyle w:val="CommentReference"/>
        </w:rPr>
        <w:annotationRef/>
      </w:r>
      <w:r>
        <w:t>‘CRM 2021’ tab, cell G17</w:t>
      </w:r>
    </w:p>
  </w:comment>
  <w:comment w:id="6" w:author="Lindsay Maguire" w:date="2022-01-21T09:49:00Z" w:initials="LM">
    <w:p w14:paraId="4BA8C378" w14:textId="3E489E5A" w:rsidR="001E33FC" w:rsidRDefault="001E33FC">
      <w:pPr>
        <w:pStyle w:val="CommentText"/>
      </w:pPr>
      <w:r>
        <w:rPr>
          <w:rStyle w:val="CommentReference"/>
        </w:rPr>
        <w:annotationRef/>
      </w:r>
      <w:r>
        <w:t>Cell H17</w:t>
      </w:r>
    </w:p>
  </w:comment>
  <w:comment w:id="7" w:author="Lindsay Maguire" w:date="2022-01-21T09:50:00Z" w:initials="LM">
    <w:p w14:paraId="02EFA6E2" w14:textId="1693E077" w:rsidR="001E33FC" w:rsidRDefault="001E33FC">
      <w:pPr>
        <w:pStyle w:val="CommentText"/>
      </w:pPr>
      <w:r>
        <w:rPr>
          <w:rStyle w:val="CommentReference"/>
        </w:rPr>
        <w:annotationRef/>
      </w:r>
      <w:r>
        <w:t xml:space="preserve">I also calculated </w:t>
      </w:r>
      <w:r w:rsidR="006C3902">
        <w:t>this data based only on the 40% abv numbers, this is in ‘CRM 2021(2)’ tab</w:t>
      </w:r>
      <w:r w:rsidR="00F60AE6">
        <w:t>. The numbers are only slightly different but as there were two linearity checks in 2021, using only 40% abv data would exclude 6 CRM stds from these calculations so I didn’t make a comment on only the 40% data</w:t>
      </w:r>
    </w:p>
  </w:comment>
  <w:comment w:id="8" w:author="Hannah Ford" w:date="2022-01-24T16:25:00Z" w:initials="HF">
    <w:p w14:paraId="32D0A223" w14:textId="4BBF3F8A" w:rsidR="001A7AD6" w:rsidRDefault="001A7AD6">
      <w:pPr>
        <w:pStyle w:val="CommentText"/>
      </w:pPr>
      <w:r>
        <w:rPr>
          <w:rStyle w:val="CommentReference"/>
        </w:rPr>
        <w:annotationRef/>
      </w:r>
      <w:proofErr w:type="gramStart"/>
      <w:r>
        <w:t>Yes</w:t>
      </w:r>
      <w:proofErr w:type="gramEnd"/>
      <w:r>
        <w:t xml:space="preserve"> today’s meeting jogged my memory about why we had done the calculation for only 40% - it’s because that’s the strength of such a majority of our samples that we were debating if each level ought to have its own uncertainty. </w:t>
      </w:r>
      <w:proofErr w:type="gramStart"/>
      <w:r>
        <w:t>So</w:t>
      </w:r>
      <w:proofErr w:type="gramEnd"/>
      <w:r>
        <w:t xml:space="preserve"> it is worth including I think</w:t>
      </w:r>
      <w:r w:rsidR="00615E12">
        <w:t>, as a calculation more applicable to that vast majority of samples</w:t>
      </w:r>
    </w:p>
  </w:comment>
  <w:comment w:id="9" w:author="Lindsay Maguire" w:date="2022-01-21T10:32:00Z" w:initials="LM">
    <w:p w14:paraId="63A0A636" w14:textId="4C9054D9" w:rsidR="004C5256" w:rsidRDefault="004C5256">
      <w:pPr>
        <w:pStyle w:val="CommentText"/>
      </w:pPr>
      <w:r>
        <w:rPr>
          <w:rStyle w:val="CommentReference"/>
        </w:rPr>
        <w:annotationRef/>
      </w:r>
      <w:r>
        <w:t>H21</w:t>
      </w:r>
    </w:p>
  </w:comment>
  <w:comment w:id="10" w:author="Lindsay Maguire" w:date="2022-01-21T10:32:00Z" w:initials="LM">
    <w:p w14:paraId="5385EF56" w14:textId="19A2B194" w:rsidR="004C5256" w:rsidRDefault="004C5256">
      <w:pPr>
        <w:pStyle w:val="CommentText"/>
      </w:pPr>
      <w:r>
        <w:rPr>
          <w:rStyle w:val="CommentReference"/>
        </w:rPr>
        <w:annotationRef/>
      </w:r>
      <w:r>
        <w:t>I21</w:t>
      </w:r>
    </w:p>
  </w:comment>
  <w:comment w:id="11" w:author="Lindsay Maguire" w:date="2022-01-20T19:09:00Z" w:initials="LM">
    <w:p w14:paraId="2EDD1E8A" w14:textId="542C8F7B" w:rsidR="0027174E" w:rsidRDefault="0027174E">
      <w:pPr>
        <w:pStyle w:val="CommentText"/>
      </w:pPr>
      <w:r>
        <w:rPr>
          <w:rStyle w:val="CommentReference"/>
        </w:rPr>
        <w:annotationRef/>
      </w:r>
      <w:r>
        <w:t>I changed this to 2 and -2 as DAPS reports did not highlight Z scores between 1 and 2 as being ‘questionable’ but can easily change this back to 1 and -1</w:t>
      </w:r>
    </w:p>
  </w:comment>
  <w:comment w:id="12" w:author="Hannah Ford" w:date="2022-01-24T16:27:00Z" w:initials="HF">
    <w:p w14:paraId="432D817A" w14:textId="34C1E7DC" w:rsidR="001A7AD6" w:rsidRDefault="001A7AD6">
      <w:pPr>
        <w:pStyle w:val="CommentText"/>
      </w:pPr>
      <w:r>
        <w:rPr>
          <w:rStyle w:val="CommentReference"/>
        </w:rPr>
        <w:annotationRef/>
      </w:r>
      <w:r>
        <w:t>If it is the case, saying the scores were between 1 and -1 does highlight our very good performance as opposed to just acceptable!</w:t>
      </w:r>
    </w:p>
  </w:comment>
  <w:comment w:id="13" w:author="Lindsay Maguire" w:date="2022-01-21T10:07:00Z" w:initials="LM">
    <w:p w14:paraId="0685D0B1" w14:textId="4FE059F6" w:rsidR="00C23C49" w:rsidRDefault="00C23C49">
      <w:pPr>
        <w:pStyle w:val="CommentText"/>
      </w:pPr>
      <w:r>
        <w:rPr>
          <w:rStyle w:val="CommentReference"/>
        </w:rPr>
        <w:annotationRef/>
      </w:r>
      <w:r>
        <w:t xml:space="preserve">DAPS104 doc on </w:t>
      </w:r>
      <w:proofErr w:type="spellStart"/>
      <w:r>
        <w:t>sharepoint</w:t>
      </w:r>
      <w:proofErr w:type="spellEnd"/>
      <w:r w:rsidR="00815063">
        <w:t>. Should I put a link to this in the footer?</w:t>
      </w:r>
    </w:p>
  </w:comment>
  <w:comment w:id="14" w:author="Hannah Ford" w:date="2022-01-24T16:28:00Z" w:initials="HF">
    <w:p w14:paraId="0DE8B4AC" w14:textId="0BA475EA" w:rsidR="001A7AD6" w:rsidRDefault="001A7AD6">
      <w:pPr>
        <w:pStyle w:val="CommentText"/>
      </w:pPr>
      <w:r>
        <w:rPr>
          <w:rStyle w:val="CommentReference"/>
        </w:rPr>
        <w:annotationRef/>
      </w:r>
      <w:r>
        <w:t xml:space="preserve">Link in footer couldn’t hurt, sure. Did we investigate what had happened with this result? </w:t>
      </w:r>
      <w:r w:rsidR="000E450C">
        <w:t>Maybe include a 1 sentence summary of what the issue was, especially if it was a one-off and not indicative of method performance overall</w:t>
      </w:r>
    </w:p>
  </w:comment>
  <w:comment w:id="15" w:author="Lindsay Maguire" w:date="2022-01-21T10:08:00Z" w:initials="LM">
    <w:p w14:paraId="5A95F79C" w14:textId="4DEF1CF6" w:rsidR="00C23C49" w:rsidRPr="00C23C49" w:rsidRDefault="00C23C49">
      <w:pPr>
        <w:pStyle w:val="CommentText"/>
      </w:pPr>
      <w:r>
        <w:rPr>
          <w:rStyle w:val="CommentReference"/>
        </w:rPr>
        <w:annotationRef/>
      </w:r>
      <w:r w:rsidRPr="00C23C49">
        <w:t>Data in ‘DAPS.2 2021’ tab</w:t>
      </w:r>
    </w:p>
  </w:comment>
  <w:comment w:id="16" w:author="Lindsay Maguire" w:date="2022-01-21T10:08:00Z" w:initials="LM">
    <w:p w14:paraId="6936F94F" w14:textId="5BA66866" w:rsidR="00C23C49" w:rsidRDefault="00C23C49">
      <w:pPr>
        <w:pStyle w:val="CommentText"/>
      </w:pPr>
      <w:r>
        <w:rPr>
          <w:rStyle w:val="CommentReference"/>
        </w:rPr>
        <w:annotationRef/>
      </w:r>
      <w:r>
        <w:t>Cell H14</w:t>
      </w:r>
    </w:p>
  </w:comment>
  <w:comment w:id="17" w:author="Lindsay Maguire" w:date="2022-01-21T10:09:00Z" w:initials="LM">
    <w:p w14:paraId="1A0005F2" w14:textId="003D57BF" w:rsidR="00C23C49" w:rsidRDefault="00C23C49">
      <w:pPr>
        <w:pStyle w:val="CommentText"/>
      </w:pPr>
      <w:r>
        <w:rPr>
          <w:rStyle w:val="CommentReference"/>
        </w:rPr>
        <w:annotationRef/>
      </w:r>
      <w:r>
        <w:t>Cell I14</w:t>
      </w:r>
    </w:p>
  </w:comment>
  <w:comment w:id="20" w:author="Lindsay Maguire" w:date="2022-01-21T11:44:00Z" w:initials="LM">
    <w:p w14:paraId="7C3B6CEC" w14:textId="1EFDA61E" w:rsidR="00C310B1" w:rsidRDefault="00C310B1">
      <w:pPr>
        <w:pStyle w:val="CommentText"/>
      </w:pPr>
      <w:r>
        <w:rPr>
          <w:rStyle w:val="CommentReference"/>
        </w:rPr>
        <w:annotationRef/>
      </w:r>
      <w:r>
        <w:t xml:space="preserve">The title of </w:t>
      </w:r>
      <w:proofErr w:type="gramStart"/>
      <w:r>
        <w:t>this one reads</w:t>
      </w:r>
      <w:proofErr w:type="gramEnd"/>
      <w:r>
        <w:t xml:space="preserve"> as though it should be in OP222 but in the TA it talks about problems with the densitometer as well and has been logged on the TA logging form as 221/222 so I’ve put it in both Technical anomalies/departures sections</w:t>
      </w:r>
    </w:p>
  </w:comment>
  <w:comment w:id="21" w:author="Lindsay Maguire" w:date="2022-01-21T11:47:00Z" w:initials="LM">
    <w:p w14:paraId="03DA9522" w14:textId="2B4A6E73" w:rsidR="00C310B1" w:rsidRDefault="00C310B1">
      <w:pPr>
        <w:pStyle w:val="CommentText"/>
      </w:pPr>
      <w:r>
        <w:rPr>
          <w:rStyle w:val="CommentReference"/>
        </w:rPr>
        <w:annotationRef/>
      </w:r>
      <w:r>
        <w:t xml:space="preserve">Some of these titles don’t give the full picture when you </w:t>
      </w:r>
      <w:proofErr w:type="gramStart"/>
      <w:r>
        <w:t>actually read</w:t>
      </w:r>
      <w:proofErr w:type="gramEnd"/>
      <w:r>
        <w:t xml:space="preserve"> the T</w:t>
      </w:r>
      <w:r w:rsidR="00905175">
        <w:t>A</w:t>
      </w:r>
      <w:r>
        <w:t>s, shall I change these? I just copied and pasted them from the TA logging form</w:t>
      </w:r>
    </w:p>
  </w:comment>
  <w:comment w:id="22" w:author="Hannah Ford" w:date="2022-01-24T16:31:00Z" w:initials="HF">
    <w:p w14:paraId="3F4C4748" w14:textId="2FAE0662" w:rsidR="000E450C" w:rsidRDefault="000E450C">
      <w:pPr>
        <w:pStyle w:val="CommentText"/>
      </w:pPr>
      <w:r>
        <w:rPr>
          <w:rStyle w:val="CommentReference"/>
        </w:rPr>
        <w:annotationRef/>
      </w:r>
      <w:proofErr w:type="gramStart"/>
      <w:r>
        <w:t>Yes</w:t>
      </w:r>
      <w:proofErr w:type="gramEnd"/>
      <w:r>
        <w:t xml:space="preserve"> please give a tiny bit more detail</w:t>
      </w:r>
    </w:p>
  </w:comment>
  <w:comment w:id="23" w:author="Lindsay Maguire" w:date="2022-01-21T11:50:00Z" w:initials="LM">
    <w:p w14:paraId="2C5EBED1" w14:textId="7E8EB13C" w:rsidR="00F212A6" w:rsidRDefault="00F212A6">
      <w:pPr>
        <w:pStyle w:val="CommentText"/>
      </w:pPr>
      <w:r>
        <w:rPr>
          <w:rStyle w:val="CommentReference"/>
        </w:rPr>
        <w:annotationRef/>
      </w:r>
      <w:r>
        <w:t>56 runs in 2020. 85 in 2021. I didn’t differentiate between actual and apparent strength total runs as most actual strength runs include apparent strength samples too</w:t>
      </w:r>
    </w:p>
  </w:comment>
  <w:comment w:id="24" w:author="Hannah Ford" w:date="2022-01-24T16:32:00Z" w:initials="HF">
    <w:p w14:paraId="4237A396" w14:textId="702A81D1" w:rsidR="000E450C" w:rsidRDefault="000E450C">
      <w:pPr>
        <w:pStyle w:val="CommentText"/>
      </w:pPr>
      <w:r>
        <w:rPr>
          <w:rStyle w:val="CommentReference"/>
        </w:rPr>
        <w:annotationRef/>
      </w:r>
      <w:r>
        <w:t>I think you have this calculation upside down – would be clearer to give the number of TAs divided by number of runs (so should be a decimal or a %) Then the resulting number should be lower for 2021 than for 2020</w:t>
      </w:r>
    </w:p>
  </w:comment>
  <w:comment w:id="25" w:author="Lindsay Maguire" w:date="2022-01-21T12:06:00Z" w:initials="LM">
    <w:p w14:paraId="2D58D002" w14:textId="484101E4" w:rsidR="00B63EDB" w:rsidRDefault="00B63EDB">
      <w:pPr>
        <w:pStyle w:val="CommentText"/>
      </w:pPr>
      <w:r>
        <w:rPr>
          <w:rStyle w:val="CommentReference"/>
        </w:rPr>
        <w:annotationRef/>
      </w:r>
      <w:r>
        <w:t xml:space="preserve">I may have misunderstood bias </w:t>
      </w:r>
      <w:proofErr w:type="gramStart"/>
      <w:r>
        <w:t>here</w:t>
      </w:r>
      <w:proofErr w:type="gramEnd"/>
      <w:r>
        <w:t xml:space="preserve"> but I assumed TA357, </w:t>
      </w:r>
      <w:r w:rsidR="00905175">
        <w:t>387, 392 and 395 all fall under bias as they all had either QC points failing or multiple QC points on same side of mean</w:t>
      </w:r>
    </w:p>
  </w:comment>
  <w:comment w:id="26" w:author="Hannah Ford" w:date="2022-01-24T16:34:00Z" w:initials="HF">
    <w:p w14:paraId="29C3223E" w14:textId="1AA4646C" w:rsidR="000E450C" w:rsidRDefault="000E450C">
      <w:pPr>
        <w:pStyle w:val="CommentText"/>
      </w:pPr>
      <w:r>
        <w:rPr>
          <w:rStyle w:val="CommentReference"/>
        </w:rPr>
        <w:annotationRef/>
      </w:r>
      <w:proofErr w:type="gramStart"/>
      <w:r>
        <w:t>Yes</w:t>
      </w:r>
      <w:proofErr w:type="gramEnd"/>
      <w:r>
        <w:t xml:space="preserve"> bias would be a long-running issue of points falling on same side of mean – the odd failure we wouldn’t call bias. So only one TA is bias</w:t>
      </w:r>
    </w:p>
  </w:comment>
  <w:comment w:id="27" w:author="Lindsay Maguire" w:date="2022-01-21T10:10:00Z" w:initials="LM">
    <w:p w14:paraId="7F681FB8" w14:textId="3702515F" w:rsidR="00C60C8F" w:rsidRDefault="00C60C8F">
      <w:pPr>
        <w:pStyle w:val="CommentText"/>
      </w:pPr>
      <w:r>
        <w:rPr>
          <w:rStyle w:val="CommentReference"/>
        </w:rPr>
        <w:annotationRef/>
      </w:r>
      <w:r>
        <w:t>Data in ‘Actual QCs 2021’ tab</w:t>
      </w:r>
    </w:p>
  </w:comment>
  <w:comment w:id="28" w:author="Lindsay Maguire" w:date="2022-01-21T10:12:00Z" w:initials="LM">
    <w:p w14:paraId="046ECB01" w14:textId="5553AC62" w:rsidR="00815063" w:rsidRDefault="00815063">
      <w:pPr>
        <w:pStyle w:val="CommentText"/>
      </w:pPr>
      <w:r>
        <w:rPr>
          <w:rStyle w:val="CommentReference"/>
        </w:rPr>
        <w:annotationRef/>
      </w:r>
      <w:r>
        <w:t>Cell D65</w:t>
      </w:r>
    </w:p>
  </w:comment>
  <w:comment w:id="29" w:author="Lindsay Maguire" w:date="2022-01-21T10:13:00Z" w:initials="LM">
    <w:p w14:paraId="060921D8" w14:textId="75B9924F" w:rsidR="00815063" w:rsidRDefault="00815063">
      <w:pPr>
        <w:pStyle w:val="CommentText"/>
      </w:pPr>
      <w:r>
        <w:rPr>
          <w:rStyle w:val="CommentReference"/>
        </w:rPr>
        <w:annotationRef/>
      </w:r>
      <w:r>
        <w:t xml:space="preserve">DAPS104 doc on </w:t>
      </w:r>
      <w:proofErr w:type="spellStart"/>
      <w:r>
        <w:t>sharepoint</w:t>
      </w:r>
      <w:proofErr w:type="spellEnd"/>
    </w:p>
  </w:comment>
  <w:comment w:id="30" w:author="Lindsay Maguire" w:date="2022-01-21T10:14:00Z" w:initials="LM">
    <w:p w14:paraId="6CE81DBD" w14:textId="625AA2CD" w:rsidR="00815063" w:rsidRDefault="00815063">
      <w:pPr>
        <w:pStyle w:val="CommentText"/>
      </w:pPr>
      <w:r>
        <w:rPr>
          <w:rStyle w:val="CommentReference"/>
        </w:rPr>
        <w:annotationRef/>
      </w:r>
      <w:r>
        <w:t>‘DAPS.2 2021’ tab, cell H35</w:t>
      </w:r>
    </w:p>
  </w:comment>
  <w:comment w:id="31" w:author="Lindsay Maguire" w:date="2022-01-21T10:15:00Z" w:initials="LM">
    <w:p w14:paraId="4A24901E" w14:textId="567FDE41" w:rsidR="00815063" w:rsidRDefault="00815063">
      <w:pPr>
        <w:pStyle w:val="CommentText"/>
      </w:pPr>
      <w:r>
        <w:rPr>
          <w:rStyle w:val="CommentReference"/>
        </w:rPr>
        <w:annotationRef/>
      </w:r>
      <w:r>
        <w:t>Cell I35</w:t>
      </w:r>
    </w:p>
  </w:comment>
  <w:comment w:id="32" w:author="Lindsay Maguire" w:date="2022-01-21T10:15:00Z" w:initials="LM">
    <w:p w14:paraId="027E41CD" w14:textId="0AB49174" w:rsidR="00815063" w:rsidRDefault="00815063">
      <w:pPr>
        <w:pStyle w:val="CommentText"/>
      </w:pPr>
      <w:r>
        <w:rPr>
          <w:rStyle w:val="CommentReference"/>
        </w:rPr>
        <w:annotationRef/>
      </w:r>
      <w:r>
        <w:t>Cell V34</w:t>
      </w:r>
    </w:p>
  </w:comment>
  <w:comment w:id="33" w:author="Lindsay Maguire" w:date="2022-01-21T10:16:00Z" w:initials="LM">
    <w:p w14:paraId="4C3CD6C6" w14:textId="2A9707B6" w:rsidR="00815063" w:rsidRDefault="00815063">
      <w:pPr>
        <w:pStyle w:val="CommentText"/>
      </w:pPr>
      <w:r>
        <w:rPr>
          <w:rStyle w:val="CommentReference"/>
        </w:rPr>
        <w:annotationRef/>
      </w:r>
      <w:r>
        <w:t>Cell W34</w:t>
      </w:r>
    </w:p>
  </w:comment>
  <w:comment w:id="34" w:author="Lindsay Maguire" w:date="2022-01-21T12:56:00Z" w:initials="LM">
    <w:p w14:paraId="28F2D666" w14:textId="3514C5F5" w:rsidR="00CB0CD1" w:rsidRDefault="00CB0CD1">
      <w:pPr>
        <w:pStyle w:val="CommentText"/>
      </w:pPr>
      <w:r>
        <w:rPr>
          <w:rStyle w:val="CommentReference"/>
        </w:rPr>
        <w:annotationRef/>
      </w:r>
      <w:r>
        <w:t>This should be closed by the time of the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5985A2" w15:done="0"/>
  <w15:commentEx w15:paraId="3B67C731" w15:paraIdParent="2D5985A2" w15:done="0"/>
  <w15:commentEx w15:paraId="4FE33555" w15:done="0"/>
  <w15:commentEx w15:paraId="54BE3F5E" w15:done="0"/>
  <w15:commentEx w15:paraId="1A04358F" w15:done="0"/>
  <w15:commentEx w15:paraId="0C6E9C4D" w15:done="0"/>
  <w15:commentEx w15:paraId="4BA8C378" w15:done="0"/>
  <w15:commentEx w15:paraId="02EFA6E2" w15:done="0"/>
  <w15:commentEx w15:paraId="32D0A223" w15:paraIdParent="02EFA6E2" w15:done="0"/>
  <w15:commentEx w15:paraId="63A0A636" w15:done="0"/>
  <w15:commentEx w15:paraId="5385EF56" w15:done="0"/>
  <w15:commentEx w15:paraId="2EDD1E8A" w15:done="0"/>
  <w15:commentEx w15:paraId="432D817A" w15:paraIdParent="2EDD1E8A" w15:done="0"/>
  <w15:commentEx w15:paraId="0685D0B1" w15:done="0"/>
  <w15:commentEx w15:paraId="0DE8B4AC" w15:paraIdParent="0685D0B1" w15:done="0"/>
  <w15:commentEx w15:paraId="5A95F79C" w15:done="0"/>
  <w15:commentEx w15:paraId="6936F94F" w15:done="0"/>
  <w15:commentEx w15:paraId="1A0005F2" w15:done="0"/>
  <w15:commentEx w15:paraId="7C3B6CEC" w15:done="0"/>
  <w15:commentEx w15:paraId="03DA9522" w15:done="0"/>
  <w15:commentEx w15:paraId="3F4C4748" w15:paraIdParent="03DA9522" w15:done="0"/>
  <w15:commentEx w15:paraId="2C5EBED1" w15:done="0"/>
  <w15:commentEx w15:paraId="4237A396" w15:done="0"/>
  <w15:commentEx w15:paraId="2D58D002" w15:done="0"/>
  <w15:commentEx w15:paraId="29C3223E" w15:paraIdParent="2D58D002" w15:done="0"/>
  <w15:commentEx w15:paraId="7F681FB8" w15:done="0"/>
  <w15:commentEx w15:paraId="046ECB01" w15:done="0"/>
  <w15:commentEx w15:paraId="060921D8" w15:done="0"/>
  <w15:commentEx w15:paraId="6CE81DBD" w15:done="0"/>
  <w15:commentEx w15:paraId="4A24901E" w15:done="0"/>
  <w15:commentEx w15:paraId="027E41CD" w15:done="0"/>
  <w15:commentEx w15:paraId="4C3CD6C6" w15:done="0"/>
  <w15:commentEx w15:paraId="28F2D6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437AD" w16cex:dateUtc="2022-01-20T19:34:00Z"/>
  <w16cex:commentExtensible w16cex:durableId="259917CD" w16cex:dateUtc="2022-01-24T12:19:00Z"/>
  <w16cex:commentExtensible w16cex:durableId="2594FF9F" w16cex:dateUtc="2022-01-21T09:47:00Z"/>
  <w16cex:commentExtensible w16cex:durableId="2599192D" w16cex:dateUtc="2022-01-24T12:25:00Z"/>
  <w16cex:commentExtensible w16cex:durableId="2599197A" w16cex:dateUtc="2022-01-24T12:26:00Z"/>
  <w16cex:commentExtensible w16cex:durableId="2594FFD4" w16cex:dateUtc="2022-01-21T09:48:00Z"/>
  <w16cex:commentExtensible w16cex:durableId="2595002C" w16cex:dateUtc="2022-01-21T09:49:00Z"/>
  <w16cex:commentExtensible w16cex:durableId="2595005F" w16cex:dateUtc="2022-01-21T09:50:00Z"/>
  <w16cex:commentExtensible w16cex:durableId="25995162" w16cex:dateUtc="2022-01-24T16:25:00Z"/>
  <w16cex:commentExtensible w16cex:durableId="25950A48" w16cex:dateUtc="2022-01-21T10:32:00Z"/>
  <w16cex:commentExtensible w16cex:durableId="25950A5A" w16cex:dateUtc="2022-01-21T10:32:00Z"/>
  <w16cex:commentExtensible w16cex:durableId="259431D4" w16cex:dateUtc="2022-01-20T19:09:00Z"/>
  <w16cex:commentExtensible w16cex:durableId="259951D9" w16cex:dateUtc="2022-01-24T16:27:00Z"/>
  <w16cex:commentExtensible w16cex:durableId="25950475" w16cex:dateUtc="2022-01-21T10:07:00Z"/>
  <w16cex:commentExtensible w16cex:durableId="25995248" w16cex:dateUtc="2022-01-24T16:28:00Z"/>
  <w16cex:commentExtensible w16cex:durableId="2595048A" w16cex:dateUtc="2022-01-21T10:08:00Z"/>
  <w16cex:commentExtensible w16cex:durableId="259504AA" w16cex:dateUtc="2022-01-21T10:08:00Z"/>
  <w16cex:commentExtensible w16cex:durableId="259504CB" w16cex:dateUtc="2022-01-21T10:09:00Z"/>
  <w16cex:commentExtensible w16cex:durableId="25951B1F" w16cex:dateUtc="2022-01-21T11:44:00Z"/>
  <w16cex:commentExtensible w16cex:durableId="25951BBF" w16cex:dateUtc="2022-01-21T11:47:00Z"/>
  <w16cex:commentExtensible w16cex:durableId="259952C5" w16cex:dateUtc="2022-01-24T16:31:00Z"/>
  <w16cex:commentExtensible w16cex:durableId="25951C6E" w16cex:dateUtc="2022-01-21T11:50:00Z"/>
  <w16cex:commentExtensible w16cex:durableId="2599532C" w16cex:dateUtc="2022-01-24T16:32:00Z"/>
  <w16cex:commentExtensible w16cex:durableId="2595203A" w16cex:dateUtc="2022-01-21T12:06:00Z"/>
  <w16cex:commentExtensible w16cex:durableId="2599537C" w16cex:dateUtc="2022-01-24T16:34:00Z"/>
  <w16cex:commentExtensible w16cex:durableId="25950506" w16cex:dateUtc="2022-01-21T10:10:00Z"/>
  <w16cex:commentExtensible w16cex:durableId="259505A7" w16cex:dateUtc="2022-01-21T10:12:00Z"/>
  <w16cex:commentExtensible w16cex:durableId="259505C8" w16cex:dateUtc="2022-01-21T10:13:00Z"/>
  <w16cex:commentExtensible w16cex:durableId="2595060A" w16cex:dateUtc="2022-01-21T10:14:00Z"/>
  <w16cex:commentExtensible w16cex:durableId="25950634" w16cex:dateUtc="2022-01-21T10:15:00Z"/>
  <w16cex:commentExtensible w16cex:durableId="25950648" w16cex:dateUtc="2022-01-21T10:15:00Z"/>
  <w16cex:commentExtensible w16cex:durableId="25950666" w16cex:dateUtc="2022-01-21T10:16:00Z"/>
  <w16cex:commentExtensible w16cex:durableId="25952BEB" w16cex:dateUtc="2022-01-21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5985A2" w16cid:durableId="259437AD"/>
  <w16cid:commentId w16cid:paraId="3B67C731" w16cid:durableId="259917CD"/>
  <w16cid:commentId w16cid:paraId="4FE33555" w16cid:durableId="2594FF9F"/>
  <w16cid:commentId w16cid:paraId="54BE3F5E" w16cid:durableId="2599192D"/>
  <w16cid:commentId w16cid:paraId="1A04358F" w16cid:durableId="2599197A"/>
  <w16cid:commentId w16cid:paraId="0C6E9C4D" w16cid:durableId="2594FFD4"/>
  <w16cid:commentId w16cid:paraId="4BA8C378" w16cid:durableId="2595002C"/>
  <w16cid:commentId w16cid:paraId="02EFA6E2" w16cid:durableId="2595005F"/>
  <w16cid:commentId w16cid:paraId="32D0A223" w16cid:durableId="25995162"/>
  <w16cid:commentId w16cid:paraId="63A0A636" w16cid:durableId="25950A48"/>
  <w16cid:commentId w16cid:paraId="5385EF56" w16cid:durableId="25950A5A"/>
  <w16cid:commentId w16cid:paraId="2EDD1E8A" w16cid:durableId="259431D4"/>
  <w16cid:commentId w16cid:paraId="432D817A" w16cid:durableId="259951D9"/>
  <w16cid:commentId w16cid:paraId="0685D0B1" w16cid:durableId="25950475"/>
  <w16cid:commentId w16cid:paraId="0DE8B4AC" w16cid:durableId="25995248"/>
  <w16cid:commentId w16cid:paraId="5A95F79C" w16cid:durableId="2595048A"/>
  <w16cid:commentId w16cid:paraId="6936F94F" w16cid:durableId="259504AA"/>
  <w16cid:commentId w16cid:paraId="1A0005F2" w16cid:durableId="259504CB"/>
  <w16cid:commentId w16cid:paraId="7C3B6CEC" w16cid:durableId="25951B1F"/>
  <w16cid:commentId w16cid:paraId="03DA9522" w16cid:durableId="25951BBF"/>
  <w16cid:commentId w16cid:paraId="3F4C4748" w16cid:durableId="259952C5"/>
  <w16cid:commentId w16cid:paraId="2C5EBED1" w16cid:durableId="25951C6E"/>
  <w16cid:commentId w16cid:paraId="4237A396" w16cid:durableId="2599532C"/>
  <w16cid:commentId w16cid:paraId="2D58D002" w16cid:durableId="2595203A"/>
  <w16cid:commentId w16cid:paraId="29C3223E" w16cid:durableId="2599537C"/>
  <w16cid:commentId w16cid:paraId="7F681FB8" w16cid:durableId="25950506"/>
  <w16cid:commentId w16cid:paraId="046ECB01" w16cid:durableId="259505A7"/>
  <w16cid:commentId w16cid:paraId="060921D8" w16cid:durableId="259505C8"/>
  <w16cid:commentId w16cid:paraId="6CE81DBD" w16cid:durableId="2595060A"/>
  <w16cid:commentId w16cid:paraId="4A24901E" w16cid:durableId="25950634"/>
  <w16cid:commentId w16cid:paraId="027E41CD" w16cid:durableId="25950648"/>
  <w16cid:commentId w16cid:paraId="4C3CD6C6" w16cid:durableId="25950666"/>
  <w16cid:commentId w16cid:paraId="28F2D666" w16cid:durableId="25952B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D9CA5" w14:textId="77777777" w:rsidR="0043214E" w:rsidRDefault="0043214E" w:rsidP="00D72E1D">
      <w:pPr>
        <w:spacing w:after="0" w:line="240" w:lineRule="auto"/>
      </w:pPr>
      <w:r>
        <w:separator/>
      </w:r>
    </w:p>
  </w:endnote>
  <w:endnote w:type="continuationSeparator" w:id="0">
    <w:p w14:paraId="07DA68E1" w14:textId="77777777" w:rsidR="0043214E" w:rsidRDefault="0043214E" w:rsidP="00D72E1D">
      <w:pPr>
        <w:spacing w:after="0" w:line="240" w:lineRule="auto"/>
      </w:pPr>
      <w:r>
        <w:continuationSeparator/>
      </w:r>
    </w:p>
  </w:endnote>
  <w:endnote w:type="continuationNotice" w:id="1">
    <w:p w14:paraId="5F59DF30" w14:textId="77777777" w:rsidR="0043214E" w:rsidRDefault="004321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EBFFA" w14:textId="727E2BBE" w:rsidR="00385308" w:rsidRDefault="00385308" w:rsidP="00C808E4">
    <w:pPr>
      <w:pStyle w:val="Footer"/>
      <w:rPr>
        <w:rFonts w:cs="Times New Roman"/>
      </w:rPr>
    </w:pPr>
    <w:r w:rsidRPr="00E7045D">
      <w:rPr>
        <w:rFonts w:cs="Times New Roman"/>
      </w:rPr>
      <w:t xml:space="preserve">Page </w:t>
    </w:r>
    <w:r w:rsidRPr="00E7045D">
      <w:rPr>
        <w:rFonts w:cs="Times New Roman"/>
      </w:rPr>
      <w:fldChar w:fldCharType="begin"/>
    </w:r>
    <w:r w:rsidRPr="00E7045D">
      <w:rPr>
        <w:rFonts w:cs="Times New Roman"/>
      </w:rPr>
      <w:instrText xml:space="preserve"> PAGE  \* Arabic  \* MERGEFORMAT </w:instrText>
    </w:r>
    <w:r w:rsidRPr="00E7045D">
      <w:rPr>
        <w:rFonts w:cs="Times New Roman"/>
      </w:rPr>
      <w:fldChar w:fldCharType="separate"/>
    </w:r>
    <w:r>
      <w:rPr>
        <w:rFonts w:cs="Times New Roman"/>
        <w:noProof/>
      </w:rPr>
      <w:t>4</w:t>
    </w:r>
    <w:r w:rsidRPr="00E7045D">
      <w:rPr>
        <w:rFonts w:cs="Times New Roman"/>
      </w:rPr>
      <w:fldChar w:fldCharType="end"/>
    </w:r>
    <w:r w:rsidRPr="00E7045D">
      <w:rPr>
        <w:rFonts w:cs="Times New Roman"/>
      </w:rPr>
      <w:t xml:space="preserve"> of </w:t>
    </w:r>
    <w:r w:rsidRPr="00E7045D">
      <w:rPr>
        <w:rFonts w:cs="Times New Roman"/>
      </w:rPr>
      <w:fldChar w:fldCharType="begin"/>
    </w:r>
    <w:r w:rsidRPr="00E7045D">
      <w:rPr>
        <w:rFonts w:cs="Times New Roman"/>
      </w:rPr>
      <w:instrText xml:space="preserve"> NUMPAGES  \* Arabic  \* MERGEFORMAT </w:instrText>
    </w:r>
    <w:r w:rsidRPr="00E7045D">
      <w:rPr>
        <w:rFonts w:cs="Times New Roman"/>
      </w:rPr>
      <w:fldChar w:fldCharType="separate"/>
    </w:r>
    <w:r>
      <w:rPr>
        <w:rFonts w:cs="Times New Roman"/>
        <w:noProof/>
      </w:rPr>
      <w:t>7</w:t>
    </w:r>
    <w:r w:rsidRPr="00E7045D">
      <w:rPr>
        <w:rFonts w:cs="Times New Roman"/>
        <w:noProof/>
      </w:rPr>
      <w:fldChar w:fldCharType="end"/>
    </w:r>
    <w:r w:rsidRPr="00E7045D">
      <w:rPr>
        <w:rFonts w:cs="Times New Roman"/>
      </w:rPr>
      <w:tab/>
    </w:r>
    <w:proofErr w:type="gramStart"/>
    <w:r w:rsidRPr="00E7045D">
      <w:rPr>
        <w:rFonts w:cs="Times New Roman"/>
      </w:rPr>
      <w:t>Author</w:t>
    </w:r>
    <w:r>
      <w:rPr>
        <w:rFonts w:cs="Times New Roman"/>
      </w:rPr>
      <w:t xml:space="preserve"> </w:t>
    </w:r>
    <w:r w:rsidRPr="00E7045D">
      <w:rPr>
        <w:rFonts w:cs="Times New Roman"/>
      </w:rPr>
      <w:t>:</w:t>
    </w:r>
    <w:proofErr w:type="gramEnd"/>
    <w:r>
      <w:rPr>
        <w:rFonts w:cs="Times New Roman"/>
      </w:rPr>
      <w:t xml:space="preserve"> </w:t>
    </w:r>
    <w:r w:rsidR="0027174E">
      <w:rPr>
        <w:rFonts w:cs="Times New Roman"/>
      </w:rPr>
      <w:t>Lindsay Maguire</w:t>
    </w:r>
    <w:r w:rsidRPr="00E7045D">
      <w:rPr>
        <w:rFonts w:cs="Times New Roman"/>
      </w:rPr>
      <w:tab/>
    </w:r>
    <w:r w:rsidR="0027174E">
      <w:rPr>
        <w:rFonts w:cs="Times New Roman"/>
      </w:rPr>
      <w:t>21</w:t>
    </w:r>
    <w:r w:rsidR="00985EA4">
      <w:rPr>
        <w:rFonts w:cs="Times New Roman"/>
      </w:rPr>
      <w:t>/01/202</w:t>
    </w:r>
    <w:r w:rsidR="0027174E">
      <w:rPr>
        <w:rFonts w:cs="Times New Roman"/>
      </w:rPr>
      <w:t>2</w:t>
    </w:r>
    <w:r>
      <w:rPr>
        <w:rFonts w:cs="Times New Roman"/>
      </w:rPr>
      <w:t xml:space="preserve"> </w:t>
    </w:r>
  </w:p>
  <w:p w14:paraId="1BBAF985" w14:textId="4D58930B" w:rsidR="00385308" w:rsidRPr="00E7045D" w:rsidRDefault="00385308" w:rsidP="00C808E4">
    <w:pPr>
      <w:pStyle w:val="Footer"/>
      <w:rPr>
        <w:rFonts w:cs="Times New Roman"/>
      </w:rPr>
    </w:pPr>
    <w:r>
      <w:rPr>
        <w:rFonts w:cs="Times New Roman"/>
      </w:rPr>
      <w:tab/>
    </w:r>
    <w:r>
      <w:rPr>
        <w:rFonts w:cs="Times New Roman"/>
      </w:rPr>
      <w:tab/>
      <w:t>(</w:t>
    </w:r>
    <w:proofErr w:type="gramStart"/>
    <w:r>
      <w:rPr>
        <w:rFonts w:cs="Times New Roman"/>
      </w:rPr>
      <w:t>reviewed</w:t>
    </w:r>
    <w:proofErr w:type="gramEnd"/>
    <w:r>
      <w:rPr>
        <w:rFonts w:cs="Times New Roman"/>
      </w:rPr>
      <w:t xml:space="preserve"> by</w:t>
    </w:r>
    <w:r w:rsidR="0027174E">
      <w:rPr>
        <w:rFonts w:cs="Times New Roman"/>
      </w:rPr>
      <w:t xml:space="preserve"> Hannah Ford</w:t>
    </w:r>
    <w:r>
      <w:rPr>
        <w:rFonts w:cs="Times New Roma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85475" w14:textId="77777777" w:rsidR="0043214E" w:rsidRDefault="0043214E" w:rsidP="00D72E1D">
      <w:pPr>
        <w:spacing w:after="0" w:line="240" w:lineRule="auto"/>
      </w:pPr>
      <w:r>
        <w:separator/>
      </w:r>
    </w:p>
  </w:footnote>
  <w:footnote w:type="continuationSeparator" w:id="0">
    <w:p w14:paraId="0FCD0D1D" w14:textId="77777777" w:rsidR="0043214E" w:rsidRDefault="0043214E" w:rsidP="00D72E1D">
      <w:pPr>
        <w:spacing w:after="0" w:line="240" w:lineRule="auto"/>
      </w:pPr>
      <w:r>
        <w:continuationSeparator/>
      </w:r>
    </w:p>
  </w:footnote>
  <w:footnote w:type="continuationNotice" w:id="1">
    <w:p w14:paraId="77622174" w14:textId="77777777" w:rsidR="0043214E" w:rsidRDefault="0043214E">
      <w:pPr>
        <w:spacing w:after="0" w:line="240" w:lineRule="auto"/>
      </w:pPr>
    </w:p>
  </w:footnote>
  <w:footnote w:id="2">
    <w:p w14:paraId="4D23EC42" w14:textId="0B6EAA33" w:rsidR="00385308" w:rsidRDefault="00385308" w:rsidP="007C0E43">
      <w:pPr>
        <w:pStyle w:val="FootnoteText"/>
      </w:pPr>
      <w:r>
        <w:rPr>
          <w:rStyle w:val="FootnoteReference"/>
        </w:rPr>
        <w:footnoteRef/>
      </w:r>
      <w:r>
        <w:t xml:space="preserve"> UNCERTAINTY For Operating Procedure 221 Document U221.V03 (2007):</w:t>
      </w:r>
    </w:p>
    <w:p w14:paraId="47758D00" w14:textId="2F841D87" w:rsidR="00385308" w:rsidRDefault="0043214E" w:rsidP="007C0E43">
      <w:pPr>
        <w:pStyle w:val="FootnoteText"/>
      </w:pPr>
      <w:hyperlink r:id="rId1" w:history="1">
        <w:r w:rsidR="00385308" w:rsidRPr="00EA56B7">
          <w:rPr>
            <w:rStyle w:val="Hyperlink"/>
          </w:rPr>
          <w:t>https://365swri.sharepoint.com/:b:/r/quality/Quality%20System%20Document%20Library/Uncertainty/Uncertainty%20for%20OP221.pdf?csf=1</w:t>
        </w:r>
      </w:hyperlink>
      <w:r w:rsidR="00385308">
        <w:t xml:space="preserve"> </w:t>
      </w:r>
    </w:p>
    <w:p w14:paraId="0B1767E0" w14:textId="07AA8792" w:rsidR="00385308" w:rsidRDefault="00385308">
      <w:pPr>
        <w:pStyle w:val="FootnoteText"/>
      </w:pPr>
    </w:p>
  </w:footnote>
  <w:footnote w:id="3">
    <w:p w14:paraId="0DE83F27" w14:textId="341F92DA" w:rsidR="00385308" w:rsidRDefault="00385308" w:rsidP="0055158A">
      <w:pPr>
        <w:pStyle w:val="FootnoteText"/>
      </w:pPr>
      <w:r>
        <w:rPr>
          <w:rStyle w:val="FootnoteReference"/>
        </w:rPr>
        <w:footnoteRef/>
      </w:r>
      <w:r>
        <w:t xml:space="preserve"> UNCERTAINTY For Operating Procedure 222 (2007):</w:t>
      </w:r>
    </w:p>
    <w:p w14:paraId="3A51927B" w14:textId="666D57FE" w:rsidR="00385308" w:rsidRDefault="0043214E" w:rsidP="0055158A">
      <w:pPr>
        <w:pStyle w:val="FootnoteText"/>
      </w:pPr>
      <w:hyperlink r:id="rId2" w:history="1">
        <w:r w:rsidR="00385308" w:rsidRPr="00EA56B7">
          <w:rPr>
            <w:rStyle w:val="Hyperlink"/>
          </w:rPr>
          <w:t>https://365swri.sharepoint.com/:b:/r/quality/Quality%20System%20Document%20Library/Uncertainty/Uncertainty%20for%20OP222.pdf?csf=1</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23090" w14:textId="77777777" w:rsidR="00385308" w:rsidRDefault="00385308" w:rsidP="00B32846">
    <w:pPr>
      <w:pStyle w:val="Header"/>
      <w:jc w:val="center"/>
    </w:pPr>
    <w:r>
      <w:rPr>
        <w:noProof/>
        <w:lang w:eastAsia="en-GB"/>
      </w:rPr>
      <w:drawing>
        <wp:inline distT="0" distB="0" distL="0" distR="0" wp14:anchorId="4A423092" wp14:editId="4A423093">
          <wp:extent cx="74295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381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314C"/>
    <w:multiLevelType w:val="hybridMultilevel"/>
    <w:tmpl w:val="46FA7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3A4711"/>
    <w:multiLevelType w:val="hybridMultilevel"/>
    <w:tmpl w:val="54C68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483557"/>
    <w:multiLevelType w:val="hybridMultilevel"/>
    <w:tmpl w:val="2C5E91F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8A315F"/>
    <w:multiLevelType w:val="hybridMultilevel"/>
    <w:tmpl w:val="68C0F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D5515C"/>
    <w:multiLevelType w:val="hybridMultilevel"/>
    <w:tmpl w:val="2C5E91F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B47492"/>
    <w:multiLevelType w:val="hybridMultilevel"/>
    <w:tmpl w:val="C7E8C4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67F26B24"/>
    <w:multiLevelType w:val="hybridMultilevel"/>
    <w:tmpl w:val="1C648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2E65A6"/>
    <w:multiLevelType w:val="hybridMultilevel"/>
    <w:tmpl w:val="AC560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7F138B"/>
    <w:multiLevelType w:val="hybridMultilevel"/>
    <w:tmpl w:val="4E6A8B66"/>
    <w:lvl w:ilvl="0" w:tplc="C78E4BBE">
      <w:start w:val="4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0"/>
  </w:num>
  <w:num w:numId="5">
    <w:abstractNumId w:val="6"/>
  </w:num>
  <w:num w:numId="6">
    <w:abstractNumId w:val="8"/>
  </w:num>
  <w:num w:numId="7">
    <w:abstractNumId w:val="5"/>
  </w:num>
  <w:num w:numId="8">
    <w:abstractNumId w:val="1"/>
  </w:num>
  <w:num w:numId="9">
    <w:abstractNumId w:val="3"/>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say Maguire">
    <w15:presenceInfo w15:providerId="AD" w15:userId="S::lm@swri.co.uk::6a6c788d-be63-439c-935a-b24dbf97207f"/>
  </w15:person>
  <w15:person w15:author="Hannah Ford">
    <w15:presenceInfo w15:providerId="AD" w15:userId="S::hf@swri.co.uk::cf393ec4-fd92-42f7-84d3-093280b6bd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5A"/>
    <w:rsid w:val="00000A73"/>
    <w:rsid w:val="00006F81"/>
    <w:rsid w:val="0001097C"/>
    <w:rsid w:val="00010D43"/>
    <w:rsid w:val="00012271"/>
    <w:rsid w:val="00015E23"/>
    <w:rsid w:val="0001756D"/>
    <w:rsid w:val="0002059A"/>
    <w:rsid w:val="000227FA"/>
    <w:rsid w:val="000265EE"/>
    <w:rsid w:val="00030EAA"/>
    <w:rsid w:val="00031F10"/>
    <w:rsid w:val="0003284F"/>
    <w:rsid w:val="00033106"/>
    <w:rsid w:val="000448F7"/>
    <w:rsid w:val="000519FE"/>
    <w:rsid w:val="00056DFD"/>
    <w:rsid w:val="00063B39"/>
    <w:rsid w:val="00066507"/>
    <w:rsid w:val="00066DEF"/>
    <w:rsid w:val="000746C9"/>
    <w:rsid w:val="000807B8"/>
    <w:rsid w:val="00086112"/>
    <w:rsid w:val="00087B68"/>
    <w:rsid w:val="00090159"/>
    <w:rsid w:val="00096A4A"/>
    <w:rsid w:val="000A617D"/>
    <w:rsid w:val="000A705B"/>
    <w:rsid w:val="000B0D2F"/>
    <w:rsid w:val="000B13A4"/>
    <w:rsid w:val="000B64FB"/>
    <w:rsid w:val="000C1C01"/>
    <w:rsid w:val="000C61B9"/>
    <w:rsid w:val="000C6616"/>
    <w:rsid w:val="000E389B"/>
    <w:rsid w:val="000E450C"/>
    <w:rsid w:val="000E4635"/>
    <w:rsid w:val="000E6D0D"/>
    <w:rsid w:val="000F309D"/>
    <w:rsid w:val="000F42F9"/>
    <w:rsid w:val="000F53A7"/>
    <w:rsid w:val="00100B8B"/>
    <w:rsid w:val="0010228D"/>
    <w:rsid w:val="001028CD"/>
    <w:rsid w:val="00102A53"/>
    <w:rsid w:val="00104FBF"/>
    <w:rsid w:val="00106F85"/>
    <w:rsid w:val="001127FB"/>
    <w:rsid w:val="00116A59"/>
    <w:rsid w:val="00117AFC"/>
    <w:rsid w:val="00117E08"/>
    <w:rsid w:val="00120424"/>
    <w:rsid w:val="001237E1"/>
    <w:rsid w:val="00126185"/>
    <w:rsid w:val="00135987"/>
    <w:rsid w:val="00142897"/>
    <w:rsid w:val="00153125"/>
    <w:rsid w:val="0016025B"/>
    <w:rsid w:val="00162225"/>
    <w:rsid w:val="001637DD"/>
    <w:rsid w:val="0017070A"/>
    <w:rsid w:val="00171956"/>
    <w:rsid w:val="001743EA"/>
    <w:rsid w:val="001764D7"/>
    <w:rsid w:val="00177B46"/>
    <w:rsid w:val="00184E07"/>
    <w:rsid w:val="00191D7A"/>
    <w:rsid w:val="00196DBD"/>
    <w:rsid w:val="00197C67"/>
    <w:rsid w:val="001A2549"/>
    <w:rsid w:val="001A4673"/>
    <w:rsid w:val="001A4DA2"/>
    <w:rsid w:val="001A7AD6"/>
    <w:rsid w:val="001B106B"/>
    <w:rsid w:val="001B4813"/>
    <w:rsid w:val="001C6C48"/>
    <w:rsid w:val="001D22CE"/>
    <w:rsid w:val="001D3955"/>
    <w:rsid w:val="001D7092"/>
    <w:rsid w:val="001E0956"/>
    <w:rsid w:val="001E1FA3"/>
    <w:rsid w:val="001E33FC"/>
    <w:rsid w:val="001E725C"/>
    <w:rsid w:val="001F1D6F"/>
    <w:rsid w:val="001F341D"/>
    <w:rsid w:val="001F35CF"/>
    <w:rsid w:val="001F601C"/>
    <w:rsid w:val="00201D48"/>
    <w:rsid w:val="0020236B"/>
    <w:rsid w:val="00206951"/>
    <w:rsid w:val="002108CE"/>
    <w:rsid w:val="0022055A"/>
    <w:rsid w:val="00226E12"/>
    <w:rsid w:val="002326EA"/>
    <w:rsid w:val="00232969"/>
    <w:rsid w:val="00237F68"/>
    <w:rsid w:val="002413B9"/>
    <w:rsid w:val="0024455E"/>
    <w:rsid w:val="00252174"/>
    <w:rsid w:val="00252530"/>
    <w:rsid w:val="002541D7"/>
    <w:rsid w:val="00257C94"/>
    <w:rsid w:val="00263EFB"/>
    <w:rsid w:val="0026483F"/>
    <w:rsid w:val="00264F9F"/>
    <w:rsid w:val="002660E9"/>
    <w:rsid w:val="0027174E"/>
    <w:rsid w:val="0028215C"/>
    <w:rsid w:val="00283A31"/>
    <w:rsid w:val="00284D07"/>
    <w:rsid w:val="00287975"/>
    <w:rsid w:val="00293C83"/>
    <w:rsid w:val="002971C4"/>
    <w:rsid w:val="002A0645"/>
    <w:rsid w:val="002A62A4"/>
    <w:rsid w:val="002A65D7"/>
    <w:rsid w:val="002A6AF7"/>
    <w:rsid w:val="002B12EA"/>
    <w:rsid w:val="002B3301"/>
    <w:rsid w:val="002C243C"/>
    <w:rsid w:val="002C24A1"/>
    <w:rsid w:val="002C3454"/>
    <w:rsid w:val="002C78E5"/>
    <w:rsid w:val="002D3635"/>
    <w:rsid w:val="002D5619"/>
    <w:rsid w:val="002D567F"/>
    <w:rsid w:val="002F2599"/>
    <w:rsid w:val="002F2B54"/>
    <w:rsid w:val="002F63FB"/>
    <w:rsid w:val="002F791E"/>
    <w:rsid w:val="0031277B"/>
    <w:rsid w:val="00315C89"/>
    <w:rsid w:val="00332F8E"/>
    <w:rsid w:val="003416E0"/>
    <w:rsid w:val="0034261D"/>
    <w:rsid w:val="00342A7B"/>
    <w:rsid w:val="00346055"/>
    <w:rsid w:val="00346639"/>
    <w:rsid w:val="0035054D"/>
    <w:rsid w:val="00350584"/>
    <w:rsid w:val="003547FD"/>
    <w:rsid w:val="003640BF"/>
    <w:rsid w:val="00381AF6"/>
    <w:rsid w:val="00381E74"/>
    <w:rsid w:val="00385308"/>
    <w:rsid w:val="00385E58"/>
    <w:rsid w:val="0039518C"/>
    <w:rsid w:val="003A0D42"/>
    <w:rsid w:val="003A6A8D"/>
    <w:rsid w:val="003B0AAC"/>
    <w:rsid w:val="003B2C54"/>
    <w:rsid w:val="003B5CDF"/>
    <w:rsid w:val="003B5DFD"/>
    <w:rsid w:val="003C08A7"/>
    <w:rsid w:val="003C1D85"/>
    <w:rsid w:val="003C24AA"/>
    <w:rsid w:val="003C6BD4"/>
    <w:rsid w:val="003C7893"/>
    <w:rsid w:val="003D0D01"/>
    <w:rsid w:val="003D11E3"/>
    <w:rsid w:val="003D2F28"/>
    <w:rsid w:val="003D43EA"/>
    <w:rsid w:val="003D7D0A"/>
    <w:rsid w:val="003E0B6F"/>
    <w:rsid w:val="003E1B15"/>
    <w:rsid w:val="003E6F39"/>
    <w:rsid w:val="003F4D83"/>
    <w:rsid w:val="003F4E48"/>
    <w:rsid w:val="003F6971"/>
    <w:rsid w:val="003F6ACD"/>
    <w:rsid w:val="0040234F"/>
    <w:rsid w:val="00402463"/>
    <w:rsid w:val="00402D64"/>
    <w:rsid w:val="004234CF"/>
    <w:rsid w:val="0042401D"/>
    <w:rsid w:val="004255A9"/>
    <w:rsid w:val="0043214E"/>
    <w:rsid w:val="00435CF9"/>
    <w:rsid w:val="00436A26"/>
    <w:rsid w:val="00450354"/>
    <w:rsid w:val="00450F2E"/>
    <w:rsid w:val="00455A56"/>
    <w:rsid w:val="0045600F"/>
    <w:rsid w:val="00463F5A"/>
    <w:rsid w:val="004739A6"/>
    <w:rsid w:val="0047683B"/>
    <w:rsid w:val="004775EA"/>
    <w:rsid w:val="00482E28"/>
    <w:rsid w:val="00485CC4"/>
    <w:rsid w:val="00486D77"/>
    <w:rsid w:val="0049184E"/>
    <w:rsid w:val="004933FB"/>
    <w:rsid w:val="00493C49"/>
    <w:rsid w:val="004A15FC"/>
    <w:rsid w:val="004A1A5C"/>
    <w:rsid w:val="004A6A23"/>
    <w:rsid w:val="004A702B"/>
    <w:rsid w:val="004B1810"/>
    <w:rsid w:val="004B6B68"/>
    <w:rsid w:val="004C5256"/>
    <w:rsid w:val="004C7A98"/>
    <w:rsid w:val="004D171C"/>
    <w:rsid w:val="004D23E9"/>
    <w:rsid w:val="004E0BA4"/>
    <w:rsid w:val="004E26FC"/>
    <w:rsid w:val="004E5662"/>
    <w:rsid w:val="004E6F6A"/>
    <w:rsid w:val="004F048D"/>
    <w:rsid w:val="004F6A44"/>
    <w:rsid w:val="00501885"/>
    <w:rsid w:val="00506B59"/>
    <w:rsid w:val="00512B4C"/>
    <w:rsid w:val="005132DA"/>
    <w:rsid w:val="00513831"/>
    <w:rsid w:val="00535240"/>
    <w:rsid w:val="00537E0B"/>
    <w:rsid w:val="005416EB"/>
    <w:rsid w:val="00544BBD"/>
    <w:rsid w:val="0055158A"/>
    <w:rsid w:val="00562AA0"/>
    <w:rsid w:val="00572466"/>
    <w:rsid w:val="005738EA"/>
    <w:rsid w:val="00573DB6"/>
    <w:rsid w:val="00574E45"/>
    <w:rsid w:val="00593EDC"/>
    <w:rsid w:val="00596FCF"/>
    <w:rsid w:val="005A2C25"/>
    <w:rsid w:val="005A5843"/>
    <w:rsid w:val="005A7008"/>
    <w:rsid w:val="005B072F"/>
    <w:rsid w:val="005B14F1"/>
    <w:rsid w:val="005B66CD"/>
    <w:rsid w:val="005C601E"/>
    <w:rsid w:val="005D1C57"/>
    <w:rsid w:val="005E3418"/>
    <w:rsid w:val="00601E88"/>
    <w:rsid w:val="00603A2C"/>
    <w:rsid w:val="006071A6"/>
    <w:rsid w:val="00610FE0"/>
    <w:rsid w:val="00615256"/>
    <w:rsid w:val="00615E12"/>
    <w:rsid w:val="00625600"/>
    <w:rsid w:val="0062769D"/>
    <w:rsid w:val="0063064C"/>
    <w:rsid w:val="00630C1A"/>
    <w:rsid w:val="00641A59"/>
    <w:rsid w:val="006470A0"/>
    <w:rsid w:val="006728D0"/>
    <w:rsid w:val="006778BB"/>
    <w:rsid w:val="0068098E"/>
    <w:rsid w:val="00683AC3"/>
    <w:rsid w:val="0068558D"/>
    <w:rsid w:val="006873A6"/>
    <w:rsid w:val="006924DF"/>
    <w:rsid w:val="006A1278"/>
    <w:rsid w:val="006A1946"/>
    <w:rsid w:val="006A1DAD"/>
    <w:rsid w:val="006A54E8"/>
    <w:rsid w:val="006A72A7"/>
    <w:rsid w:val="006A7D00"/>
    <w:rsid w:val="006B1A37"/>
    <w:rsid w:val="006B250E"/>
    <w:rsid w:val="006B5542"/>
    <w:rsid w:val="006C019F"/>
    <w:rsid w:val="006C123E"/>
    <w:rsid w:val="006C3902"/>
    <w:rsid w:val="006C5946"/>
    <w:rsid w:val="006C5A08"/>
    <w:rsid w:val="006D7A46"/>
    <w:rsid w:val="006E3059"/>
    <w:rsid w:val="006E4499"/>
    <w:rsid w:val="006E63F1"/>
    <w:rsid w:val="006E78D5"/>
    <w:rsid w:val="006F2623"/>
    <w:rsid w:val="006F546D"/>
    <w:rsid w:val="00702CD2"/>
    <w:rsid w:val="00703CE8"/>
    <w:rsid w:val="0071219F"/>
    <w:rsid w:val="007124DB"/>
    <w:rsid w:val="00712F86"/>
    <w:rsid w:val="00713805"/>
    <w:rsid w:val="00715AF1"/>
    <w:rsid w:val="0072548D"/>
    <w:rsid w:val="00731C0F"/>
    <w:rsid w:val="00731D55"/>
    <w:rsid w:val="0073212B"/>
    <w:rsid w:val="00746CC1"/>
    <w:rsid w:val="00757D15"/>
    <w:rsid w:val="00767E2B"/>
    <w:rsid w:val="00770F7A"/>
    <w:rsid w:val="0078042A"/>
    <w:rsid w:val="00783A2D"/>
    <w:rsid w:val="00785C19"/>
    <w:rsid w:val="007A2AC5"/>
    <w:rsid w:val="007A363A"/>
    <w:rsid w:val="007A37BF"/>
    <w:rsid w:val="007A5CEB"/>
    <w:rsid w:val="007A78A7"/>
    <w:rsid w:val="007A7FF4"/>
    <w:rsid w:val="007B4D2E"/>
    <w:rsid w:val="007B737C"/>
    <w:rsid w:val="007B7889"/>
    <w:rsid w:val="007C0E43"/>
    <w:rsid w:val="007C3BBD"/>
    <w:rsid w:val="007D0E2D"/>
    <w:rsid w:val="007D3A05"/>
    <w:rsid w:val="007E1132"/>
    <w:rsid w:val="007E76F2"/>
    <w:rsid w:val="0080439E"/>
    <w:rsid w:val="008079FC"/>
    <w:rsid w:val="00815063"/>
    <w:rsid w:val="00815E76"/>
    <w:rsid w:val="0081602E"/>
    <w:rsid w:val="00817FC9"/>
    <w:rsid w:val="00821231"/>
    <w:rsid w:val="00821D2B"/>
    <w:rsid w:val="00826351"/>
    <w:rsid w:val="00834A8D"/>
    <w:rsid w:val="00835A8C"/>
    <w:rsid w:val="00835FBB"/>
    <w:rsid w:val="008413DB"/>
    <w:rsid w:val="00846B0D"/>
    <w:rsid w:val="0084787A"/>
    <w:rsid w:val="00850CF9"/>
    <w:rsid w:val="0086553A"/>
    <w:rsid w:val="00884E9E"/>
    <w:rsid w:val="00890233"/>
    <w:rsid w:val="0089545D"/>
    <w:rsid w:val="008A1C04"/>
    <w:rsid w:val="008A3BAE"/>
    <w:rsid w:val="008A7B79"/>
    <w:rsid w:val="008B297C"/>
    <w:rsid w:val="008B646D"/>
    <w:rsid w:val="008B69FC"/>
    <w:rsid w:val="008B6D7D"/>
    <w:rsid w:val="008C2C23"/>
    <w:rsid w:val="008C67DA"/>
    <w:rsid w:val="008C6AF0"/>
    <w:rsid w:val="008E0ADF"/>
    <w:rsid w:val="008E3249"/>
    <w:rsid w:val="008E76AC"/>
    <w:rsid w:val="008F1DD9"/>
    <w:rsid w:val="008F2484"/>
    <w:rsid w:val="008F473D"/>
    <w:rsid w:val="008F576A"/>
    <w:rsid w:val="008F7985"/>
    <w:rsid w:val="00905175"/>
    <w:rsid w:val="00907059"/>
    <w:rsid w:val="00917DDB"/>
    <w:rsid w:val="00927252"/>
    <w:rsid w:val="00927AB4"/>
    <w:rsid w:val="00937C64"/>
    <w:rsid w:val="00937F6F"/>
    <w:rsid w:val="00941A7A"/>
    <w:rsid w:val="00942079"/>
    <w:rsid w:val="00946E32"/>
    <w:rsid w:val="009475B3"/>
    <w:rsid w:val="009537A5"/>
    <w:rsid w:val="00956778"/>
    <w:rsid w:val="009574B9"/>
    <w:rsid w:val="00965439"/>
    <w:rsid w:val="00965DD4"/>
    <w:rsid w:val="00970992"/>
    <w:rsid w:val="009712E5"/>
    <w:rsid w:val="00980A10"/>
    <w:rsid w:val="009812FB"/>
    <w:rsid w:val="009837C2"/>
    <w:rsid w:val="00985EA4"/>
    <w:rsid w:val="00986F16"/>
    <w:rsid w:val="009878A0"/>
    <w:rsid w:val="00987B7E"/>
    <w:rsid w:val="00990D42"/>
    <w:rsid w:val="009A2734"/>
    <w:rsid w:val="009A2F39"/>
    <w:rsid w:val="009B1378"/>
    <w:rsid w:val="009E10AA"/>
    <w:rsid w:val="009E2D9A"/>
    <w:rsid w:val="009E373A"/>
    <w:rsid w:val="009E74FF"/>
    <w:rsid w:val="009E7E4A"/>
    <w:rsid w:val="009F5F11"/>
    <w:rsid w:val="00A01ABE"/>
    <w:rsid w:val="00A118C5"/>
    <w:rsid w:val="00A13791"/>
    <w:rsid w:val="00A13C2B"/>
    <w:rsid w:val="00A149DF"/>
    <w:rsid w:val="00A21587"/>
    <w:rsid w:val="00A22226"/>
    <w:rsid w:val="00A26628"/>
    <w:rsid w:val="00A31D70"/>
    <w:rsid w:val="00A35D99"/>
    <w:rsid w:val="00A36A89"/>
    <w:rsid w:val="00A507CC"/>
    <w:rsid w:val="00A53F42"/>
    <w:rsid w:val="00A5406C"/>
    <w:rsid w:val="00A54104"/>
    <w:rsid w:val="00A6347C"/>
    <w:rsid w:val="00A7030B"/>
    <w:rsid w:val="00A8138F"/>
    <w:rsid w:val="00A83C11"/>
    <w:rsid w:val="00A86B21"/>
    <w:rsid w:val="00A86D66"/>
    <w:rsid w:val="00A92449"/>
    <w:rsid w:val="00A948E9"/>
    <w:rsid w:val="00A978B8"/>
    <w:rsid w:val="00AA2DD9"/>
    <w:rsid w:val="00AA5EBE"/>
    <w:rsid w:val="00AB2525"/>
    <w:rsid w:val="00AB310E"/>
    <w:rsid w:val="00AB3695"/>
    <w:rsid w:val="00AB4F1B"/>
    <w:rsid w:val="00AB5842"/>
    <w:rsid w:val="00AC0951"/>
    <w:rsid w:val="00AC4D08"/>
    <w:rsid w:val="00AC4E4B"/>
    <w:rsid w:val="00AC71FC"/>
    <w:rsid w:val="00AD02C1"/>
    <w:rsid w:val="00AE5C69"/>
    <w:rsid w:val="00AF4A3C"/>
    <w:rsid w:val="00B0060E"/>
    <w:rsid w:val="00B12807"/>
    <w:rsid w:val="00B14A88"/>
    <w:rsid w:val="00B16F9E"/>
    <w:rsid w:val="00B2248C"/>
    <w:rsid w:val="00B24016"/>
    <w:rsid w:val="00B2658F"/>
    <w:rsid w:val="00B32846"/>
    <w:rsid w:val="00B352C2"/>
    <w:rsid w:val="00B37F2D"/>
    <w:rsid w:val="00B51E82"/>
    <w:rsid w:val="00B55A1D"/>
    <w:rsid w:val="00B60345"/>
    <w:rsid w:val="00B62007"/>
    <w:rsid w:val="00B63EDB"/>
    <w:rsid w:val="00B67A69"/>
    <w:rsid w:val="00B73361"/>
    <w:rsid w:val="00B80BB1"/>
    <w:rsid w:val="00B818D0"/>
    <w:rsid w:val="00B8199D"/>
    <w:rsid w:val="00B82D70"/>
    <w:rsid w:val="00B83516"/>
    <w:rsid w:val="00B93953"/>
    <w:rsid w:val="00B94946"/>
    <w:rsid w:val="00BA5194"/>
    <w:rsid w:val="00BA5330"/>
    <w:rsid w:val="00BB3A44"/>
    <w:rsid w:val="00BB59A6"/>
    <w:rsid w:val="00BB75BD"/>
    <w:rsid w:val="00BC2DBF"/>
    <w:rsid w:val="00BC40F7"/>
    <w:rsid w:val="00BC763A"/>
    <w:rsid w:val="00BD2C61"/>
    <w:rsid w:val="00BD4039"/>
    <w:rsid w:val="00BD6647"/>
    <w:rsid w:val="00BD7446"/>
    <w:rsid w:val="00BE5C67"/>
    <w:rsid w:val="00BF2236"/>
    <w:rsid w:val="00BF7355"/>
    <w:rsid w:val="00C00FBB"/>
    <w:rsid w:val="00C0433B"/>
    <w:rsid w:val="00C10974"/>
    <w:rsid w:val="00C226EB"/>
    <w:rsid w:val="00C22AB2"/>
    <w:rsid w:val="00C22AF5"/>
    <w:rsid w:val="00C23C49"/>
    <w:rsid w:val="00C308DA"/>
    <w:rsid w:val="00C310B1"/>
    <w:rsid w:val="00C4006B"/>
    <w:rsid w:val="00C50B73"/>
    <w:rsid w:val="00C56756"/>
    <w:rsid w:val="00C60C8F"/>
    <w:rsid w:val="00C6108B"/>
    <w:rsid w:val="00C62D27"/>
    <w:rsid w:val="00C64B01"/>
    <w:rsid w:val="00C65A0E"/>
    <w:rsid w:val="00C6650A"/>
    <w:rsid w:val="00C73315"/>
    <w:rsid w:val="00C73BA1"/>
    <w:rsid w:val="00C808E4"/>
    <w:rsid w:val="00C837E1"/>
    <w:rsid w:val="00C86381"/>
    <w:rsid w:val="00C87A3C"/>
    <w:rsid w:val="00C87E0D"/>
    <w:rsid w:val="00C87F1B"/>
    <w:rsid w:val="00C91923"/>
    <w:rsid w:val="00C92E59"/>
    <w:rsid w:val="00C94F9F"/>
    <w:rsid w:val="00C9525E"/>
    <w:rsid w:val="00C9615F"/>
    <w:rsid w:val="00CA19B1"/>
    <w:rsid w:val="00CA2FC3"/>
    <w:rsid w:val="00CA5351"/>
    <w:rsid w:val="00CB0CD1"/>
    <w:rsid w:val="00CB2A7C"/>
    <w:rsid w:val="00CB2A99"/>
    <w:rsid w:val="00CB2CA7"/>
    <w:rsid w:val="00CB2CD0"/>
    <w:rsid w:val="00CC0139"/>
    <w:rsid w:val="00CC089A"/>
    <w:rsid w:val="00CC1DAC"/>
    <w:rsid w:val="00CC7410"/>
    <w:rsid w:val="00CD1E1B"/>
    <w:rsid w:val="00CD3F74"/>
    <w:rsid w:val="00CE6271"/>
    <w:rsid w:val="00CF474E"/>
    <w:rsid w:val="00CF617B"/>
    <w:rsid w:val="00CF688A"/>
    <w:rsid w:val="00D03817"/>
    <w:rsid w:val="00D041E3"/>
    <w:rsid w:val="00D0649D"/>
    <w:rsid w:val="00D104FD"/>
    <w:rsid w:val="00D138EE"/>
    <w:rsid w:val="00D23CF6"/>
    <w:rsid w:val="00D2663B"/>
    <w:rsid w:val="00D325DD"/>
    <w:rsid w:val="00D51F54"/>
    <w:rsid w:val="00D550FB"/>
    <w:rsid w:val="00D60859"/>
    <w:rsid w:val="00D613E2"/>
    <w:rsid w:val="00D72E1D"/>
    <w:rsid w:val="00D86A05"/>
    <w:rsid w:val="00D87D96"/>
    <w:rsid w:val="00D915A5"/>
    <w:rsid w:val="00D91ED7"/>
    <w:rsid w:val="00D923A1"/>
    <w:rsid w:val="00DA66D3"/>
    <w:rsid w:val="00DA6C11"/>
    <w:rsid w:val="00DA7E87"/>
    <w:rsid w:val="00DB0375"/>
    <w:rsid w:val="00DC005D"/>
    <w:rsid w:val="00DC20C2"/>
    <w:rsid w:val="00DC3B41"/>
    <w:rsid w:val="00DC5B8B"/>
    <w:rsid w:val="00DD2616"/>
    <w:rsid w:val="00DD5FAC"/>
    <w:rsid w:val="00DE70D5"/>
    <w:rsid w:val="00DF4678"/>
    <w:rsid w:val="00DF6789"/>
    <w:rsid w:val="00DF70F3"/>
    <w:rsid w:val="00E04FBF"/>
    <w:rsid w:val="00E0567C"/>
    <w:rsid w:val="00E0593C"/>
    <w:rsid w:val="00E05CCB"/>
    <w:rsid w:val="00E10B25"/>
    <w:rsid w:val="00E1589F"/>
    <w:rsid w:val="00E25C7D"/>
    <w:rsid w:val="00E30839"/>
    <w:rsid w:val="00E374D1"/>
    <w:rsid w:val="00E40394"/>
    <w:rsid w:val="00E4218A"/>
    <w:rsid w:val="00E43C8B"/>
    <w:rsid w:val="00E45470"/>
    <w:rsid w:val="00E45B60"/>
    <w:rsid w:val="00E4691F"/>
    <w:rsid w:val="00E5070A"/>
    <w:rsid w:val="00E507FA"/>
    <w:rsid w:val="00E55D18"/>
    <w:rsid w:val="00E62233"/>
    <w:rsid w:val="00E7045D"/>
    <w:rsid w:val="00E81761"/>
    <w:rsid w:val="00E84692"/>
    <w:rsid w:val="00E86F73"/>
    <w:rsid w:val="00E94D35"/>
    <w:rsid w:val="00E9530D"/>
    <w:rsid w:val="00E962BE"/>
    <w:rsid w:val="00EA0B2C"/>
    <w:rsid w:val="00EA4FE0"/>
    <w:rsid w:val="00EB2F0D"/>
    <w:rsid w:val="00EB6B1D"/>
    <w:rsid w:val="00EB76EA"/>
    <w:rsid w:val="00ED19A5"/>
    <w:rsid w:val="00EE5C7E"/>
    <w:rsid w:val="00EE76C1"/>
    <w:rsid w:val="00EE7C08"/>
    <w:rsid w:val="00EF0F99"/>
    <w:rsid w:val="00EF52AF"/>
    <w:rsid w:val="00F009A2"/>
    <w:rsid w:val="00F00FB9"/>
    <w:rsid w:val="00F10234"/>
    <w:rsid w:val="00F127AD"/>
    <w:rsid w:val="00F1565D"/>
    <w:rsid w:val="00F15B0B"/>
    <w:rsid w:val="00F1655B"/>
    <w:rsid w:val="00F20DEF"/>
    <w:rsid w:val="00F212A6"/>
    <w:rsid w:val="00F22A2A"/>
    <w:rsid w:val="00F24B6F"/>
    <w:rsid w:val="00F30BE6"/>
    <w:rsid w:val="00F3679D"/>
    <w:rsid w:val="00F472B3"/>
    <w:rsid w:val="00F50AAA"/>
    <w:rsid w:val="00F52116"/>
    <w:rsid w:val="00F55B98"/>
    <w:rsid w:val="00F60AE6"/>
    <w:rsid w:val="00F63A2A"/>
    <w:rsid w:val="00F642B4"/>
    <w:rsid w:val="00F7053D"/>
    <w:rsid w:val="00F70DC8"/>
    <w:rsid w:val="00F734A1"/>
    <w:rsid w:val="00F76C48"/>
    <w:rsid w:val="00F86FC6"/>
    <w:rsid w:val="00F8711F"/>
    <w:rsid w:val="00F87B0A"/>
    <w:rsid w:val="00F9068F"/>
    <w:rsid w:val="00F94722"/>
    <w:rsid w:val="00F95E98"/>
    <w:rsid w:val="00FA1AB1"/>
    <w:rsid w:val="00FA32BA"/>
    <w:rsid w:val="00FA3B4A"/>
    <w:rsid w:val="00FA5C2F"/>
    <w:rsid w:val="00FB065D"/>
    <w:rsid w:val="00FB372A"/>
    <w:rsid w:val="00FD0CD0"/>
    <w:rsid w:val="00FD0EF4"/>
    <w:rsid w:val="00FD221B"/>
    <w:rsid w:val="00FD3C72"/>
    <w:rsid w:val="00FD6672"/>
    <w:rsid w:val="00FE31CC"/>
    <w:rsid w:val="00FE5081"/>
    <w:rsid w:val="00FE68BF"/>
    <w:rsid w:val="00FE6A94"/>
    <w:rsid w:val="00FF1BD9"/>
    <w:rsid w:val="00FF345B"/>
    <w:rsid w:val="00FF7C3A"/>
    <w:rsid w:val="019E0DFD"/>
    <w:rsid w:val="02030C1D"/>
    <w:rsid w:val="032AB5E3"/>
    <w:rsid w:val="037864E7"/>
    <w:rsid w:val="040ABF58"/>
    <w:rsid w:val="045D682F"/>
    <w:rsid w:val="04EA7DF9"/>
    <w:rsid w:val="05AFA745"/>
    <w:rsid w:val="05CD8C61"/>
    <w:rsid w:val="06216E49"/>
    <w:rsid w:val="0708CE0C"/>
    <w:rsid w:val="0748BC7C"/>
    <w:rsid w:val="07EAED60"/>
    <w:rsid w:val="0849D260"/>
    <w:rsid w:val="088B80BA"/>
    <w:rsid w:val="089C1D47"/>
    <w:rsid w:val="08E48CDD"/>
    <w:rsid w:val="08E70A9E"/>
    <w:rsid w:val="08F32A0A"/>
    <w:rsid w:val="093FD3B8"/>
    <w:rsid w:val="095DECA5"/>
    <w:rsid w:val="0A174D25"/>
    <w:rsid w:val="0AF9BD06"/>
    <w:rsid w:val="0B33135C"/>
    <w:rsid w:val="0D051EE4"/>
    <w:rsid w:val="0E1046C5"/>
    <w:rsid w:val="0FB27DC8"/>
    <w:rsid w:val="10204EEC"/>
    <w:rsid w:val="10E29B61"/>
    <w:rsid w:val="11A3B5A6"/>
    <w:rsid w:val="11C8E238"/>
    <w:rsid w:val="11F67DA4"/>
    <w:rsid w:val="11FF07D3"/>
    <w:rsid w:val="137086F5"/>
    <w:rsid w:val="13D2EE64"/>
    <w:rsid w:val="140315A6"/>
    <w:rsid w:val="1536A895"/>
    <w:rsid w:val="1646DC3C"/>
    <w:rsid w:val="16D278F6"/>
    <w:rsid w:val="16DDE193"/>
    <w:rsid w:val="170CF939"/>
    <w:rsid w:val="171D7617"/>
    <w:rsid w:val="17A52606"/>
    <w:rsid w:val="17A95B65"/>
    <w:rsid w:val="17E4A5B7"/>
    <w:rsid w:val="17F82F7E"/>
    <w:rsid w:val="1847A1B8"/>
    <w:rsid w:val="18B971FC"/>
    <w:rsid w:val="1958F3A2"/>
    <w:rsid w:val="1AA0EC4F"/>
    <w:rsid w:val="1AB22726"/>
    <w:rsid w:val="1AFFDD66"/>
    <w:rsid w:val="1B8CC1BC"/>
    <w:rsid w:val="1C3CBCB0"/>
    <w:rsid w:val="1CAB4B51"/>
    <w:rsid w:val="1CD09ED2"/>
    <w:rsid w:val="1CE12461"/>
    <w:rsid w:val="1CFC8055"/>
    <w:rsid w:val="1E1C5510"/>
    <w:rsid w:val="2130DD19"/>
    <w:rsid w:val="22AD9C63"/>
    <w:rsid w:val="232C526C"/>
    <w:rsid w:val="2390AE49"/>
    <w:rsid w:val="23C4BC89"/>
    <w:rsid w:val="2425F24E"/>
    <w:rsid w:val="24C73284"/>
    <w:rsid w:val="250AF596"/>
    <w:rsid w:val="26C3CCB7"/>
    <w:rsid w:val="26C84F0B"/>
    <w:rsid w:val="271B59A3"/>
    <w:rsid w:val="27668463"/>
    <w:rsid w:val="27804ED0"/>
    <w:rsid w:val="27FF0EBE"/>
    <w:rsid w:val="28549F87"/>
    <w:rsid w:val="28FD7827"/>
    <w:rsid w:val="2914E5C9"/>
    <w:rsid w:val="29BC2D46"/>
    <w:rsid w:val="2AFFA2AF"/>
    <w:rsid w:val="2C2C38DB"/>
    <w:rsid w:val="2D33C975"/>
    <w:rsid w:val="2E0F437B"/>
    <w:rsid w:val="2E388AF6"/>
    <w:rsid w:val="2E7ADF09"/>
    <w:rsid w:val="2E869BC7"/>
    <w:rsid w:val="2E968A41"/>
    <w:rsid w:val="2EB2F12E"/>
    <w:rsid w:val="2EE1D169"/>
    <w:rsid w:val="2F8A813C"/>
    <w:rsid w:val="301971E0"/>
    <w:rsid w:val="318DA194"/>
    <w:rsid w:val="323FE24C"/>
    <w:rsid w:val="3266CD4A"/>
    <w:rsid w:val="32FDF4C6"/>
    <w:rsid w:val="33EED78B"/>
    <w:rsid w:val="34ECE303"/>
    <w:rsid w:val="355AF2D3"/>
    <w:rsid w:val="359D9A92"/>
    <w:rsid w:val="377D4A3D"/>
    <w:rsid w:val="386A6212"/>
    <w:rsid w:val="3889A945"/>
    <w:rsid w:val="38E5E94B"/>
    <w:rsid w:val="3A421C7E"/>
    <w:rsid w:val="3A8B6207"/>
    <w:rsid w:val="3A9E5AA0"/>
    <w:rsid w:val="3AD87C2B"/>
    <w:rsid w:val="3C7337B0"/>
    <w:rsid w:val="3C93A3E6"/>
    <w:rsid w:val="3D447E53"/>
    <w:rsid w:val="3F0D0F14"/>
    <w:rsid w:val="3FC4DF01"/>
    <w:rsid w:val="4053207F"/>
    <w:rsid w:val="406256DF"/>
    <w:rsid w:val="40B1EDF6"/>
    <w:rsid w:val="40D8F946"/>
    <w:rsid w:val="41DCD3B3"/>
    <w:rsid w:val="420FEAA5"/>
    <w:rsid w:val="42FCF11D"/>
    <w:rsid w:val="433D6449"/>
    <w:rsid w:val="4378A414"/>
    <w:rsid w:val="43B3BFD7"/>
    <w:rsid w:val="44399960"/>
    <w:rsid w:val="4495D7B9"/>
    <w:rsid w:val="4498C17E"/>
    <w:rsid w:val="458E5135"/>
    <w:rsid w:val="459003B1"/>
    <w:rsid w:val="45E30595"/>
    <w:rsid w:val="4603249B"/>
    <w:rsid w:val="46294B55"/>
    <w:rsid w:val="466992EE"/>
    <w:rsid w:val="468B4599"/>
    <w:rsid w:val="49850FC6"/>
    <w:rsid w:val="4AFCBC78"/>
    <w:rsid w:val="4B83B5F9"/>
    <w:rsid w:val="4BC2B4AF"/>
    <w:rsid w:val="4C00FB8C"/>
    <w:rsid w:val="4CA78FEE"/>
    <w:rsid w:val="4CD09ABD"/>
    <w:rsid w:val="4E43604F"/>
    <w:rsid w:val="4E98C79B"/>
    <w:rsid w:val="4EF59305"/>
    <w:rsid w:val="4F3235AC"/>
    <w:rsid w:val="4FACFB7C"/>
    <w:rsid w:val="4FE035E1"/>
    <w:rsid w:val="500BAF00"/>
    <w:rsid w:val="50200452"/>
    <w:rsid w:val="507593C7"/>
    <w:rsid w:val="51642731"/>
    <w:rsid w:val="51BBD4B3"/>
    <w:rsid w:val="51D10B99"/>
    <w:rsid w:val="522D33C7"/>
    <w:rsid w:val="52C5A48D"/>
    <w:rsid w:val="52D5B9C6"/>
    <w:rsid w:val="5371A1D5"/>
    <w:rsid w:val="5724DEE5"/>
    <w:rsid w:val="57F467DD"/>
    <w:rsid w:val="581F077F"/>
    <w:rsid w:val="5841B413"/>
    <w:rsid w:val="593CD397"/>
    <w:rsid w:val="5A9CC669"/>
    <w:rsid w:val="5B232A8D"/>
    <w:rsid w:val="5B71C400"/>
    <w:rsid w:val="5B860992"/>
    <w:rsid w:val="5BFCA1FC"/>
    <w:rsid w:val="5C0A989E"/>
    <w:rsid w:val="5E1044BA"/>
    <w:rsid w:val="5E4A7849"/>
    <w:rsid w:val="5E814E12"/>
    <w:rsid w:val="5EFB5B71"/>
    <w:rsid w:val="5F2224C7"/>
    <w:rsid w:val="60D3B623"/>
    <w:rsid w:val="60EC175D"/>
    <w:rsid w:val="614726C6"/>
    <w:rsid w:val="617703D8"/>
    <w:rsid w:val="617C2D79"/>
    <w:rsid w:val="61D85A64"/>
    <w:rsid w:val="6270D218"/>
    <w:rsid w:val="635B547F"/>
    <w:rsid w:val="64B9C288"/>
    <w:rsid w:val="661B569F"/>
    <w:rsid w:val="67172055"/>
    <w:rsid w:val="67F22B78"/>
    <w:rsid w:val="6853365A"/>
    <w:rsid w:val="68F082F2"/>
    <w:rsid w:val="6908AE35"/>
    <w:rsid w:val="698D33AB"/>
    <w:rsid w:val="699600AA"/>
    <w:rsid w:val="6A352A81"/>
    <w:rsid w:val="6B2EE16A"/>
    <w:rsid w:val="6C67EFA4"/>
    <w:rsid w:val="6C716FC6"/>
    <w:rsid w:val="6E8C1A4C"/>
    <w:rsid w:val="6EDE57AE"/>
    <w:rsid w:val="6F27D97F"/>
    <w:rsid w:val="6F465502"/>
    <w:rsid w:val="7104A5F1"/>
    <w:rsid w:val="7168F99F"/>
    <w:rsid w:val="7175554D"/>
    <w:rsid w:val="7399BD21"/>
    <w:rsid w:val="740A6526"/>
    <w:rsid w:val="740AE9AA"/>
    <w:rsid w:val="7439BEB9"/>
    <w:rsid w:val="74D8B351"/>
    <w:rsid w:val="75B26E6E"/>
    <w:rsid w:val="76B2E62D"/>
    <w:rsid w:val="77465149"/>
    <w:rsid w:val="7752C387"/>
    <w:rsid w:val="77569B94"/>
    <w:rsid w:val="78DC2D5D"/>
    <w:rsid w:val="79838BC5"/>
    <w:rsid w:val="7A2EB1AC"/>
    <w:rsid w:val="7A69D1FF"/>
    <w:rsid w:val="7E228DF0"/>
    <w:rsid w:val="7EF5321F"/>
    <w:rsid w:val="7F51632E"/>
    <w:rsid w:val="7F6DFEB8"/>
    <w:rsid w:val="7F6E8C9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23004"/>
  <w15:docId w15:val="{B563F2DC-AFE7-4B4B-88F3-A29DB4C0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5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55A"/>
    <w:pPr>
      <w:ind w:left="720"/>
      <w:contextualSpacing/>
    </w:pPr>
  </w:style>
  <w:style w:type="table" w:styleId="TableGrid">
    <w:name w:val="Table Grid"/>
    <w:basedOn w:val="TableNormal"/>
    <w:uiPriority w:val="59"/>
    <w:rsid w:val="00220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5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98"/>
    <w:rPr>
      <w:rFonts w:ascii="Tahoma" w:hAnsi="Tahoma" w:cs="Tahoma"/>
      <w:sz w:val="16"/>
      <w:szCs w:val="16"/>
    </w:rPr>
  </w:style>
  <w:style w:type="paragraph" w:styleId="Header">
    <w:name w:val="header"/>
    <w:basedOn w:val="Normal"/>
    <w:link w:val="HeaderChar"/>
    <w:uiPriority w:val="99"/>
    <w:unhideWhenUsed/>
    <w:rsid w:val="00D72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E1D"/>
  </w:style>
  <w:style w:type="paragraph" w:styleId="Footer">
    <w:name w:val="footer"/>
    <w:basedOn w:val="Normal"/>
    <w:link w:val="FooterChar"/>
    <w:uiPriority w:val="99"/>
    <w:unhideWhenUsed/>
    <w:rsid w:val="00D72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E1D"/>
  </w:style>
  <w:style w:type="character" w:styleId="CommentReference">
    <w:name w:val="annotation reference"/>
    <w:basedOn w:val="DefaultParagraphFont"/>
    <w:uiPriority w:val="99"/>
    <w:semiHidden/>
    <w:unhideWhenUsed/>
    <w:rsid w:val="00117E08"/>
    <w:rPr>
      <w:sz w:val="16"/>
      <w:szCs w:val="16"/>
    </w:rPr>
  </w:style>
  <w:style w:type="paragraph" w:styleId="CommentText">
    <w:name w:val="annotation text"/>
    <w:basedOn w:val="Normal"/>
    <w:link w:val="CommentTextChar"/>
    <w:uiPriority w:val="99"/>
    <w:unhideWhenUsed/>
    <w:rsid w:val="00117E08"/>
    <w:pPr>
      <w:spacing w:line="240" w:lineRule="auto"/>
    </w:pPr>
    <w:rPr>
      <w:sz w:val="20"/>
      <w:szCs w:val="20"/>
    </w:rPr>
  </w:style>
  <w:style w:type="character" w:customStyle="1" w:styleId="CommentTextChar">
    <w:name w:val="Comment Text Char"/>
    <w:basedOn w:val="DefaultParagraphFont"/>
    <w:link w:val="CommentText"/>
    <w:uiPriority w:val="99"/>
    <w:rsid w:val="00117E08"/>
    <w:rPr>
      <w:sz w:val="20"/>
      <w:szCs w:val="20"/>
    </w:rPr>
  </w:style>
  <w:style w:type="paragraph" w:styleId="CommentSubject">
    <w:name w:val="annotation subject"/>
    <w:basedOn w:val="CommentText"/>
    <w:next w:val="CommentText"/>
    <w:link w:val="CommentSubjectChar"/>
    <w:uiPriority w:val="99"/>
    <w:semiHidden/>
    <w:unhideWhenUsed/>
    <w:rsid w:val="00117E08"/>
    <w:rPr>
      <w:b/>
      <w:bCs/>
    </w:rPr>
  </w:style>
  <w:style w:type="character" w:customStyle="1" w:styleId="CommentSubjectChar">
    <w:name w:val="Comment Subject Char"/>
    <w:basedOn w:val="CommentTextChar"/>
    <w:link w:val="CommentSubject"/>
    <w:uiPriority w:val="99"/>
    <w:semiHidden/>
    <w:rsid w:val="00117E08"/>
    <w:rPr>
      <w:b/>
      <w:bCs/>
      <w:sz w:val="20"/>
      <w:szCs w:val="20"/>
    </w:rPr>
  </w:style>
  <w:style w:type="paragraph" w:styleId="FootnoteText">
    <w:name w:val="footnote text"/>
    <w:basedOn w:val="Normal"/>
    <w:link w:val="FootnoteTextChar"/>
    <w:uiPriority w:val="99"/>
    <w:semiHidden/>
    <w:unhideWhenUsed/>
    <w:rsid w:val="003D0D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0D01"/>
    <w:rPr>
      <w:sz w:val="20"/>
      <w:szCs w:val="20"/>
    </w:rPr>
  </w:style>
  <w:style w:type="character" w:styleId="FootnoteReference">
    <w:name w:val="footnote reference"/>
    <w:basedOn w:val="DefaultParagraphFont"/>
    <w:uiPriority w:val="99"/>
    <w:semiHidden/>
    <w:unhideWhenUsed/>
    <w:rsid w:val="003D0D01"/>
    <w:rPr>
      <w:vertAlign w:val="superscript"/>
    </w:rPr>
  </w:style>
  <w:style w:type="character" w:styleId="Hyperlink">
    <w:name w:val="Hyperlink"/>
    <w:basedOn w:val="DefaultParagraphFont"/>
    <w:uiPriority w:val="99"/>
    <w:unhideWhenUsed/>
    <w:rsid w:val="003B5DFD"/>
    <w:rPr>
      <w:color w:val="0000FF" w:themeColor="hyperlink"/>
      <w:u w:val="single"/>
    </w:rPr>
  </w:style>
  <w:style w:type="character" w:styleId="UnresolvedMention">
    <w:name w:val="Unresolved Mention"/>
    <w:basedOn w:val="DefaultParagraphFont"/>
    <w:uiPriority w:val="99"/>
    <w:semiHidden/>
    <w:unhideWhenUsed/>
    <w:rsid w:val="003B5DFD"/>
    <w:rPr>
      <w:color w:val="605E5C"/>
      <w:shd w:val="clear" w:color="auto" w:fill="E1DFDD"/>
    </w:rPr>
  </w:style>
  <w:style w:type="character" w:styleId="FollowedHyperlink">
    <w:name w:val="FollowedHyperlink"/>
    <w:basedOn w:val="DefaultParagraphFont"/>
    <w:uiPriority w:val="99"/>
    <w:semiHidden/>
    <w:unhideWhenUsed/>
    <w:rsid w:val="002F2B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9820">
      <w:bodyDiv w:val="1"/>
      <w:marLeft w:val="0"/>
      <w:marRight w:val="0"/>
      <w:marTop w:val="0"/>
      <w:marBottom w:val="0"/>
      <w:divBdr>
        <w:top w:val="none" w:sz="0" w:space="0" w:color="auto"/>
        <w:left w:val="none" w:sz="0" w:space="0" w:color="auto"/>
        <w:bottom w:val="none" w:sz="0" w:space="0" w:color="auto"/>
        <w:right w:val="none" w:sz="0" w:space="0" w:color="auto"/>
      </w:divBdr>
    </w:div>
    <w:div w:id="98991003">
      <w:bodyDiv w:val="1"/>
      <w:marLeft w:val="0"/>
      <w:marRight w:val="0"/>
      <w:marTop w:val="0"/>
      <w:marBottom w:val="0"/>
      <w:divBdr>
        <w:top w:val="none" w:sz="0" w:space="0" w:color="auto"/>
        <w:left w:val="none" w:sz="0" w:space="0" w:color="auto"/>
        <w:bottom w:val="none" w:sz="0" w:space="0" w:color="auto"/>
        <w:right w:val="none" w:sz="0" w:space="0" w:color="auto"/>
      </w:divBdr>
    </w:div>
    <w:div w:id="150606158">
      <w:bodyDiv w:val="1"/>
      <w:marLeft w:val="0"/>
      <w:marRight w:val="0"/>
      <w:marTop w:val="0"/>
      <w:marBottom w:val="0"/>
      <w:divBdr>
        <w:top w:val="none" w:sz="0" w:space="0" w:color="auto"/>
        <w:left w:val="none" w:sz="0" w:space="0" w:color="auto"/>
        <w:bottom w:val="none" w:sz="0" w:space="0" w:color="auto"/>
        <w:right w:val="none" w:sz="0" w:space="0" w:color="auto"/>
      </w:divBdr>
    </w:div>
    <w:div w:id="320743847">
      <w:bodyDiv w:val="1"/>
      <w:marLeft w:val="0"/>
      <w:marRight w:val="0"/>
      <w:marTop w:val="0"/>
      <w:marBottom w:val="0"/>
      <w:divBdr>
        <w:top w:val="none" w:sz="0" w:space="0" w:color="auto"/>
        <w:left w:val="none" w:sz="0" w:space="0" w:color="auto"/>
        <w:bottom w:val="none" w:sz="0" w:space="0" w:color="auto"/>
        <w:right w:val="none" w:sz="0" w:space="0" w:color="auto"/>
      </w:divBdr>
    </w:div>
    <w:div w:id="329523164">
      <w:bodyDiv w:val="1"/>
      <w:marLeft w:val="0"/>
      <w:marRight w:val="0"/>
      <w:marTop w:val="0"/>
      <w:marBottom w:val="0"/>
      <w:divBdr>
        <w:top w:val="none" w:sz="0" w:space="0" w:color="auto"/>
        <w:left w:val="none" w:sz="0" w:space="0" w:color="auto"/>
        <w:bottom w:val="none" w:sz="0" w:space="0" w:color="auto"/>
        <w:right w:val="none" w:sz="0" w:space="0" w:color="auto"/>
      </w:divBdr>
    </w:div>
    <w:div w:id="366413633">
      <w:bodyDiv w:val="1"/>
      <w:marLeft w:val="0"/>
      <w:marRight w:val="0"/>
      <w:marTop w:val="0"/>
      <w:marBottom w:val="0"/>
      <w:divBdr>
        <w:top w:val="none" w:sz="0" w:space="0" w:color="auto"/>
        <w:left w:val="none" w:sz="0" w:space="0" w:color="auto"/>
        <w:bottom w:val="none" w:sz="0" w:space="0" w:color="auto"/>
        <w:right w:val="none" w:sz="0" w:space="0" w:color="auto"/>
      </w:divBdr>
    </w:div>
    <w:div w:id="430510735">
      <w:bodyDiv w:val="1"/>
      <w:marLeft w:val="0"/>
      <w:marRight w:val="0"/>
      <w:marTop w:val="0"/>
      <w:marBottom w:val="0"/>
      <w:divBdr>
        <w:top w:val="none" w:sz="0" w:space="0" w:color="auto"/>
        <w:left w:val="none" w:sz="0" w:space="0" w:color="auto"/>
        <w:bottom w:val="none" w:sz="0" w:space="0" w:color="auto"/>
        <w:right w:val="none" w:sz="0" w:space="0" w:color="auto"/>
      </w:divBdr>
    </w:div>
    <w:div w:id="455754431">
      <w:bodyDiv w:val="1"/>
      <w:marLeft w:val="0"/>
      <w:marRight w:val="0"/>
      <w:marTop w:val="0"/>
      <w:marBottom w:val="0"/>
      <w:divBdr>
        <w:top w:val="none" w:sz="0" w:space="0" w:color="auto"/>
        <w:left w:val="none" w:sz="0" w:space="0" w:color="auto"/>
        <w:bottom w:val="none" w:sz="0" w:space="0" w:color="auto"/>
        <w:right w:val="none" w:sz="0" w:space="0" w:color="auto"/>
      </w:divBdr>
    </w:div>
    <w:div w:id="465198810">
      <w:bodyDiv w:val="1"/>
      <w:marLeft w:val="0"/>
      <w:marRight w:val="0"/>
      <w:marTop w:val="0"/>
      <w:marBottom w:val="0"/>
      <w:divBdr>
        <w:top w:val="none" w:sz="0" w:space="0" w:color="auto"/>
        <w:left w:val="none" w:sz="0" w:space="0" w:color="auto"/>
        <w:bottom w:val="none" w:sz="0" w:space="0" w:color="auto"/>
        <w:right w:val="none" w:sz="0" w:space="0" w:color="auto"/>
      </w:divBdr>
    </w:div>
    <w:div w:id="482435530">
      <w:bodyDiv w:val="1"/>
      <w:marLeft w:val="0"/>
      <w:marRight w:val="0"/>
      <w:marTop w:val="0"/>
      <w:marBottom w:val="0"/>
      <w:divBdr>
        <w:top w:val="none" w:sz="0" w:space="0" w:color="auto"/>
        <w:left w:val="none" w:sz="0" w:space="0" w:color="auto"/>
        <w:bottom w:val="none" w:sz="0" w:space="0" w:color="auto"/>
        <w:right w:val="none" w:sz="0" w:space="0" w:color="auto"/>
      </w:divBdr>
    </w:div>
    <w:div w:id="517353593">
      <w:bodyDiv w:val="1"/>
      <w:marLeft w:val="0"/>
      <w:marRight w:val="0"/>
      <w:marTop w:val="0"/>
      <w:marBottom w:val="0"/>
      <w:divBdr>
        <w:top w:val="none" w:sz="0" w:space="0" w:color="auto"/>
        <w:left w:val="none" w:sz="0" w:space="0" w:color="auto"/>
        <w:bottom w:val="none" w:sz="0" w:space="0" w:color="auto"/>
        <w:right w:val="none" w:sz="0" w:space="0" w:color="auto"/>
      </w:divBdr>
    </w:div>
    <w:div w:id="558634795">
      <w:bodyDiv w:val="1"/>
      <w:marLeft w:val="0"/>
      <w:marRight w:val="0"/>
      <w:marTop w:val="0"/>
      <w:marBottom w:val="0"/>
      <w:divBdr>
        <w:top w:val="none" w:sz="0" w:space="0" w:color="auto"/>
        <w:left w:val="none" w:sz="0" w:space="0" w:color="auto"/>
        <w:bottom w:val="none" w:sz="0" w:space="0" w:color="auto"/>
        <w:right w:val="none" w:sz="0" w:space="0" w:color="auto"/>
      </w:divBdr>
    </w:div>
    <w:div w:id="616302306">
      <w:bodyDiv w:val="1"/>
      <w:marLeft w:val="0"/>
      <w:marRight w:val="0"/>
      <w:marTop w:val="0"/>
      <w:marBottom w:val="0"/>
      <w:divBdr>
        <w:top w:val="none" w:sz="0" w:space="0" w:color="auto"/>
        <w:left w:val="none" w:sz="0" w:space="0" w:color="auto"/>
        <w:bottom w:val="none" w:sz="0" w:space="0" w:color="auto"/>
        <w:right w:val="none" w:sz="0" w:space="0" w:color="auto"/>
      </w:divBdr>
    </w:div>
    <w:div w:id="883256182">
      <w:bodyDiv w:val="1"/>
      <w:marLeft w:val="0"/>
      <w:marRight w:val="0"/>
      <w:marTop w:val="0"/>
      <w:marBottom w:val="0"/>
      <w:divBdr>
        <w:top w:val="none" w:sz="0" w:space="0" w:color="auto"/>
        <w:left w:val="none" w:sz="0" w:space="0" w:color="auto"/>
        <w:bottom w:val="none" w:sz="0" w:space="0" w:color="auto"/>
        <w:right w:val="none" w:sz="0" w:space="0" w:color="auto"/>
      </w:divBdr>
    </w:div>
    <w:div w:id="920944580">
      <w:bodyDiv w:val="1"/>
      <w:marLeft w:val="0"/>
      <w:marRight w:val="0"/>
      <w:marTop w:val="0"/>
      <w:marBottom w:val="0"/>
      <w:divBdr>
        <w:top w:val="none" w:sz="0" w:space="0" w:color="auto"/>
        <w:left w:val="none" w:sz="0" w:space="0" w:color="auto"/>
        <w:bottom w:val="none" w:sz="0" w:space="0" w:color="auto"/>
        <w:right w:val="none" w:sz="0" w:space="0" w:color="auto"/>
      </w:divBdr>
    </w:div>
    <w:div w:id="1043289094">
      <w:bodyDiv w:val="1"/>
      <w:marLeft w:val="0"/>
      <w:marRight w:val="0"/>
      <w:marTop w:val="0"/>
      <w:marBottom w:val="0"/>
      <w:divBdr>
        <w:top w:val="none" w:sz="0" w:space="0" w:color="auto"/>
        <w:left w:val="none" w:sz="0" w:space="0" w:color="auto"/>
        <w:bottom w:val="none" w:sz="0" w:space="0" w:color="auto"/>
        <w:right w:val="none" w:sz="0" w:space="0" w:color="auto"/>
      </w:divBdr>
    </w:div>
    <w:div w:id="1302879533">
      <w:bodyDiv w:val="1"/>
      <w:marLeft w:val="0"/>
      <w:marRight w:val="0"/>
      <w:marTop w:val="0"/>
      <w:marBottom w:val="0"/>
      <w:divBdr>
        <w:top w:val="none" w:sz="0" w:space="0" w:color="auto"/>
        <w:left w:val="none" w:sz="0" w:space="0" w:color="auto"/>
        <w:bottom w:val="none" w:sz="0" w:space="0" w:color="auto"/>
        <w:right w:val="none" w:sz="0" w:space="0" w:color="auto"/>
      </w:divBdr>
    </w:div>
    <w:div w:id="1310817324">
      <w:bodyDiv w:val="1"/>
      <w:marLeft w:val="0"/>
      <w:marRight w:val="0"/>
      <w:marTop w:val="0"/>
      <w:marBottom w:val="0"/>
      <w:divBdr>
        <w:top w:val="none" w:sz="0" w:space="0" w:color="auto"/>
        <w:left w:val="none" w:sz="0" w:space="0" w:color="auto"/>
        <w:bottom w:val="none" w:sz="0" w:space="0" w:color="auto"/>
        <w:right w:val="none" w:sz="0" w:space="0" w:color="auto"/>
      </w:divBdr>
    </w:div>
    <w:div w:id="1335647371">
      <w:bodyDiv w:val="1"/>
      <w:marLeft w:val="0"/>
      <w:marRight w:val="0"/>
      <w:marTop w:val="0"/>
      <w:marBottom w:val="0"/>
      <w:divBdr>
        <w:top w:val="none" w:sz="0" w:space="0" w:color="auto"/>
        <w:left w:val="none" w:sz="0" w:space="0" w:color="auto"/>
        <w:bottom w:val="none" w:sz="0" w:space="0" w:color="auto"/>
        <w:right w:val="none" w:sz="0" w:space="0" w:color="auto"/>
      </w:divBdr>
    </w:div>
    <w:div w:id="1450516435">
      <w:bodyDiv w:val="1"/>
      <w:marLeft w:val="0"/>
      <w:marRight w:val="0"/>
      <w:marTop w:val="0"/>
      <w:marBottom w:val="0"/>
      <w:divBdr>
        <w:top w:val="none" w:sz="0" w:space="0" w:color="auto"/>
        <w:left w:val="none" w:sz="0" w:space="0" w:color="auto"/>
        <w:bottom w:val="none" w:sz="0" w:space="0" w:color="auto"/>
        <w:right w:val="none" w:sz="0" w:space="0" w:color="auto"/>
      </w:divBdr>
    </w:div>
    <w:div w:id="1741825370">
      <w:bodyDiv w:val="1"/>
      <w:marLeft w:val="0"/>
      <w:marRight w:val="0"/>
      <w:marTop w:val="0"/>
      <w:marBottom w:val="0"/>
      <w:divBdr>
        <w:top w:val="none" w:sz="0" w:space="0" w:color="auto"/>
        <w:left w:val="none" w:sz="0" w:space="0" w:color="auto"/>
        <w:bottom w:val="none" w:sz="0" w:space="0" w:color="auto"/>
        <w:right w:val="none" w:sz="0" w:space="0" w:color="auto"/>
      </w:divBdr>
    </w:div>
    <w:div w:id="1833326326">
      <w:bodyDiv w:val="1"/>
      <w:marLeft w:val="0"/>
      <w:marRight w:val="0"/>
      <w:marTop w:val="0"/>
      <w:marBottom w:val="0"/>
      <w:divBdr>
        <w:top w:val="none" w:sz="0" w:space="0" w:color="auto"/>
        <w:left w:val="none" w:sz="0" w:space="0" w:color="auto"/>
        <w:bottom w:val="none" w:sz="0" w:space="0" w:color="auto"/>
        <w:right w:val="none" w:sz="0" w:space="0" w:color="auto"/>
      </w:divBdr>
    </w:div>
    <w:div w:id="1896038240">
      <w:bodyDiv w:val="1"/>
      <w:marLeft w:val="0"/>
      <w:marRight w:val="0"/>
      <w:marTop w:val="0"/>
      <w:marBottom w:val="0"/>
      <w:divBdr>
        <w:top w:val="none" w:sz="0" w:space="0" w:color="auto"/>
        <w:left w:val="none" w:sz="0" w:space="0" w:color="auto"/>
        <w:bottom w:val="none" w:sz="0" w:space="0" w:color="auto"/>
        <w:right w:val="none" w:sz="0" w:space="0" w:color="auto"/>
      </w:divBdr>
    </w:div>
    <w:div w:id="2023360985">
      <w:bodyDiv w:val="1"/>
      <w:marLeft w:val="0"/>
      <w:marRight w:val="0"/>
      <w:marTop w:val="0"/>
      <w:marBottom w:val="0"/>
      <w:divBdr>
        <w:top w:val="none" w:sz="0" w:space="0" w:color="auto"/>
        <w:left w:val="none" w:sz="0" w:space="0" w:color="auto"/>
        <w:bottom w:val="none" w:sz="0" w:space="0" w:color="auto"/>
        <w:right w:val="none" w:sz="0" w:space="0" w:color="auto"/>
      </w:divBdr>
    </w:div>
    <w:div w:id="2054693927">
      <w:bodyDiv w:val="1"/>
      <w:marLeft w:val="0"/>
      <w:marRight w:val="0"/>
      <w:marTop w:val="0"/>
      <w:marBottom w:val="0"/>
      <w:divBdr>
        <w:top w:val="none" w:sz="0" w:space="0" w:color="auto"/>
        <w:left w:val="none" w:sz="0" w:space="0" w:color="auto"/>
        <w:bottom w:val="none" w:sz="0" w:space="0" w:color="auto"/>
        <w:right w:val="none" w:sz="0" w:space="0" w:color="auto"/>
      </w:divBdr>
    </w:div>
    <w:div w:id="2129082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2" Type="http://schemas.openxmlformats.org/officeDocument/2006/relationships/hyperlink" Target="https://365swri.sharepoint.com/:b:/r/quality/Quality%20System%20Document%20Library/Uncertainty/Uncertainty%20for%20OP222.pdf?csf=1" TargetMode="External"/><Relationship Id="rId1" Type="http://schemas.openxmlformats.org/officeDocument/2006/relationships/hyperlink" Target="https://365swri.sharepoint.com/:b:/r/quality/Quality%20System%20Document%20Library/Uncertainty/Uncertainty%20for%20OP221.pdf?csf=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SWRI Doc" ma:contentTypeID="0x010100B42FDDC3CF217444A79A0D7298CE8E3F010086492977B3FC464D927CDA96C88D148E" ma:contentTypeVersion="6" ma:contentTypeDescription="Standard SWRI Document" ma:contentTypeScope="" ma:versionID="3168c2211b8233a05749cde8a6d57c71">
  <xsd:schema xmlns:xsd="http://www.w3.org/2001/XMLSchema" xmlns:xs="http://www.w3.org/2001/XMLSchema" xmlns:p="http://schemas.microsoft.com/office/2006/metadata/properties" xmlns:ns2="5ac935d9-8394-4daf-9fb5-f937c6c0a3bb" targetNamespace="http://schemas.microsoft.com/office/2006/metadata/properties" ma:root="true" ma:fieldsID="c98b2c482c48a6b35a31df0ad622b033" ns2:_="">
    <xsd:import namespace="5ac935d9-8394-4daf-9fb5-f937c6c0a3bb"/>
    <xsd:element name="properties">
      <xsd:complexType>
        <xsd:sequence>
          <xsd:element name="documentManagement">
            <xsd:complexType>
              <xsd:all>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935d9-8394-4daf-9fb5-f937c6c0a3bb" elementFormDefault="qualified">
    <xsd:import namespace="http://schemas.microsoft.com/office/2006/documentManagement/types"/>
    <xsd:import namespace="http://schemas.microsoft.com/office/infopath/2007/PartnerControls"/>
    <xsd:element name="MediaServiceEventHashCode" ma:index="9" nillable="true" ma:displayName="MediaServiceEventHashCode" ma:hidden="true" ma:internalName="MediaServiceEventHashCode" ma:readOnly="true">
      <xsd:simpleType>
        <xsd:restriction base="dms:Text"/>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1749B-B592-42C3-A85E-ECFA0A272F6C}">
  <ds:schemaRefs>
    <ds:schemaRef ds:uri="http://schemas.microsoft.com/sharepoint/v3/contenttype/forms"/>
  </ds:schemaRefs>
</ds:datastoreItem>
</file>

<file path=customXml/itemProps2.xml><?xml version="1.0" encoding="utf-8"?>
<ds:datastoreItem xmlns:ds="http://schemas.openxmlformats.org/officeDocument/2006/customXml" ds:itemID="{3E795F64-4A67-487A-B475-94021CED3167}">
  <ds:schemaRefs>
    <ds:schemaRef ds:uri="http://schemas.microsoft.com/office/2006/metadata/properties"/>
  </ds:schemaRefs>
</ds:datastoreItem>
</file>

<file path=customXml/itemProps3.xml><?xml version="1.0" encoding="utf-8"?>
<ds:datastoreItem xmlns:ds="http://schemas.openxmlformats.org/officeDocument/2006/customXml" ds:itemID="{D64DBFF3-8684-4932-A8EC-FD0741C82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c935d9-8394-4daf-9fb5-f937c6c0a3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F492DA-CB60-4DE3-B471-0703C5BD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Uncertainty Review of OP221 and OP222 Actual and apparent strengths 2018</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Uncertainty Review of OP221 and OP222 Actual and apparent strengths 2018</dc:title>
  <dc:subject/>
  <dc:creator>Shona</dc:creator>
  <cp:keywords/>
  <dc:description/>
  <cp:lastModifiedBy>Hannah Ford</cp:lastModifiedBy>
  <cp:revision>4</cp:revision>
  <cp:lastPrinted>2018-01-29T23:17:00Z</cp:lastPrinted>
  <dcterms:created xsi:type="dcterms:W3CDTF">2022-01-24T12:32:00Z</dcterms:created>
  <dcterms:modified xsi:type="dcterms:W3CDTF">2022-01-24T16:36:00Z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0x010100B42FDDC3CF217444A79A0D7298CE8E3F010086492977B3FC464D927CDA96C88D148E</vt:lpwstr>
  </property>
  <property fmtid="{D5CDD505-2E9C-101B-9397-08002B2CF9AE}" pid="3" name="AuthorIds_UIVersion_7680">
    <vt:lpwstr>31</vt:lpwstr>
  </property>
  <property fmtid="{D5CDD505-2E9C-101B-9397-08002B2CF9AE}" pid="4" name="AuthorIds_UIVersion_11264">
    <vt:lpwstr>31</vt:lpwstr>
  </property>
</Properties>
</file>