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44BFD" w14:textId="3AC138FC" w:rsidR="00552249" w:rsidRDefault="00552249">
      <w:pPr>
        <w:rPr>
          <w:rFonts w:ascii="Franklin Gothic Medium" w:hAnsi="Franklin Gothic Medium" w:cs="Times New Roman"/>
          <w:sz w:val="32"/>
          <w:lang w:val="en-US"/>
        </w:rPr>
      </w:pPr>
      <w:r w:rsidRPr="00552249">
        <w:rPr>
          <w:rFonts w:ascii="Franklin Gothic Medium" w:hAnsi="Franklin Gothic Medium" w:cs="Times New Roman"/>
          <w:sz w:val="32"/>
          <w:lang w:val="en-US"/>
        </w:rPr>
        <w:t>International Collaboration on Computerized DT Scoring</w:t>
      </w:r>
    </w:p>
    <w:p w14:paraId="6C62197B" w14:textId="16F897B0" w:rsidR="00552249" w:rsidRPr="00552249" w:rsidRDefault="00552249" w:rsidP="00552249">
      <w:pPr>
        <w:spacing w:after="40"/>
        <w:rPr>
          <w:rFonts w:ascii="Times New Roman" w:hAnsi="Times New Roman" w:cs="Times New Roman"/>
          <w:lang w:val="en-US"/>
        </w:rPr>
      </w:pPr>
      <w:r w:rsidRPr="00552249">
        <w:rPr>
          <w:rFonts w:ascii="Times New Roman" w:hAnsi="Times New Roman" w:cs="Times New Roman"/>
          <w:i/>
          <w:lang w:val="en-US"/>
        </w:rPr>
        <w:t>Researcher</w:t>
      </w:r>
      <w:r w:rsidRPr="00552249">
        <w:rPr>
          <w:rFonts w:ascii="Times New Roman" w:hAnsi="Times New Roman" w:cs="Times New Roman"/>
          <w:lang w:val="en-US"/>
        </w:rPr>
        <w:t>: Kirill Miroshnik</w:t>
      </w:r>
    </w:p>
    <w:p w14:paraId="59E004BE" w14:textId="0C7ED5A1" w:rsidR="00552249" w:rsidRPr="00552249" w:rsidRDefault="00552249" w:rsidP="00DC52DF">
      <w:pPr>
        <w:spacing w:after="240"/>
        <w:rPr>
          <w:rFonts w:ascii="Times New Roman" w:hAnsi="Times New Roman" w:cs="Times New Roman"/>
          <w:lang w:val="en-US"/>
        </w:rPr>
      </w:pPr>
      <w:r w:rsidRPr="00552249">
        <w:rPr>
          <w:rFonts w:ascii="Times New Roman" w:hAnsi="Times New Roman" w:cs="Times New Roman"/>
          <w:i/>
          <w:lang w:val="en-US"/>
        </w:rPr>
        <w:t>Institution</w:t>
      </w:r>
      <w:r w:rsidRPr="00552249">
        <w:rPr>
          <w:rFonts w:ascii="Times New Roman" w:hAnsi="Times New Roman" w:cs="Times New Roman"/>
          <w:lang w:val="en-US"/>
        </w:rPr>
        <w:t>: Saint Petersburg State University</w:t>
      </w:r>
      <w:r w:rsidR="00E00ED9">
        <w:rPr>
          <w:rFonts w:ascii="Times New Roman" w:hAnsi="Times New Roman" w:cs="Times New Roman"/>
          <w:lang w:val="en-US"/>
        </w:rPr>
        <w:t>, Russia</w:t>
      </w:r>
    </w:p>
    <w:p w14:paraId="3C18DF33" w14:textId="73587D79" w:rsidR="00B954E0" w:rsidRPr="00074A15" w:rsidRDefault="00552249">
      <w:pPr>
        <w:rPr>
          <w:rFonts w:ascii="Times New Roman" w:hAnsi="Times New Roman" w:cs="Times New Roman"/>
          <w:b/>
          <w:lang w:val="en-US"/>
        </w:rPr>
      </w:pPr>
      <w:r>
        <w:rPr>
          <w:rFonts w:ascii="Times New Roman" w:hAnsi="Times New Roman" w:cs="Times New Roman"/>
          <w:b/>
          <w:lang w:val="en-US"/>
        </w:rPr>
        <w:t xml:space="preserve">1. </w:t>
      </w:r>
      <w:r w:rsidR="00074A15" w:rsidRPr="00074A15">
        <w:rPr>
          <w:rFonts w:ascii="Times New Roman" w:hAnsi="Times New Roman" w:cs="Times New Roman"/>
          <w:b/>
          <w:lang w:val="en-US"/>
        </w:rPr>
        <w:t xml:space="preserve">Metadata for </w:t>
      </w:r>
      <w:r w:rsidR="00297B17">
        <w:rPr>
          <w:rFonts w:ascii="Times New Roman" w:hAnsi="Times New Roman" w:cs="Times New Roman"/>
          <w:b/>
          <w:lang w:val="en-US"/>
        </w:rPr>
        <w:t>“</w:t>
      </w:r>
      <w:r w:rsidR="00074A15" w:rsidRPr="00074A15">
        <w:rPr>
          <w:rFonts w:ascii="Times New Roman" w:hAnsi="Times New Roman" w:cs="Times New Roman"/>
          <w:b/>
          <w:lang w:val="en-US"/>
        </w:rPr>
        <w:t>Rus-DT-AUT S1</w:t>
      </w:r>
      <w:r w:rsidR="00297B17">
        <w:rPr>
          <w:rFonts w:ascii="Times New Roman" w:hAnsi="Times New Roman" w:cs="Times New Roman"/>
          <w:b/>
          <w:lang w:val="en-US"/>
        </w:rPr>
        <w:t>”</w:t>
      </w:r>
    </w:p>
    <w:p w14:paraId="6C5100EF" w14:textId="6090444C" w:rsidR="00074A15" w:rsidRDefault="00C94ABC" w:rsidP="006A69C4">
      <w:pPr>
        <w:jc w:val="both"/>
        <w:rPr>
          <w:rFonts w:ascii="Times New Roman" w:hAnsi="Times New Roman" w:cs="Times New Roman"/>
          <w:lang w:val="en-US"/>
        </w:rPr>
      </w:pPr>
      <w:r>
        <w:rPr>
          <w:rFonts w:ascii="Times New Roman" w:hAnsi="Times New Roman" w:cs="Times New Roman"/>
          <w:lang w:val="en-US"/>
        </w:rPr>
        <w:t>The data ha</w:t>
      </w:r>
      <w:r w:rsidR="006A69C4">
        <w:rPr>
          <w:rFonts w:ascii="Times New Roman" w:hAnsi="Times New Roman" w:cs="Times New Roman"/>
          <w:lang w:val="en-US"/>
        </w:rPr>
        <w:t>ve</w:t>
      </w:r>
      <w:r>
        <w:rPr>
          <w:rFonts w:ascii="Times New Roman" w:hAnsi="Times New Roman" w:cs="Times New Roman"/>
          <w:lang w:val="en-US"/>
        </w:rPr>
        <w:t xml:space="preserve"> been published in </w:t>
      </w:r>
      <w:r w:rsidRPr="006A69C4">
        <w:rPr>
          <w:rFonts w:ascii="Times New Roman" w:hAnsi="Times New Roman" w:cs="Times New Roman"/>
          <w:i/>
          <w:lang w:val="en-US"/>
        </w:rPr>
        <w:t>Intelligence</w:t>
      </w:r>
      <w:r>
        <w:rPr>
          <w:rFonts w:ascii="Times New Roman" w:hAnsi="Times New Roman" w:cs="Times New Roman"/>
          <w:lang w:val="en-US"/>
        </w:rPr>
        <w:t xml:space="preserve"> (Miroshnik &amp; Shcherbakova, 2019).</w:t>
      </w:r>
      <w:r w:rsidR="006A69C4">
        <w:rPr>
          <w:rFonts w:ascii="Times New Roman" w:hAnsi="Times New Roman" w:cs="Times New Roman"/>
          <w:lang w:val="en-US"/>
        </w:rPr>
        <w:t xml:space="preserve"> The sample included 114</w:t>
      </w:r>
      <w:r w:rsidR="006A69C4" w:rsidRPr="006A69C4">
        <w:rPr>
          <w:rFonts w:ascii="Times New Roman" w:hAnsi="Times New Roman" w:cs="Times New Roman"/>
          <w:lang w:val="en-US"/>
        </w:rPr>
        <w:t xml:space="preserve"> students</w:t>
      </w:r>
      <w:r w:rsidR="004D1985">
        <w:rPr>
          <w:rFonts w:ascii="Times New Roman" w:hAnsi="Times New Roman" w:cs="Times New Roman"/>
          <w:lang w:val="en-US"/>
        </w:rPr>
        <w:t xml:space="preserve"> (75.4% females; </w:t>
      </w:r>
      <w:r w:rsidR="004D1985" w:rsidRPr="004D1985">
        <w:rPr>
          <w:rFonts w:ascii="Times New Roman" w:hAnsi="Times New Roman" w:cs="Times New Roman"/>
          <w:i/>
          <w:lang w:val="en-US"/>
        </w:rPr>
        <w:t>M</w:t>
      </w:r>
      <w:r w:rsidR="004D1985" w:rsidRPr="004D1985">
        <w:rPr>
          <w:rFonts w:ascii="Times New Roman" w:hAnsi="Times New Roman" w:cs="Times New Roman"/>
          <w:vertAlign w:val="subscript"/>
          <w:lang w:val="en-US"/>
        </w:rPr>
        <w:t>age</w:t>
      </w:r>
      <w:r w:rsidR="004D1985">
        <w:rPr>
          <w:rFonts w:ascii="Times New Roman" w:hAnsi="Times New Roman" w:cs="Times New Roman"/>
          <w:lang w:val="en-US"/>
        </w:rPr>
        <w:t xml:space="preserve"> = 20.47, </w:t>
      </w:r>
      <w:r w:rsidR="004D1985" w:rsidRPr="004D1985">
        <w:rPr>
          <w:rFonts w:ascii="Times New Roman" w:hAnsi="Times New Roman" w:cs="Times New Roman"/>
          <w:i/>
          <w:lang w:val="en-US"/>
        </w:rPr>
        <w:t>SD</w:t>
      </w:r>
      <w:r w:rsidR="004D1985" w:rsidRPr="004D1985">
        <w:rPr>
          <w:rFonts w:ascii="Times New Roman" w:hAnsi="Times New Roman" w:cs="Times New Roman"/>
          <w:vertAlign w:val="subscript"/>
          <w:lang w:val="en-US"/>
        </w:rPr>
        <w:t>age</w:t>
      </w:r>
      <w:r w:rsidR="004D1985">
        <w:rPr>
          <w:rFonts w:ascii="Times New Roman" w:hAnsi="Times New Roman" w:cs="Times New Roman"/>
          <w:lang w:val="en-US"/>
        </w:rPr>
        <w:t xml:space="preserve"> = 1.68) </w:t>
      </w:r>
      <w:r w:rsidR="006A69C4">
        <w:rPr>
          <w:rFonts w:ascii="Times New Roman" w:hAnsi="Times New Roman" w:cs="Times New Roman"/>
          <w:lang w:val="en-US"/>
        </w:rPr>
        <w:t>from several universities of Saint Petersburg, Russia.</w:t>
      </w:r>
      <w:r w:rsidR="004D1985">
        <w:rPr>
          <w:rFonts w:ascii="Times New Roman" w:hAnsi="Times New Roman" w:cs="Times New Roman"/>
          <w:lang w:val="en-US"/>
        </w:rPr>
        <w:t xml:space="preserve"> </w:t>
      </w:r>
      <w:r w:rsidR="00734142">
        <w:rPr>
          <w:rFonts w:ascii="Times New Roman" w:hAnsi="Times New Roman" w:cs="Times New Roman"/>
          <w:lang w:val="en-US"/>
        </w:rPr>
        <w:t xml:space="preserve">Each participant was tested </w:t>
      </w:r>
      <w:r w:rsidR="00734142" w:rsidRPr="004D1985">
        <w:rPr>
          <w:rFonts w:ascii="Times New Roman" w:hAnsi="Times New Roman" w:cs="Times New Roman"/>
          <w:lang w:val="en-US"/>
        </w:rPr>
        <w:t>individually or in groups of 2–5</w:t>
      </w:r>
      <w:r w:rsidR="00734142">
        <w:rPr>
          <w:rFonts w:ascii="Times New Roman" w:hAnsi="Times New Roman" w:cs="Times New Roman"/>
          <w:lang w:val="en-US"/>
        </w:rPr>
        <w:t xml:space="preserve">. </w:t>
      </w:r>
      <w:r w:rsidR="002B35C9">
        <w:rPr>
          <w:rFonts w:ascii="Times New Roman" w:hAnsi="Times New Roman" w:cs="Times New Roman"/>
          <w:lang w:val="en-US"/>
        </w:rPr>
        <w:t>Participants completed</w:t>
      </w:r>
      <w:r w:rsidR="00285FE8" w:rsidRPr="00285FE8">
        <w:rPr>
          <w:rFonts w:ascii="Times New Roman" w:hAnsi="Times New Roman" w:cs="Times New Roman"/>
          <w:lang w:val="en-US"/>
        </w:rPr>
        <w:t xml:space="preserve"> </w:t>
      </w:r>
      <w:r w:rsidR="00285FE8">
        <w:rPr>
          <w:rFonts w:ascii="Times New Roman" w:hAnsi="Times New Roman" w:cs="Times New Roman"/>
          <w:lang w:val="en-US"/>
        </w:rPr>
        <w:t>unusual uses</w:t>
      </w:r>
      <w:r w:rsidR="00285FE8" w:rsidRPr="00285FE8">
        <w:rPr>
          <w:rFonts w:ascii="Times New Roman" w:hAnsi="Times New Roman" w:cs="Times New Roman"/>
          <w:lang w:val="en-US"/>
        </w:rPr>
        <w:t xml:space="preserve"> tasks</w:t>
      </w:r>
      <w:r w:rsidR="002B35C9">
        <w:rPr>
          <w:rFonts w:ascii="Times New Roman" w:hAnsi="Times New Roman" w:cs="Times New Roman"/>
          <w:lang w:val="en-US"/>
        </w:rPr>
        <w:t xml:space="preserve"> for a newspaper and a wooden ruler</w:t>
      </w:r>
      <w:r w:rsidR="00734142">
        <w:rPr>
          <w:rFonts w:ascii="Times New Roman" w:hAnsi="Times New Roman" w:cs="Times New Roman"/>
          <w:lang w:val="en-US"/>
        </w:rPr>
        <w:t xml:space="preserve"> under </w:t>
      </w:r>
      <w:r w:rsidR="00285FE8" w:rsidRPr="00285FE8">
        <w:rPr>
          <w:rFonts w:ascii="Times New Roman" w:hAnsi="Times New Roman" w:cs="Times New Roman"/>
          <w:lang w:val="en-US"/>
        </w:rPr>
        <w:t>“be creative”</w:t>
      </w:r>
      <w:r w:rsidR="00734142">
        <w:rPr>
          <w:rFonts w:ascii="Times New Roman" w:hAnsi="Times New Roman" w:cs="Times New Roman"/>
          <w:lang w:val="en-US"/>
        </w:rPr>
        <w:t xml:space="preserve"> instruction. </w:t>
      </w:r>
      <w:r w:rsidR="00285FE8">
        <w:rPr>
          <w:rFonts w:ascii="Times New Roman" w:hAnsi="Times New Roman" w:cs="Times New Roman"/>
          <w:lang w:val="en-US"/>
        </w:rPr>
        <w:t>Here, we provide the full verbatim:</w:t>
      </w:r>
    </w:p>
    <w:p w14:paraId="3F77A83E" w14:textId="714BFDBE" w:rsidR="00285FE8" w:rsidRPr="00C94ABC" w:rsidRDefault="00285FE8" w:rsidP="00285FE8">
      <w:pPr>
        <w:ind w:left="708"/>
        <w:jc w:val="both"/>
        <w:rPr>
          <w:rFonts w:ascii="Times New Roman" w:hAnsi="Times New Roman" w:cs="Times New Roman"/>
          <w:lang w:val="en-US"/>
        </w:rPr>
      </w:pPr>
      <w:r w:rsidRPr="00285FE8">
        <w:rPr>
          <w:rFonts w:ascii="Times New Roman" w:hAnsi="Times New Roman" w:cs="Times New Roman"/>
          <w:lang w:val="en-US"/>
        </w:rPr>
        <w:t xml:space="preserve">You will be given an ordinary household item that has a specific purpose, with which you are familiar with. Your task is to come up with as many unusual and non-standard uses as possible. Be original. Do not try to evaluate the quality of your ideas. Just offer as non-standard and original ideas as you can. Write down your ideas briefly but clearly. Start each new idea on a new line. You will have </w:t>
      </w:r>
      <w:r w:rsidR="00734142">
        <w:rPr>
          <w:rFonts w:ascii="Times New Roman" w:hAnsi="Times New Roman" w:cs="Times New Roman"/>
          <w:lang w:val="en-US"/>
        </w:rPr>
        <w:t>3 minutes to complete the task.</w:t>
      </w:r>
    </w:p>
    <w:p w14:paraId="678ABA6A" w14:textId="173AC4FA" w:rsidR="00B954E0" w:rsidRDefault="00734142" w:rsidP="00734142">
      <w:pPr>
        <w:jc w:val="both"/>
        <w:rPr>
          <w:rFonts w:ascii="Times New Roman" w:hAnsi="Times New Roman" w:cs="Times New Roman"/>
          <w:lang w:val="en-US"/>
        </w:rPr>
      </w:pPr>
      <w:r>
        <w:rPr>
          <w:rFonts w:ascii="Times New Roman" w:hAnsi="Times New Roman" w:cs="Times New Roman"/>
          <w:lang w:val="en-US"/>
        </w:rPr>
        <w:t>To assess</w:t>
      </w:r>
      <w:r w:rsidRPr="00734142">
        <w:rPr>
          <w:rFonts w:ascii="Times New Roman" w:hAnsi="Times New Roman" w:cs="Times New Roman"/>
          <w:lang w:val="en-US"/>
        </w:rPr>
        <w:t xml:space="preserve"> creativity</w:t>
      </w:r>
      <w:r>
        <w:rPr>
          <w:rFonts w:ascii="Times New Roman" w:hAnsi="Times New Roman" w:cs="Times New Roman"/>
          <w:lang w:val="en-US"/>
        </w:rPr>
        <w:t xml:space="preserve"> of every response</w:t>
      </w:r>
      <w:r w:rsidRPr="00734142">
        <w:rPr>
          <w:rFonts w:ascii="Times New Roman" w:hAnsi="Times New Roman" w:cs="Times New Roman"/>
          <w:lang w:val="en-US"/>
        </w:rPr>
        <w:t xml:space="preserve">, we applied the subjective scoring method (Silvia et al., 2008). Three psychologists (Ph.D. professor and two graduate students), including both authors of </w:t>
      </w:r>
      <w:r>
        <w:rPr>
          <w:rFonts w:ascii="Times New Roman" w:hAnsi="Times New Roman" w:cs="Times New Roman"/>
          <w:lang w:val="en-US"/>
        </w:rPr>
        <w:t>the</w:t>
      </w:r>
      <w:r w:rsidRPr="00734142">
        <w:rPr>
          <w:rFonts w:ascii="Times New Roman" w:hAnsi="Times New Roman" w:cs="Times New Roman"/>
          <w:lang w:val="en-US"/>
        </w:rPr>
        <w:t xml:space="preserve"> paper, acted as judges. All judges had a basic level of training in the domain of creativity assessment and were familiar with the rules of scoring for divergent thinking tasks. Prior to the assessment procedure, all judges took part in a short training session aimed at clarifying and common understanding of all the criteria (uncommonn</w:t>
      </w:r>
      <w:r>
        <w:rPr>
          <w:rFonts w:ascii="Times New Roman" w:hAnsi="Times New Roman" w:cs="Times New Roman"/>
          <w:lang w:val="en-US"/>
        </w:rPr>
        <w:t>ess, remoteness, and cleverness</w:t>
      </w:r>
      <w:r w:rsidRPr="00734142">
        <w:rPr>
          <w:rFonts w:ascii="Times New Roman" w:hAnsi="Times New Roman" w:cs="Times New Roman"/>
          <w:lang w:val="en-US"/>
        </w:rPr>
        <w:t>), which were listed in the instruction for judges</w:t>
      </w:r>
      <w:r>
        <w:rPr>
          <w:rFonts w:ascii="Times New Roman" w:hAnsi="Times New Roman" w:cs="Times New Roman"/>
          <w:lang w:val="en-US"/>
        </w:rPr>
        <w:t>. The instruction for judges was adapted from Silvia et al. (</w:t>
      </w:r>
      <w:r w:rsidRPr="00734142">
        <w:rPr>
          <w:rFonts w:ascii="Times New Roman" w:hAnsi="Times New Roman" w:cs="Times New Roman"/>
          <w:lang w:val="en-US"/>
        </w:rPr>
        <w:t>2008).</w:t>
      </w:r>
      <w:r w:rsidR="00EA14A1">
        <w:rPr>
          <w:rFonts w:ascii="Times New Roman" w:hAnsi="Times New Roman" w:cs="Times New Roman"/>
          <w:lang w:val="en-US"/>
        </w:rPr>
        <w:t xml:space="preserve"> </w:t>
      </w:r>
      <w:r w:rsidR="00EA14A1" w:rsidRPr="00EA14A1">
        <w:rPr>
          <w:rFonts w:ascii="Times New Roman" w:hAnsi="Times New Roman" w:cs="Times New Roman"/>
          <w:lang w:val="en-US"/>
        </w:rPr>
        <w:t>Three judges worked independently and rated every response in both tasks on a 5-po</w:t>
      </w:r>
      <w:r w:rsidR="00EA14A1">
        <w:rPr>
          <w:rFonts w:ascii="Times New Roman" w:hAnsi="Times New Roman" w:cs="Times New Roman"/>
          <w:lang w:val="en-US"/>
        </w:rPr>
        <w:t>int scale (1 = </w:t>
      </w:r>
      <w:r w:rsidR="00EA14A1" w:rsidRPr="00EA14A1">
        <w:rPr>
          <w:rFonts w:ascii="Times New Roman" w:hAnsi="Times New Roman" w:cs="Times New Roman"/>
          <w:i/>
          <w:lang w:val="en-US"/>
        </w:rPr>
        <w:t>not at all creative</w:t>
      </w:r>
      <w:r w:rsidR="00EA14A1" w:rsidRPr="00EA14A1">
        <w:rPr>
          <w:rFonts w:ascii="Times New Roman" w:hAnsi="Times New Roman" w:cs="Times New Roman"/>
          <w:lang w:val="en-US"/>
        </w:rPr>
        <w:t xml:space="preserve">, 5 = </w:t>
      </w:r>
      <w:r w:rsidR="00EA14A1" w:rsidRPr="00EA14A1">
        <w:rPr>
          <w:rFonts w:ascii="Times New Roman" w:hAnsi="Times New Roman" w:cs="Times New Roman"/>
          <w:i/>
          <w:lang w:val="en-US"/>
        </w:rPr>
        <w:t>very creative</w:t>
      </w:r>
      <w:r w:rsidR="00EA14A1" w:rsidRPr="00EA14A1">
        <w:rPr>
          <w:rFonts w:ascii="Times New Roman" w:hAnsi="Times New Roman" w:cs="Times New Roman"/>
          <w:lang w:val="en-US"/>
        </w:rPr>
        <w:t>).</w:t>
      </w:r>
    </w:p>
    <w:p w14:paraId="44A3797F" w14:textId="77777777" w:rsidR="00C84FDB" w:rsidRDefault="00C84FDB" w:rsidP="00673D26">
      <w:pPr>
        <w:spacing w:after="0"/>
        <w:jc w:val="both"/>
        <w:rPr>
          <w:rFonts w:ascii="Times New Roman" w:hAnsi="Times New Roman" w:cs="Times New Roman"/>
          <w:lang w:val="en-US"/>
        </w:rPr>
      </w:pPr>
    </w:p>
    <w:p w14:paraId="7646655C" w14:textId="464F5575" w:rsidR="00C84FDB" w:rsidRPr="00074A15" w:rsidRDefault="00C84FDB" w:rsidP="00C84FDB">
      <w:pPr>
        <w:rPr>
          <w:rFonts w:ascii="Times New Roman" w:hAnsi="Times New Roman" w:cs="Times New Roman"/>
          <w:b/>
          <w:lang w:val="en-US"/>
        </w:rPr>
      </w:pPr>
      <w:r>
        <w:rPr>
          <w:rFonts w:ascii="Times New Roman" w:hAnsi="Times New Roman" w:cs="Times New Roman"/>
          <w:b/>
          <w:lang w:val="en-US"/>
        </w:rPr>
        <w:t xml:space="preserve">2. </w:t>
      </w:r>
      <w:r w:rsidRPr="00074A15">
        <w:rPr>
          <w:rFonts w:ascii="Times New Roman" w:hAnsi="Times New Roman" w:cs="Times New Roman"/>
          <w:b/>
          <w:lang w:val="en-US"/>
        </w:rPr>
        <w:t xml:space="preserve">Metadata for </w:t>
      </w:r>
      <w:r>
        <w:rPr>
          <w:rFonts w:ascii="Times New Roman" w:hAnsi="Times New Roman" w:cs="Times New Roman"/>
          <w:b/>
          <w:lang w:val="en-US"/>
        </w:rPr>
        <w:t>“</w:t>
      </w:r>
      <w:r w:rsidRPr="00074A15">
        <w:rPr>
          <w:rFonts w:ascii="Times New Roman" w:hAnsi="Times New Roman" w:cs="Times New Roman"/>
          <w:b/>
          <w:lang w:val="en-US"/>
        </w:rPr>
        <w:t>Rus-DT-AUT S</w:t>
      </w:r>
      <w:r>
        <w:rPr>
          <w:rFonts w:ascii="Times New Roman" w:hAnsi="Times New Roman" w:cs="Times New Roman"/>
          <w:b/>
          <w:lang w:val="en-US"/>
        </w:rPr>
        <w:t>2”</w:t>
      </w:r>
    </w:p>
    <w:p w14:paraId="3636F5B8" w14:textId="009D8A32" w:rsidR="003E6BBC" w:rsidRDefault="00145F62" w:rsidP="00673D26">
      <w:pPr>
        <w:jc w:val="both"/>
        <w:rPr>
          <w:rFonts w:ascii="Times New Roman" w:hAnsi="Times New Roman" w:cs="Times New Roman"/>
          <w:lang w:val="en-US"/>
        </w:rPr>
      </w:pPr>
      <w:r>
        <w:rPr>
          <w:rFonts w:ascii="Times New Roman" w:hAnsi="Times New Roman" w:cs="Times New Roman"/>
          <w:lang w:val="en-US"/>
        </w:rPr>
        <w:t>The data comes from</w:t>
      </w:r>
      <w:r w:rsidR="002329FB">
        <w:rPr>
          <w:rFonts w:ascii="Times New Roman" w:hAnsi="Times New Roman" w:cs="Times New Roman"/>
          <w:lang w:val="en-US"/>
        </w:rPr>
        <w:t xml:space="preserve"> unpublished dataset</w:t>
      </w:r>
      <w:r w:rsidR="006334AE">
        <w:rPr>
          <w:rFonts w:ascii="Times New Roman" w:hAnsi="Times New Roman" w:cs="Times New Roman"/>
          <w:lang w:val="en-US"/>
        </w:rPr>
        <w:t xml:space="preserve"> provided by a</w:t>
      </w:r>
      <w:r w:rsidR="006334AE" w:rsidRPr="006334AE">
        <w:rPr>
          <w:rFonts w:ascii="Times New Roman" w:hAnsi="Times New Roman" w:cs="Times New Roman"/>
          <w:lang w:val="en-US"/>
        </w:rPr>
        <w:t>utonomous non-commercial organization</w:t>
      </w:r>
      <w:r w:rsidR="006334AE">
        <w:rPr>
          <w:rFonts w:ascii="Times New Roman" w:hAnsi="Times New Roman" w:cs="Times New Roman"/>
          <w:lang w:val="en-US"/>
        </w:rPr>
        <w:t xml:space="preserve"> “Gifted Youth”</w:t>
      </w:r>
      <w:r w:rsidR="0013408C">
        <w:rPr>
          <w:rFonts w:ascii="Times New Roman" w:hAnsi="Times New Roman" w:cs="Times New Roman"/>
          <w:lang w:val="en-US"/>
        </w:rPr>
        <w:t xml:space="preserve"> (</w:t>
      </w:r>
      <w:r w:rsidR="0013408C" w:rsidRPr="0013408C">
        <w:rPr>
          <w:rFonts w:ascii="Times New Roman" w:hAnsi="Times New Roman" w:cs="Times New Roman"/>
          <w:lang w:val="en-US"/>
        </w:rPr>
        <w:t>https://spb-iq.ru/</w:t>
      </w:r>
      <w:r w:rsidR="0013408C">
        <w:rPr>
          <w:rFonts w:ascii="Times New Roman" w:hAnsi="Times New Roman" w:cs="Times New Roman"/>
          <w:lang w:val="en-US"/>
        </w:rPr>
        <w:t>).</w:t>
      </w:r>
      <w:r w:rsidR="006334AE">
        <w:rPr>
          <w:rFonts w:ascii="Times New Roman" w:hAnsi="Times New Roman" w:cs="Times New Roman"/>
          <w:lang w:val="en-US"/>
        </w:rPr>
        <w:t xml:space="preserve"> The organization </w:t>
      </w:r>
      <w:r w:rsidR="0013408C">
        <w:rPr>
          <w:rFonts w:ascii="Times New Roman" w:hAnsi="Times New Roman" w:cs="Times New Roman"/>
          <w:lang w:val="en-US"/>
        </w:rPr>
        <w:t xml:space="preserve">functions in St. Petersburg, Russia, and </w:t>
      </w:r>
      <w:r w:rsidR="006334AE">
        <w:rPr>
          <w:rFonts w:ascii="Times New Roman" w:hAnsi="Times New Roman" w:cs="Times New Roman"/>
          <w:lang w:val="en-US"/>
        </w:rPr>
        <w:t xml:space="preserve">specializes in identifying </w:t>
      </w:r>
      <w:r>
        <w:rPr>
          <w:rFonts w:ascii="Times New Roman" w:hAnsi="Times New Roman" w:cs="Times New Roman"/>
          <w:lang w:val="en-US"/>
        </w:rPr>
        <w:t xml:space="preserve">intellectually </w:t>
      </w:r>
      <w:r w:rsidR="006334AE">
        <w:rPr>
          <w:rFonts w:ascii="Times New Roman" w:hAnsi="Times New Roman" w:cs="Times New Roman"/>
          <w:lang w:val="en-US"/>
        </w:rPr>
        <w:t>gifted adolescents</w:t>
      </w:r>
      <w:r>
        <w:rPr>
          <w:rFonts w:ascii="Times New Roman" w:hAnsi="Times New Roman" w:cs="Times New Roman"/>
          <w:lang w:val="en-US"/>
        </w:rPr>
        <w:t xml:space="preserve"> (IQ &gt; 126)</w:t>
      </w:r>
      <w:r w:rsidR="006334AE">
        <w:rPr>
          <w:rFonts w:ascii="Times New Roman" w:hAnsi="Times New Roman" w:cs="Times New Roman"/>
          <w:lang w:val="en-US"/>
        </w:rPr>
        <w:t xml:space="preserve"> </w:t>
      </w:r>
      <w:r w:rsidR="0013408C">
        <w:rPr>
          <w:rFonts w:ascii="Times New Roman" w:hAnsi="Times New Roman" w:cs="Times New Roman"/>
          <w:lang w:val="en-US"/>
        </w:rPr>
        <w:t xml:space="preserve">and </w:t>
      </w:r>
      <w:r>
        <w:rPr>
          <w:rFonts w:ascii="Times New Roman" w:hAnsi="Times New Roman" w:cs="Times New Roman"/>
          <w:lang w:val="en-US"/>
        </w:rPr>
        <w:t>nurturing their intellectual and creative potential. Each year,</w:t>
      </w:r>
      <w:r w:rsidR="0027390C">
        <w:rPr>
          <w:rFonts w:ascii="Times New Roman" w:hAnsi="Times New Roman" w:cs="Times New Roman"/>
          <w:lang w:val="en-US"/>
        </w:rPr>
        <w:t xml:space="preserve"> hundreds of 8</w:t>
      </w:r>
      <w:r w:rsidR="0027390C" w:rsidRPr="0027390C">
        <w:rPr>
          <w:rFonts w:ascii="Times New Roman" w:hAnsi="Times New Roman" w:cs="Times New Roman"/>
          <w:vertAlign w:val="superscript"/>
          <w:lang w:val="en-US"/>
        </w:rPr>
        <w:t>th</w:t>
      </w:r>
      <w:r w:rsidR="0027390C">
        <w:rPr>
          <w:rFonts w:ascii="Times New Roman" w:hAnsi="Times New Roman" w:cs="Times New Roman"/>
          <w:lang w:val="en-US"/>
        </w:rPr>
        <w:t xml:space="preserve"> grade students participate in a large screening durin</w:t>
      </w:r>
      <w:r w:rsidR="00725FF9">
        <w:rPr>
          <w:rFonts w:ascii="Times New Roman" w:hAnsi="Times New Roman" w:cs="Times New Roman"/>
          <w:lang w:val="en-US"/>
        </w:rPr>
        <w:t>g which they have to complete a brief IQ measure</w:t>
      </w:r>
      <w:r w:rsidR="0027390C">
        <w:rPr>
          <w:rFonts w:ascii="Times New Roman" w:hAnsi="Times New Roman" w:cs="Times New Roman"/>
          <w:lang w:val="en-US"/>
        </w:rPr>
        <w:t xml:space="preserve">. </w:t>
      </w:r>
      <w:r w:rsidR="002C2A1B">
        <w:rPr>
          <w:rFonts w:ascii="Times New Roman" w:hAnsi="Times New Roman" w:cs="Times New Roman"/>
          <w:lang w:val="en-US"/>
        </w:rPr>
        <w:t>T</w:t>
      </w:r>
      <w:r w:rsidR="00725FF9">
        <w:rPr>
          <w:rFonts w:ascii="Times New Roman" w:hAnsi="Times New Roman" w:cs="Times New Roman"/>
          <w:lang w:val="en-US"/>
        </w:rPr>
        <w:t>hose who pass</w:t>
      </w:r>
      <w:r w:rsidR="00D97D37">
        <w:rPr>
          <w:rFonts w:ascii="Times New Roman" w:hAnsi="Times New Roman" w:cs="Times New Roman"/>
          <w:lang w:val="en-US"/>
        </w:rPr>
        <w:t xml:space="preserve"> a predefined IQ cutoff are invited </w:t>
      </w:r>
      <w:r w:rsidR="002C2A1B">
        <w:rPr>
          <w:rFonts w:ascii="Times New Roman" w:hAnsi="Times New Roman" w:cs="Times New Roman"/>
          <w:lang w:val="en-US"/>
        </w:rPr>
        <w:t>to take part in the second tour. The second tour implies</w:t>
      </w:r>
      <w:r w:rsidR="00FC0FD3">
        <w:rPr>
          <w:rFonts w:ascii="Times New Roman" w:hAnsi="Times New Roman" w:cs="Times New Roman"/>
          <w:lang w:val="en-US"/>
        </w:rPr>
        <w:t xml:space="preserve"> a</w:t>
      </w:r>
      <w:r w:rsidR="002C2A1B">
        <w:rPr>
          <w:rFonts w:ascii="Times New Roman" w:hAnsi="Times New Roman" w:cs="Times New Roman"/>
          <w:lang w:val="en-US"/>
        </w:rPr>
        <w:t xml:space="preserve"> more comprehensive diagnostics of </w:t>
      </w:r>
      <w:r w:rsidR="00FC0FD3">
        <w:rPr>
          <w:rFonts w:ascii="Times New Roman" w:hAnsi="Times New Roman" w:cs="Times New Roman"/>
          <w:lang w:val="en-US"/>
        </w:rPr>
        <w:t>intelligence and creative potential</w:t>
      </w:r>
      <w:r w:rsidR="002C2A1B">
        <w:rPr>
          <w:rFonts w:ascii="Times New Roman" w:hAnsi="Times New Roman" w:cs="Times New Roman"/>
          <w:lang w:val="en-US"/>
        </w:rPr>
        <w:t xml:space="preserve">. </w:t>
      </w:r>
      <w:r w:rsidR="00FC0FD3">
        <w:rPr>
          <w:rFonts w:ascii="Times New Roman" w:hAnsi="Times New Roman" w:cs="Times New Roman"/>
          <w:lang w:val="en-US"/>
        </w:rPr>
        <w:t xml:space="preserve">The data described below comes from the second tour of diagnostics in </w:t>
      </w:r>
      <w:r w:rsidR="0015388F">
        <w:rPr>
          <w:rFonts w:ascii="Times New Roman" w:hAnsi="Times New Roman" w:cs="Times New Roman"/>
          <w:lang w:val="en-US"/>
        </w:rPr>
        <w:t xml:space="preserve">April–May, </w:t>
      </w:r>
      <w:r w:rsidR="00FC0FD3">
        <w:rPr>
          <w:rFonts w:ascii="Times New Roman" w:hAnsi="Times New Roman" w:cs="Times New Roman"/>
          <w:lang w:val="en-US"/>
        </w:rPr>
        <w:t xml:space="preserve">2018. The sample was comprised of 45 </w:t>
      </w:r>
      <w:r w:rsidR="0014483B">
        <w:rPr>
          <w:rFonts w:ascii="Times New Roman" w:hAnsi="Times New Roman" w:cs="Times New Roman"/>
          <w:lang w:val="en-US"/>
        </w:rPr>
        <w:t xml:space="preserve">school </w:t>
      </w:r>
      <w:r w:rsidR="00FC0FD3">
        <w:rPr>
          <w:rFonts w:ascii="Times New Roman" w:hAnsi="Times New Roman" w:cs="Times New Roman"/>
          <w:lang w:val="en-US"/>
        </w:rPr>
        <w:t>students (</w:t>
      </w:r>
      <w:r w:rsidR="0014483B">
        <w:rPr>
          <w:rFonts w:ascii="Times New Roman" w:hAnsi="Times New Roman" w:cs="Times New Roman"/>
          <w:lang w:val="en-US"/>
        </w:rPr>
        <w:t>56% females) aged 14–15 years</w:t>
      </w:r>
      <w:r w:rsidR="007D23B7">
        <w:rPr>
          <w:rFonts w:ascii="Times New Roman" w:hAnsi="Times New Roman" w:cs="Times New Roman"/>
          <w:lang w:val="en-US"/>
        </w:rPr>
        <w:t xml:space="preserve"> who completed a full battery of psychological measures</w:t>
      </w:r>
      <w:r w:rsidR="00F033BB">
        <w:rPr>
          <w:rFonts w:ascii="Times New Roman" w:hAnsi="Times New Roman" w:cs="Times New Roman"/>
          <w:lang w:val="en-US"/>
        </w:rPr>
        <w:t xml:space="preserve">. Participants were tested in groups of 9–22. </w:t>
      </w:r>
      <w:r w:rsidR="009D5CBC">
        <w:rPr>
          <w:rFonts w:ascii="Times New Roman" w:hAnsi="Times New Roman" w:cs="Times New Roman"/>
          <w:lang w:val="en-US"/>
        </w:rPr>
        <w:t>The measures</w:t>
      </w:r>
      <w:r w:rsidR="002A60B4">
        <w:rPr>
          <w:rFonts w:ascii="Times New Roman" w:hAnsi="Times New Roman" w:cs="Times New Roman"/>
          <w:lang w:val="en-US"/>
        </w:rPr>
        <w:t xml:space="preserve"> included</w:t>
      </w:r>
      <w:r w:rsidR="007D23B7">
        <w:rPr>
          <w:rFonts w:ascii="Times New Roman" w:hAnsi="Times New Roman" w:cs="Times New Roman"/>
          <w:lang w:val="en-US"/>
        </w:rPr>
        <w:t xml:space="preserve"> Universal Intelligence Test (UIT SPC-M; Baturin &amp; Kurgansky</w:t>
      </w:r>
      <w:r w:rsidR="00312004">
        <w:rPr>
          <w:rFonts w:ascii="Times New Roman" w:hAnsi="Times New Roman" w:cs="Times New Roman"/>
          <w:lang w:val="en-US"/>
        </w:rPr>
        <w:t>, 2003</w:t>
      </w:r>
      <w:r w:rsidR="007D23B7">
        <w:rPr>
          <w:rFonts w:ascii="Times New Roman" w:hAnsi="Times New Roman" w:cs="Times New Roman"/>
          <w:lang w:val="en-US"/>
        </w:rPr>
        <w:t xml:space="preserve">), </w:t>
      </w:r>
      <w:r w:rsidR="009D5CBC">
        <w:rPr>
          <w:rFonts w:ascii="Times New Roman" w:hAnsi="Times New Roman" w:cs="Times New Roman"/>
          <w:lang w:val="en-US"/>
        </w:rPr>
        <w:t xml:space="preserve">Torrance Test of Creative Thinking (TTCT; Tunik, 2013), Big Five Inventory (BFI; Shchebetenko et al., 2014), and </w:t>
      </w:r>
      <w:r w:rsidR="007D23B7">
        <w:rPr>
          <w:rFonts w:ascii="Times New Roman" w:hAnsi="Times New Roman" w:cs="Times New Roman"/>
          <w:lang w:val="en-US"/>
        </w:rPr>
        <w:t xml:space="preserve">Raven’s Advanced Progressive Matrices (RAPM; short version of 18 items; </w:t>
      </w:r>
      <w:r w:rsidR="002A60B4">
        <w:rPr>
          <w:rFonts w:ascii="Times New Roman" w:hAnsi="Times New Roman" w:cs="Times New Roman"/>
          <w:lang w:val="en-US"/>
        </w:rPr>
        <w:t>Raven et al., 1998</w:t>
      </w:r>
      <w:r w:rsidR="009D5CBC">
        <w:rPr>
          <w:rFonts w:ascii="Times New Roman" w:hAnsi="Times New Roman" w:cs="Times New Roman"/>
          <w:lang w:val="en-US"/>
        </w:rPr>
        <w:t>)</w:t>
      </w:r>
      <w:r w:rsidR="007D23B7">
        <w:rPr>
          <w:rFonts w:ascii="Times New Roman" w:hAnsi="Times New Roman" w:cs="Times New Roman"/>
          <w:lang w:val="en-US"/>
        </w:rPr>
        <w:t>.</w:t>
      </w:r>
      <w:r w:rsidR="00B57A4A">
        <w:rPr>
          <w:rFonts w:ascii="Times New Roman" w:hAnsi="Times New Roman" w:cs="Times New Roman"/>
          <w:lang w:val="en-US"/>
        </w:rPr>
        <w:t xml:space="preserve"> All measures are listed in the order of their administration.</w:t>
      </w:r>
      <w:r w:rsidR="002062BC">
        <w:rPr>
          <w:rFonts w:ascii="Times New Roman" w:hAnsi="Times New Roman" w:cs="Times New Roman"/>
          <w:lang w:val="en-US"/>
        </w:rPr>
        <w:t xml:space="preserve"> Here, we focus </w:t>
      </w:r>
      <w:r w:rsidR="003323E9">
        <w:rPr>
          <w:rFonts w:ascii="Times New Roman" w:hAnsi="Times New Roman" w:cs="Times New Roman"/>
          <w:lang w:val="en-US"/>
        </w:rPr>
        <w:t xml:space="preserve">only on one TTCT subtest (i.e., Unusual Uses) and </w:t>
      </w:r>
      <w:r w:rsidR="00B1185C">
        <w:rPr>
          <w:rFonts w:ascii="Times New Roman" w:hAnsi="Times New Roman" w:cs="Times New Roman"/>
          <w:lang w:val="en-US"/>
        </w:rPr>
        <w:t xml:space="preserve">the </w:t>
      </w:r>
      <w:r w:rsidR="003323E9">
        <w:rPr>
          <w:rFonts w:ascii="Times New Roman" w:hAnsi="Times New Roman" w:cs="Times New Roman"/>
          <w:lang w:val="en-US"/>
        </w:rPr>
        <w:t>BFI</w:t>
      </w:r>
      <w:r w:rsidR="006C48DA">
        <w:rPr>
          <w:rFonts w:ascii="Times New Roman" w:hAnsi="Times New Roman" w:cs="Times New Roman"/>
          <w:lang w:val="en-US"/>
        </w:rPr>
        <w:t xml:space="preserve"> because they are </w:t>
      </w:r>
      <w:r w:rsidR="002D3687">
        <w:rPr>
          <w:rFonts w:ascii="Times New Roman" w:hAnsi="Times New Roman" w:cs="Times New Roman"/>
          <w:lang w:val="en-US"/>
        </w:rPr>
        <w:t xml:space="preserve">the </w:t>
      </w:r>
      <w:r w:rsidR="006C48DA">
        <w:rPr>
          <w:rFonts w:ascii="Times New Roman" w:hAnsi="Times New Roman" w:cs="Times New Roman"/>
          <w:lang w:val="en-US"/>
        </w:rPr>
        <w:t>most relevant</w:t>
      </w:r>
      <w:r w:rsidR="002D3687">
        <w:rPr>
          <w:rFonts w:ascii="Times New Roman" w:hAnsi="Times New Roman" w:cs="Times New Roman"/>
          <w:lang w:val="en-US"/>
        </w:rPr>
        <w:t xml:space="preserve"> for the study. Participants completed the</w:t>
      </w:r>
      <w:r w:rsidR="002D3687" w:rsidRPr="00285FE8">
        <w:rPr>
          <w:rFonts w:ascii="Times New Roman" w:hAnsi="Times New Roman" w:cs="Times New Roman"/>
          <w:lang w:val="en-US"/>
        </w:rPr>
        <w:t xml:space="preserve"> </w:t>
      </w:r>
      <w:r w:rsidR="00F66ACB">
        <w:rPr>
          <w:rFonts w:ascii="Times New Roman" w:hAnsi="Times New Roman" w:cs="Times New Roman"/>
          <w:lang w:val="en-US"/>
        </w:rPr>
        <w:t xml:space="preserve">Unusual Uses task for cardboard </w:t>
      </w:r>
      <w:r w:rsidR="002D3687">
        <w:rPr>
          <w:rFonts w:ascii="Times New Roman" w:hAnsi="Times New Roman" w:cs="Times New Roman"/>
          <w:lang w:val="en-US"/>
        </w:rPr>
        <w:t>box</w:t>
      </w:r>
      <w:r w:rsidR="00F66ACB">
        <w:rPr>
          <w:rFonts w:ascii="Times New Roman" w:hAnsi="Times New Roman" w:cs="Times New Roman"/>
          <w:lang w:val="en-US"/>
        </w:rPr>
        <w:t>es</w:t>
      </w:r>
      <w:r w:rsidR="00383796">
        <w:rPr>
          <w:rFonts w:ascii="Times New Roman" w:hAnsi="Times New Roman" w:cs="Times New Roman"/>
          <w:lang w:val="en-US"/>
        </w:rPr>
        <w:t xml:space="preserve"> with a 10-minute limit under the </w:t>
      </w:r>
      <w:r w:rsidR="003E6BBC">
        <w:rPr>
          <w:rFonts w:ascii="Times New Roman" w:hAnsi="Times New Roman" w:cs="Times New Roman"/>
          <w:lang w:val="en-US"/>
        </w:rPr>
        <w:t xml:space="preserve">modified manual’s </w:t>
      </w:r>
      <w:r w:rsidR="00383796">
        <w:rPr>
          <w:rFonts w:ascii="Times New Roman" w:hAnsi="Times New Roman" w:cs="Times New Roman"/>
          <w:lang w:val="en-US"/>
        </w:rPr>
        <w:t xml:space="preserve">instruction </w:t>
      </w:r>
      <w:r w:rsidR="003E6BBC">
        <w:rPr>
          <w:rFonts w:ascii="Times New Roman" w:hAnsi="Times New Roman" w:cs="Times New Roman"/>
          <w:lang w:val="en-US"/>
        </w:rPr>
        <w:t>putting emphasis on “be creative.” Here, we provide the full verbatim</w:t>
      </w:r>
      <w:r w:rsidR="00B1185C">
        <w:rPr>
          <w:rFonts w:ascii="Times New Roman" w:hAnsi="Times New Roman" w:cs="Times New Roman"/>
          <w:lang w:val="en-US"/>
        </w:rPr>
        <w:t xml:space="preserve"> (the modification is </w:t>
      </w:r>
      <w:r w:rsidR="00B1185C" w:rsidRPr="00B1185C">
        <w:rPr>
          <w:rFonts w:ascii="Times New Roman" w:hAnsi="Times New Roman" w:cs="Times New Roman"/>
          <w:i/>
          <w:lang w:val="en-US"/>
        </w:rPr>
        <w:t>in italics</w:t>
      </w:r>
      <w:r w:rsidR="00B1185C">
        <w:rPr>
          <w:rFonts w:ascii="Times New Roman" w:hAnsi="Times New Roman" w:cs="Times New Roman"/>
          <w:lang w:val="en-US"/>
        </w:rPr>
        <w:t>)</w:t>
      </w:r>
      <w:r w:rsidR="002735C8">
        <w:rPr>
          <w:rFonts w:ascii="Times New Roman" w:hAnsi="Times New Roman" w:cs="Times New Roman"/>
          <w:lang w:val="en-US"/>
        </w:rPr>
        <w:t>:</w:t>
      </w:r>
    </w:p>
    <w:p w14:paraId="4D2A580F" w14:textId="3071BDDD" w:rsidR="00B1185C" w:rsidRDefault="00B1185C" w:rsidP="00B1185C">
      <w:pPr>
        <w:ind w:left="708"/>
        <w:jc w:val="both"/>
        <w:rPr>
          <w:rFonts w:ascii="Times New Roman" w:hAnsi="Times New Roman" w:cs="Times New Roman"/>
          <w:lang w:val="en-US"/>
        </w:rPr>
      </w:pPr>
      <w:r w:rsidRPr="00B1185C">
        <w:rPr>
          <w:rFonts w:ascii="Times New Roman" w:hAnsi="Times New Roman" w:cs="Times New Roman"/>
          <w:lang w:val="en-US"/>
        </w:rPr>
        <w:t>Most people throw their empty cardboard boxes away, but they have thousands of interesting and unusual uses. In the spaces below and on the next page, list as many of these interesting and unusual uses as you can think of. Do not limit yourself to any one size of box. You may use as many boxes as you like. Do not limit yourself to the uses you have seen or heard about; think about as many new uses as you can</w:t>
      </w:r>
      <w:r>
        <w:rPr>
          <w:rFonts w:ascii="Times New Roman" w:hAnsi="Times New Roman" w:cs="Times New Roman"/>
          <w:lang w:val="en-US"/>
        </w:rPr>
        <w:t xml:space="preserve">. </w:t>
      </w:r>
      <w:r w:rsidRPr="00B1185C">
        <w:rPr>
          <w:rFonts w:ascii="Times New Roman" w:hAnsi="Times New Roman" w:cs="Times New Roman"/>
          <w:i/>
          <w:lang w:val="en-US"/>
        </w:rPr>
        <w:t>Your main task is to suggest uses as creative as possible</w:t>
      </w:r>
      <w:r>
        <w:rPr>
          <w:rFonts w:ascii="Times New Roman" w:hAnsi="Times New Roman" w:cs="Times New Roman"/>
          <w:lang w:val="en-US"/>
        </w:rPr>
        <w:t>.</w:t>
      </w:r>
    </w:p>
    <w:p w14:paraId="478EFF0F" w14:textId="77777777" w:rsidR="00F02BF0" w:rsidRDefault="006B73AA" w:rsidP="00673D26">
      <w:pPr>
        <w:jc w:val="both"/>
        <w:rPr>
          <w:rFonts w:ascii="Times New Roman" w:hAnsi="Times New Roman" w:cs="Times New Roman"/>
          <w:lang w:val="en-US"/>
        </w:rPr>
      </w:pPr>
      <w:r>
        <w:rPr>
          <w:rFonts w:ascii="Times New Roman" w:hAnsi="Times New Roman" w:cs="Times New Roman"/>
          <w:lang w:val="en-US"/>
        </w:rPr>
        <w:t>To assess</w:t>
      </w:r>
      <w:r w:rsidRPr="00734142">
        <w:rPr>
          <w:rFonts w:ascii="Times New Roman" w:hAnsi="Times New Roman" w:cs="Times New Roman"/>
          <w:lang w:val="en-US"/>
        </w:rPr>
        <w:t xml:space="preserve"> creativity</w:t>
      </w:r>
      <w:r>
        <w:rPr>
          <w:rFonts w:ascii="Times New Roman" w:hAnsi="Times New Roman" w:cs="Times New Roman"/>
          <w:lang w:val="en-US"/>
        </w:rPr>
        <w:t xml:space="preserve"> of every response</w:t>
      </w:r>
      <w:r w:rsidRPr="00734142">
        <w:rPr>
          <w:rFonts w:ascii="Times New Roman" w:hAnsi="Times New Roman" w:cs="Times New Roman"/>
          <w:lang w:val="en-US"/>
        </w:rPr>
        <w:t>, we applied the subjective scoring method (Silvia et al., 2008). Three psychologists (</w:t>
      </w:r>
      <w:r w:rsidR="00E3243C">
        <w:rPr>
          <w:rFonts w:ascii="Times New Roman" w:hAnsi="Times New Roman" w:cs="Times New Roman"/>
          <w:lang w:val="en-US"/>
        </w:rPr>
        <w:t xml:space="preserve">two graduate students and I) </w:t>
      </w:r>
      <w:r w:rsidRPr="00734142">
        <w:rPr>
          <w:rFonts w:ascii="Times New Roman" w:hAnsi="Times New Roman" w:cs="Times New Roman"/>
          <w:lang w:val="en-US"/>
        </w:rPr>
        <w:t xml:space="preserve">acted as judges. All judges had a basic level of training in the domain of creativity assessment and were familiar with the rules of scoring for divergent thinking tasks. </w:t>
      </w:r>
      <w:r>
        <w:rPr>
          <w:rFonts w:ascii="Times New Roman" w:hAnsi="Times New Roman" w:cs="Times New Roman"/>
          <w:lang w:val="en-US"/>
        </w:rPr>
        <w:t xml:space="preserve">The </w:t>
      </w:r>
      <w:r>
        <w:rPr>
          <w:rFonts w:ascii="Times New Roman" w:hAnsi="Times New Roman" w:cs="Times New Roman"/>
          <w:lang w:val="en-US"/>
        </w:rPr>
        <w:lastRenderedPageBreak/>
        <w:t>instruction for judges was adapted from Silvia et al. (</w:t>
      </w:r>
      <w:r w:rsidRPr="00734142">
        <w:rPr>
          <w:rFonts w:ascii="Times New Roman" w:hAnsi="Times New Roman" w:cs="Times New Roman"/>
          <w:lang w:val="en-US"/>
        </w:rPr>
        <w:t>2008).</w:t>
      </w:r>
      <w:r w:rsidR="0085276B">
        <w:rPr>
          <w:rFonts w:ascii="Times New Roman" w:hAnsi="Times New Roman" w:cs="Times New Roman"/>
          <w:lang w:val="en-US"/>
        </w:rPr>
        <w:t xml:space="preserve"> Besides, judges were encouraged to rate no more than 200–250 ideas per day to minimize cognitive load (Forthmann et al., 2017).</w:t>
      </w:r>
      <w:r>
        <w:rPr>
          <w:rFonts w:ascii="Times New Roman" w:hAnsi="Times New Roman" w:cs="Times New Roman"/>
          <w:lang w:val="en-US"/>
        </w:rPr>
        <w:t xml:space="preserve"> </w:t>
      </w:r>
      <w:r w:rsidRPr="00EA14A1">
        <w:rPr>
          <w:rFonts w:ascii="Times New Roman" w:hAnsi="Times New Roman" w:cs="Times New Roman"/>
          <w:lang w:val="en-US"/>
        </w:rPr>
        <w:t>Three judges worked independently and rated every response on a 5-po</w:t>
      </w:r>
      <w:r>
        <w:rPr>
          <w:rFonts w:ascii="Times New Roman" w:hAnsi="Times New Roman" w:cs="Times New Roman"/>
          <w:lang w:val="en-US"/>
        </w:rPr>
        <w:t>int scale (1 = </w:t>
      </w:r>
      <w:r w:rsidRPr="00EA14A1">
        <w:rPr>
          <w:rFonts w:ascii="Times New Roman" w:hAnsi="Times New Roman" w:cs="Times New Roman"/>
          <w:i/>
          <w:lang w:val="en-US"/>
        </w:rPr>
        <w:t>not at all creative</w:t>
      </w:r>
      <w:r w:rsidRPr="00EA14A1">
        <w:rPr>
          <w:rFonts w:ascii="Times New Roman" w:hAnsi="Times New Roman" w:cs="Times New Roman"/>
          <w:lang w:val="en-US"/>
        </w:rPr>
        <w:t xml:space="preserve">, 5 = </w:t>
      </w:r>
      <w:r w:rsidRPr="00EA14A1">
        <w:rPr>
          <w:rFonts w:ascii="Times New Roman" w:hAnsi="Times New Roman" w:cs="Times New Roman"/>
          <w:i/>
          <w:lang w:val="en-US"/>
        </w:rPr>
        <w:t>very creative</w:t>
      </w:r>
      <w:r w:rsidRPr="00EA14A1">
        <w:rPr>
          <w:rFonts w:ascii="Times New Roman" w:hAnsi="Times New Roman" w:cs="Times New Roman"/>
          <w:lang w:val="en-US"/>
        </w:rPr>
        <w:t>).</w:t>
      </w:r>
      <w:r w:rsidR="00613B2E">
        <w:rPr>
          <w:rFonts w:ascii="Times New Roman" w:hAnsi="Times New Roman" w:cs="Times New Roman"/>
          <w:lang w:val="en-US"/>
        </w:rPr>
        <w:t xml:space="preserve"> </w:t>
      </w:r>
    </w:p>
    <w:p w14:paraId="18CB8B1F" w14:textId="6BEAEA30" w:rsidR="00312004" w:rsidRDefault="006E6E84" w:rsidP="00673D26">
      <w:pPr>
        <w:jc w:val="both"/>
        <w:rPr>
          <w:rFonts w:ascii="Times New Roman" w:hAnsi="Times New Roman" w:cs="Times New Roman"/>
          <w:lang w:val="en-US"/>
        </w:rPr>
      </w:pPr>
      <w:r>
        <w:rPr>
          <w:rFonts w:ascii="Times New Roman" w:hAnsi="Times New Roman" w:cs="Times New Roman"/>
          <w:lang w:val="en-US"/>
        </w:rPr>
        <w:t>BFI</w:t>
      </w:r>
      <w:r w:rsidR="00613B2E">
        <w:rPr>
          <w:rFonts w:ascii="Times New Roman" w:hAnsi="Times New Roman" w:cs="Times New Roman"/>
          <w:lang w:val="en-US"/>
        </w:rPr>
        <w:t xml:space="preserve"> consisted of 44 items encompassing Big Five personality traits: extraversion (8 items, ω</w:t>
      </w:r>
      <w:r w:rsidR="00613B2E" w:rsidRPr="00613B2E">
        <w:rPr>
          <w:rFonts w:ascii="Times New Roman" w:hAnsi="Times New Roman" w:cs="Times New Roman"/>
          <w:vertAlign w:val="subscript"/>
          <w:lang w:val="en-US"/>
        </w:rPr>
        <w:t>t</w:t>
      </w:r>
      <w:r>
        <w:rPr>
          <w:rFonts w:ascii="Times New Roman" w:hAnsi="Times New Roman" w:cs="Times New Roman"/>
          <w:lang w:val="en-US"/>
        </w:rPr>
        <w:t> = .80</w:t>
      </w:r>
      <w:r w:rsidR="00613B2E">
        <w:rPr>
          <w:rFonts w:ascii="Times New Roman" w:hAnsi="Times New Roman" w:cs="Times New Roman"/>
          <w:lang w:val="en-US"/>
        </w:rPr>
        <w:t>; “g</w:t>
      </w:r>
      <w:r w:rsidR="00613B2E" w:rsidRPr="00613B2E">
        <w:rPr>
          <w:rFonts w:ascii="Times New Roman" w:hAnsi="Times New Roman" w:cs="Times New Roman"/>
          <w:lang w:val="en-US"/>
        </w:rPr>
        <w:t>enerates a lot of enthusiasm</w:t>
      </w:r>
      <w:r w:rsidR="00613B2E">
        <w:rPr>
          <w:rFonts w:ascii="Times New Roman" w:hAnsi="Times New Roman" w:cs="Times New Roman"/>
          <w:lang w:val="en-US"/>
        </w:rPr>
        <w:t>”), agreeableness (9 items, ω</w:t>
      </w:r>
      <w:r w:rsidR="00613B2E" w:rsidRPr="00613B2E">
        <w:rPr>
          <w:rFonts w:ascii="Times New Roman" w:hAnsi="Times New Roman" w:cs="Times New Roman"/>
          <w:vertAlign w:val="subscript"/>
          <w:lang w:val="en-US"/>
        </w:rPr>
        <w:t>t</w:t>
      </w:r>
      <w:r w:rsidR="00613B2E">
        <w:rPr>
          <w:rFonts w:ascii="Times New Roman" w:hAnsi="Times New Roman" w:cs="Times New Roman"/>
          <w:lang w:val="en-US"/>
        </w:rPr>
        <w:t xml:space="preserve"> = </w:t>
      </w:r>
      <w:r>
        <w:rPr>
          <w:rFonts w:ascii="Times New Roman" w:hAnsi="Times New Roman" w:cs="Times New Roman"/>
          <w:lang w:val="en-US"/>
        </w:rPr>
        <w:t>.85</w:t>
      </w:r>
      <w:r w:rsidR="00613B2E">
        <w:rPr>
          <w:rFonts w:ascii="Times New Roman" w:hAnsi="Times New Roman" w:cs="Times New Roman"/>
          <w:lang w:val="en-US"/>
        </w:rPr>
        <w:t>; “i</w:t>
      </w:r>
      <w:r w:rsidR="00613B2E" w:rsidRPr="00613B2E">
        <w:rPr>
          <w:rFonts w:ascii="Times New Roman" w:hAnsi="Times New Roman" w:cs="Times New Roman"/>
          <w:lang w:val="en-US"/>
        </w:rPr>
        <w:t>s helpful and unselfish with others</w:t>
      </w:r>
      <w:r w:rsidR="00613B2E">
        <w:rPr>
          <w:rFonts w:ascii="Times New Roman" w:hAnsi="Times New Roman" w:cs="Times New Roman"/>
          <w:lang w:val="en-US"/>
        </w:rPr>
        <w:t>”), c</w:t>
      </w:r>
      <w:r w:rsidR="00613B2E" w:rsidRPr="00613B2E">
        <w:rPr>
          <w:rFonts w:ascii="Times New Roman" w:hAnsi="Times New Roman" w:cs="Times New Roman"/>
          <w:lang w:val="en-US"/>
        </w:rPr>
        <w:t>onscientiousnes</w:t>
      </w:r>
      <w:r w:rsidR="00613B2E">
        <w:rPr>
          <w:rFonts w:ascii="Times New Roman" w:hAnsi="Times New Roman" w:cs="Times New Roman"/>
          <w:lang w:val="en-US"/>
        </w:rPr>
        <w:t>s (9 items, ω</w:t>
      </w:r>
      <w:r w:rsidR="00613B2E" w:rsidRPr="00613B2E">
        <w:rPr>
          <w:rFonts w:ascii="Times New Roman" w:hAnsi="Times New Roman" w:cs="Times New Roman"/>
          <w:vertAlign w:val="subscript"/>
          <w:lang w:val="en-US"/>
        </w:rPr>
        <w:t>t</w:t>
      </w:r>
      <w:r w:rsidR="00613B2E">
        <w:rPr>
          <w:rFonts w:ascii="Times New Roman" w:hAnsi="Times New Roman" w:cs="Times New Roman"/>
          <w:lang w:val="en-US"/>
        </w:rPr>
        <w:t xml:space="preserve"> = </w:t>
      </w:r>
      <w:r>
        <w:rPr>
          <w:rFonts w:ascii="Times New Roman" w:hAnsi="Times New Roman" w:cs="Times New Roman"/>
          <w:lang w:val="en-US"/>
        </w:rPr>
        <w:t>.85</w:t>
      </w:r>
      <w:r w:rsidR="00613B2E">
        <w:rPr>
          <w:rFonts w:ascii="Times New Roman" w:hAnsi="Times New Roman" w:cs="Times New Roman"/>
          <w:lang w:val="en-US"/>
        </w:rPr>
        <w:t>; “i</w:t>
      </w:r>
      <w:r w:rsidR="00613B2E" w:rsidRPr="00613B2E">
        <w:rPr>
          <w:rFonts w:ascii="Times New Roman" w:hAnsi="Times New Roman" w:cs="Times New Roman"/>
          <w:lang w:val="en-US"/>
        </w:rPr>
        <w:t>s a reliable worker</w:t>
      </w:r>
      <w:r w:rsidR="00613B2E">
        <w:rPr>
          <w:rFonts w:ascii="Times New Roman" w:hAnsi="Times New Roman" w:cs="Times New Roman"/>
          <w:lang w:val="en-US"/>
        </w:rPr>
        <w:t>”)</w:t>
      </w:r>
      <w:r w:rsidR="008622B8">
        <w:rPr>
          <w:rFonts w:ascii="Times New Roman" w:hAnsi="Times New Roman" w:cs="Times New Roman"/>
          <w:lang w:val="en-US"/>
        </w:rPr>
        <w:t>, openness (10 items, ω</w:t>
      </w:r>
      <w:r w:rsidR="008622B8" w:rsidRPr="00613B2E">
        <w:rPr>
          <w:rFonts w:ascii="Times New Roman" w:hAnsi="Times New Roman" w:cs="Times New Roman"/>
          <w:vertAlign w:val="subscript"/>
          <w:lang w:val="en-US"/>
        </w:rPr>
        <w:t>t</w:t>
      </w:r>
      <w:r w:rsidR="008622B8">
        <w:rPr>
          <w:rFonts w:ascii="Times New Roman" w:hAnsi="Times New Roman" w:cs="Times New Roman"/>
          <w:lang w:val="en-US"/>
        </w:rPr>
        <w:t xml:space="preserve"> = </w:t>
      </w:r>
      <w:r>
        <w:rPr>
          <w:rFonts w:ascii="Times New Roman" w:hAnsi="Times New Roman" w:cs="Times New Roman"/>
          <w:lang w:val="en-US"/>
        </w:rPr>
        <w:t>.77</w:t>
      </w:r>
      <w:r w:rsidR="008622B8">
        <w:rPr>
          <w:rFonts w:ascii="Times New Roman" w:hAnsi="Times New Roman" w:cs="Times New Roman"/>
          <w:lang w:val="en-US"/>
        </w:rPr>
        <w:t>; “</w:t>
      </w:r>
      <w:r w:rsidR="00824637">
        <w:rPr>
          <w:rFonts w:ascii="Times New Roman" w:hAnsi="Times New Roman" w:cs="Times New Roman"/>
          <w:lang w:val="en-US"/>
        </w:rPr>
        <w:t>h</w:t>
      </w:r>
      <w:r w:rsidR="00824637" w:rsidRPr="00824637">
        <w:rPr>
          <w:rFonts w:ascii="Times New Roman" w:hAnsi="Times New Roman" w:cs="Times New Roman"/>
          <w:lang w:val="en-US"/>
        </w:rPr>
        <w:t>as an active imagination</w:t>
      </w:r>
      <w:r w:rsidR="008622B8">
        <w:rPr>
          <w:rFonts w:ascii="Times New Roman" w:hAnsi="Times New Roman" w:cs="Times New Roman"/>
          <w:lang w:val="en-US"/>
        </w:rPr>
        <w:t>”), and neuroticism (8 items, ω</w:t>
      </w:r>
      <w:r w:rsidR="008622B8" w:rsidRPr="00613B2E">
        <w:rPr>
          <w:rFonts w:ascii="Times New Roman" w:hAnsi="Times New Roman" w:cs="Times New Roman"/>
          <w:vertAlign w:val="subscript"/>
          <w:lang w:val="en-US"/>
        </w:rPr>
        <w:t>t</w:t>
      </w:r>
      <w:r w:rsidR="008622B8">
        <w:rPr>
          <w:rFonts w:ascii="Times New Roman" w:hAnsi="Times New Roman" w:cs="Times New Roman"/>
          <w:lang w:val="en-US"/>
        </w:rPr>
        <w:t xml:space="preserve"> = </w:t>
      </w:r>
      <w:r>
        <w:rPr>
          <w:rFonts w:ascii="Times New Roman" w:hAnsi="Times New Roman" w:cs="Times New Roman"/>
          <w:lang w:val="en-US"/>
        </w:rPr>
        <w:t>.84</w:t>
      </w:r>
      <w:r w:rsidR="008622B8">
        <w:rPr>
          <w:rFonts w:ascii="Times New Roman" w:hAnsi="Times New Roman" w:cs="Times New Roman"/>
          <w:lang w:val="en-US"/>
        </w:rPr>
        <w:t>; “</w:t>
      </w:r>
      <w:r w:rsidR="00824637">
        <w:rPr>
          <w:rFonts w:ascii="Times New Roman" w:hAnsi="Times New Roman" w:cs="Times New Roman"/>
          <w:lang w:val="en-US"/>
        </w:rPr>
        <w:t>w</w:t>
      </w:r>
      <w:r w:rsidR="00824637" w:rsidRPr="00824637">
        <w:rPr>
          <w:rFonts w:ascii="Times New Roman" w:hAnsi="Times New Roman" w:cs="Times New Roman"/>
          <w:lang w:val="en-US"/>
        </w:rPr>
        <w:t>orries a lot</w:t>
      </w:r>
      <w:r w:rsidR="008622B8">
        <w:rPr>
          <w:rFonts w:ascii="Times New Roman" w:hAnsi="Times New Roman" w:cs="Times New Roman"/>
          <w:lang w:val="en-US"/>
        </w:rPr>
        <w:t>”)</w:t>
      </w:r>
      <w:r w:rsidR="001B6CEC">
        <w:rPr>
          <w:rFonts w:ascii="Times New Roman" w:hAnsi="Times New Roman" w:cs="Times New Roman"/>
          <w:lang w:val="en-US"/>
        </w:rPr>
        <w:t>.</w:t>
      </w:r>
      <w:r w:rsidR="0072614D">
        <w:rPr>
          <w:rFonts w:ascii="Times New Roman" w:hAnsi="Times New Roman" w:cs="Times New Roman"/>
          <w:lang w:val="en-US"/>
        </w:rPr>
        <w:t xml:space="preserve"> Reliability coefficients are reported for omega total based on polychoric</w:t>
      </w:r>
      <w:bookmarkStart w:id="0" w:name="_GoBack"/>
      <w:bookmarkEnd w:id="0"/>
      <w:r w:rsidR="0072614D">
        <w:rPr>
          <w:rFonts w:ascii="Times New Roman" w:hAnsi="Times New Roman" w:cs="Times New Roman"/>
          <w:lang w:val="en-US"/>
        </w:rPr>
        <w:t xml:space="preserve"> correlations (Gadermann et al., 2012).</w:t>
      </w:r>
    </w:p>
    <w:p w14:paraId="560D6102" w14:textId="77777777" w:rsidR="00E3243C" w:rsidRDefault="00E3243C" w:rsidP="004E2216">
      <w:pPr>
        <w:spacing w:after="0"/>
        <w:jc w:val="both"/>
        <w:rPr>
          <w:rFonts w:ascii="Times New Roman" w:hAnsi="Times New Roman" w:cs="Times New Roman"/>
          <w:lang w:val="en-US"/>
        </w:rPr>
      </w:pPr>
    </w:p>
    <w:p w14:paraId="774E2FCF" w14:textId="57A40708" w:rsidR="00312004" w:rsidRPr="00312004" w:rsidRDefault="00312004" w:rsidP="00673D26">
      <w:pPr>
        <w:jc w:val="both"/>
        <w:rPr>
          <w:rFonts w:ascii="Times New Roman" w:hAnsi="Times New Roman" w:cs="Times New Roman"/>
          <w:b/>
          <w:lang w:val="en-US"/>
        </w:rPr>
      </w:pPr>
      <w:r w:rsidRPr="00312004">
        <w:rPr>
          <w:rFonts w:ascii="Times New Roman" w:hAnsi="Times New Roman" w:cs="Times New Roman"/>
          <w:b/>
          <w:lang w:val="en-US"/>
        </w:rPr>
        <w:t>3. References</w:t>
      </w:r>
    </w:p>
    <w:p w14:paraId="4F9899C3" w14:textId="4D9C70A3" w:rsidR="00826516" w:rsidRPr="00381CCF" w:rsidRDefault="00EA330A" w:rsidP="00061969">
      <w:pPr>
        <w:spacing w:after="0"/>
        <w:ind w:left="720" w:hanging="720"/>
        <w:jc w:val="both"/>
        <w:rPr>
          <w:rFonts w:ascii="Times New Roman" w:hAnsi="Times New Roman" w:cs="Times New Roman"/>
          <w:lang w:val="en-US"/>
        </w:rPr>
      </w:pPr>
      <w:r>
        <w:rPr>
          <w:rFonts w:ascii="Times New Roman" w:hAnsi="Times New Roman" w:cs="Times New Roman"/>
          <w:lang w:val="en-US"/>
        </w:rPr>
        <w:t xml:space="preserve">Baturin, N. A., &amp; Kurgansky, N. A. (2003). </w:t>
      </w:r>
      <w:r w:rsidRPr="00EA330A">
        <w:rPr>
          <w:rFonts w:ascii="Times New Roman" w:hAnsi="Times New Roman" w:cs="Times New Roman"/>
          <w:i/>
          <w:lang w:val="en-US"/>
        </w:rPr>
        <w:t>Universalnij intellektualnij test (UIT SPCH-M). Rukovodstvo</w:t>
      </w:r>
      <w:r>
        <w:rPr>
          <w:rFonts w:ascii="Times New Roman" w:hAnsi="Times New Roman" w:cs="Times New Roman"/>
          <w:lang w:val="en-US"/>
        </w:rPr>
        <w:t xml:space="preserve"> [The universal intellectual test (UIT SPC-M). Manual].</w:t>
      </w:r>
      <w:r w:rsidRPr="00EA330A">
        <w:rPr>
          <w:rFonts w:ascii="Times New Roman" w:hAnsi="Times New Roman" w:cs="Times New Roman"/>
          <w:lang w:val="en-US"/>
        </w:rPr>
        <w:t xml:space="preserve"> Chelyabinsk–</w:t>
      </w:r>
      <w:r>
        <w:rPr>
          <w:rFonts w:ascii="Times New Roman" w:hAnsi="Times New Roman" w:cs="Times New Roman"/>
          <w:lang w:val="en-US"/>
        </w:rPr>
        <w:t>St. Petersburg: NP P</w:t>
      </w:r>
      <w:r>
        <w:rPr>
          <w:rFonts w:ascii="Times New Roman" w:hAnsi="Times New Roman" w:cs="Times New Roman"/>
        </w:rPr>
        <w:t>С</w:t>
      </w:r>
      <w:r w:rsidRPr="00381CCF">
        <w:rPr>
          <w:rFonts w:ascii="Times New Roman" w:hAnsi="Times New Roman" w:cs="Times New Roman"/>
          <w:lang w:val="en-US"/>
        </w:rPr>
        <w:t xml:space="preserve"> PsiHRON.</w:t>
      </w:r>
    </w:p>
    <w:p w14:paraId="016ADFE2" w14:textId="0599FF4D" w:rsidR="00826516" w:rsidRDefault="00826516" w:rsidP="004E2216">
      <w:pPr>
        <w:spacing w:after="0"/>
        <w:ind w:left="720" w:hanging="720"/>
        <w:jc w:val="both"/>
        <w:rPr>
          <w:rFonts w:ascii="Times New Roman" w:hAnsi="Times New Roman" w:cs="Times New Roman"/>
          <w:lang w:val="en-US"/>
        </w:rPr>
      </w:pPr>
      <w:r w:rsidRPr="00826516">
        <w:rPr>
          <w:rFonts w:ascii="Times New Roman" w:hAnsi="Times New Roman" w:cs="Times New Roman"/>
          <w:lang w:val="en-US"/>
        </w:rPr>
        <w:t xml:space="preserve">Forthmann, B., Holling, H., Zandi, N., Gerwig, A., Çelik, P., Storme, M., &amp; Lubart, T. (2017). Missing creativity: The effect of cognitive workload on rater (dis-) agreement in subjective divergent-thinking scores. </w:t>
      </w:r>
      <w:r w:rsidRPr="00826516">
        <w:rPr>
          <w:rFonts w:ascii="Times New Roman" w:hAnsi="Times New Roman" w:cs="Times New Roman"/>
          <w:i/>
          <w:lang w:val="en-US"/>
        </w:rPr>
        <w:t>Thinking Skills and Creativity</w:t>
      </w:r>
      <w:r w:rsidRPr="00826516">
        <w:rPr>
          <w:rFonts w:ascii="Times New Roman" w:hAnsi="Times New Roman" w:cs="Times New Roman"/>
          <w:lang w:val="en-US"/>
        </w:rPr>
        <w:t xml:space="preserve">, </w:t>
      </w:r>
      <w:r w:rsidRPr="00826516">
        <w:rPr>
          <w:rFonts w:ascii="Times New Roman" w:hAnsi="Times New Roman" w:cs="Times New Roman"/>
          <w:i/>
          <w:lang w:val="en-US"/>
        </w:rPr>
        <w:t>23</w:t>
      </w:r>
      <w:r>
        <w:rPr>
          <w:rFonts w:ascii="Times New Roman" w:hAnsi="Times New Roman" w:cs="Times New Roman"/>
          <w:lang w:val="en-US"/>
        </w:rPr>
        <w:t>, 129–</w:t>
      </w:r>
      <w:r w:rsidRPr="00826516">
        <w:rPr>
          <w:rFonts w:ascii="Times New Roman" w:hAnsi="Times New Roman" w:cs="Times New Roman"/>
          <w:lang w:val="en-US"/>
        </w:rPr>
        <w:t>139.</w:t>
      </w:r>
    </w:p>
    <w:p w14:paraId="7FE3D787" w14:textId="62D05CD6" w:rsidR="00061969" w:rsidRPr="00826516" w:rsidRDefault="00061969" w:rsidP="004E2216">
      <w:pPr>
        <w:spacing w:after="0"/>
        <w:ind w:left="720" w:hanging="720"/>
        <w:jc w:val="both"/>
        <w:rPr>
          <w:rFonts w:ascii="Times New Roman" w:hAnsi="Times New Roman" w:cs="Times New Roman"/>
          <w:lang w:val="en-US"/>
        </w:rPr>
      </w:pPr>
      <w:r w:rsidRPr="00826516">
        <w:rPr>
          <w:rFonts w:ascii="Times New Roman" w:hAnsi="Times New Roman" w:cs="Times New Roman"/>
          <w:lang w:val="en-US"/>
        </w:rPr>
        <w:t xml:space="preserve">Gadermann, A. M., Guhn, M., &amp; Zumbo, B. D. (2012). Estimating ordinal reliability for Likert-type and ordinal item response data: A conceptual, empirical, and practical guide. </w:t>
      </w:r>
      <w:r w:rsidRPr="00826516">
        <w:rPr>
          <w:rFonts w:ascii="Times New Roman" w:hAnsi="Times New Roman" w:cs="Times New Roman"/>
          <w:i/>
          <w:lang w:val="en-US"/>
        </w:rPr>
        <w:t>Practical Assessment, Research, and Evaluation</w:t>
      </w:r>
      <w:r w:rsidRPr="00826516">
        <w:rPr>
          <w:rFonts w:ascii="Times New Roman" w:hAnsi="Times New Roman" w:cs="Times New Roman"/>
          <w:lang w:val="en-US"/>
        </w:rPr>
        <w:t xml:space="preserve">, </w:t>
      </w:r>
      <w:r w:rsidRPr="00826516">
        <w:rPr>
          <w:rFonts w:ascii="Times New Roman" w:hAnsi="Times New Roman" w:cs="Times New Roman"/>
          <w:i/>
          <w:lang w:val="en-US"/>
        </w:rPr>
        <w:t>17</w:t>
      </w:r>
      <w:r w:rsidRPr="00826516">
        <w:rPr>
          <w:rFonts w:ascii="Times New Roman" w:hAnsi="Times New Roman" w:cs="Times New Roman"/>
          <w:lang w:val="en-US"/>
        </w:rPr>
        <w:t>(</w:t>
      </w:r>
      <w:r>
        <w:rPr>
          <w:rFonts w:ascii="Times New Roman" w:hAnsi="Times New Roman" w:cs="Times New Roman"/>
          <w:lang w:val="en-US"/>
        </w:rPr>
        <w:t>3</w:t>
      </w:r>
      <w:r w:rsidRPr="00826516">
        <w:rPr>
          <w:rFonts w:ascii="Times New Roman" w:hAnsi="Times New Roman" w:cs="Times New Roman"/>
          <w:lang w:val="en-US"/>
        </w:rPr>
        <w:t xml:space="preserve">), </w:t>
      </w:r>
      <w:r>
        <w:rPr>
          <w:rFonts w:ascii="Times New Roman" w:hAnsi="Times New Roman" w:cs="Times New Roman"/>
          <w:lang w:val="en-US"/>
        </w:rPr>
        <w:t>1–13</w:t>
      </w:r>
      <w:r w:rsidRPr="00826516">
        <w:rPr>
          <w:rFonts w:ascii="Times New Roman" w:hAnsi="Times New Roman" w:cs="Times New Roman"/>
          <w:lang w:val="en-US"/>
        </w:rPr>
        <w:t>.</w:t>
      </w:r>
    </w:p>
    <w:p w14:paraId="373A347B" w14:textId="43D79CE0" w:rsidR="004C4FCF" w:rsidRDefault="004C4FCF" w:rsidP="004E2216">
      <w:pPr>
        <w:spacing w:after="0"/>
        <w:ind w:left="720" w:hanging="720"/>
        <w:jc w:val="both"/>
        <w:rPr>
          <w:rFonts w:ascii="Times New Roman" w:hAnsi="Times New Roman" w:cs="Times New Roman"/>
          <w:lang w:val="en-US"/>
        </w:rPr>
      </w:pPr>
      <w:r w:rsidRPr="004C4FCF">
        <w:rPr>
          <w:rFonts w:ascii="Times New Roman" w:hAnsi="Times New Roman" w:cs="Times New Roman"/>
          <w:lang w:val="en-US"/>
        </w:rPr>
        <w:t>Miroshnik, K. G., &amp; Shcherbakova, O. V. (2019). The proportion and creativity of “old” and “new” ideas: Are they</w:t>
      </w:r>
      <w:r>
        <w:rPr>
          <w:rFonts w:ascii="Times New Roman" w:hAnsi="Times New Roman" w:cs="Times New Roman"/>
          <w:lang w:val="en-US"/>
        </w:rPr>
        <w:t xml:space="preserve"> related to fluid intelligence?</w:t>
      </w:r>
      <w:r w:rsidRPr="004C4FCF">
        <w:rPr>
          <w:rFonts w:ascii="Times New Roman" w:hAnsi="Times New Roman" w:cs="Times New Roman"/>
          <w:lang w:val="en-US"/>
        </w:rPr>
        <w:t xml:space="preserve"> </w:t>
      </w:r>
      <w:r w:rsidRPr="004C4FCF">
        <w:rPr>
          <w:rFonts w:ascii="Times New Roman" w:hAnsi="Times New Roman" w:cs="Times New Roman"/>
          <w:i/>
          <w:lang w:val="en-US"/>
        </w:rPr>
        <w:t>Intelligence</w:t>
      </w:r>
      <w:r w:rsidRPr="004C4FCF">
        <w:rPr>
          <w:rFonts w:ascii="Times New Roman" w:hAnsi="Times New Roman" w:cs="Times New Roman"/>
          <w:lang w:val="en-US"/>
        </w:rPr>
        <w:t xml:space="preserve">, </w:t>
      </w:r>
      <w:r w:rsidRPr="004C4FCF">
        <w:rPr>
          <w:rFonts w:ascii="Times New Roman" w:hAnsi="Times New Roman" w:cs="Times New Roman"/>
          <w:i/>
          <w:lang w:val="en-US"/>
        </w:rPr>
        <w:t>76</w:t>
      </w:r>
      <w:r w:rsidRPr="004C4FCF">
        <w:rPr>
          <w:rFonts w:ascii="Times New Roman" w:hAnsi="Times New Roman" w:cs="Times New Roman"/>
          <w:lang w:val="en-US"/>
        </w:rPr>
        <w:t>, 101384.</w:t>
      </w:r>
    </w:p>
    <w:p w14:paraId="41AA10C5" w14:textId="6FD0B7D5" w:rsidR="00826516" w:rsidRDefault="00826516" w:rsidP="004E2216">
      <w:pPr>
        <w:spacing w:after="0"/>
        <w:ind w:left="720" w:hanging="720"/>
        <w:jc w:val="both"/>
        <w:rPr>
          <w:rFonts w:ascii="Times New Roman" w:hAnsi="Times New Roman" w:cs="Times New Roman"/>
          <w:lang w:val="en-US"/>
        </w:rPr>
      </w:pPr>
      <w:r w:rsidRPr="00826516">
        <w:rPr>
          <w:rFonts w:ascii="Times New Roman" w:hAnsi="Times New Roman" w:cs="Times New Roman"/>
          <w:lang w:val="en-US"/>
        </w:rPr>
        <w:t>Raven</w:t>
      </w:r>
      <w:r>
        <w:rPr>
          <w:rFonts w:ascii="Times New Roman" w:hAnsi="Times New Roman" w:cs="Times New Roman"/>
          <w:lang w:val="en-US"/>
        </w:rPr>
        <w:t>,</w:t>
      </w:r>
      <w:r w:rsidRPr="00826516">
        <w:rPr>
          <w:rFonts w:ascii="Times New Roman" w:hAnsi="Times New Roman" w:cs="Times New Roman"/>
          <w:lang w:val="en-US"/>
        </w:rPr>
        <w:t xml:space="preserve"> J</w:t>
      </w:r>
      <w:r>
        <w:rPr>
          <w:rFonts w:ascii="Times New Roman" w:hAnsi="Times New Roman" w:cs="Times New Roman"/>
          <w:lang w:val="en-US"/>
        </w:rPr>
        <w:t xml:space="preserve">. </w:t>
      </w:r>
      <w:r w:rsidRPr="00826516">
        <w:rPr>
          <w:rFonts w:ascii="Times New Roman" w:hAnsi="Times New Roman" w:cs="Times New Roman"/>
          <w:lang w:val="en-US"/>
        </w:rPr>
        <w:t>C</w:t>
      </w:r>
      <w:r>
        <w:rPr>
          <w:rFonts w:ascii="Times New Roman" w:hAnsi="Times New Roman" w:cs="Times New Roman"/>
          <w:lang w:val="en-US"/>
        </w:rPr>
        <w:t>.</w:t>
      </w:r>
      <w:r w:rsidRPr="00826516">
        <w:rPr>
          <w:rFonts w:ascii="Times New Roman" w:hAnsi="Times New Roman" w:cs="Times New Roman"/>
          <w:lang w:val="en-US"/>
        </w:rPr>
        <w:t>, Court</w:t>
      </w:r>
      <w:r>
        <w:rPr>
          <w:rFonts w:ascii="Times New Roman" w:hAnsi="Times New Roman" w:cs="Times New Roman"/>
          <w:lang w:val="en-US"/>
        </w:rPr>
        <w:t>,</w:t>
      </w:r>
      <w:r w:rsidRPr="00826516">
        <w:rPr>
          <w:rFonts w:ascii="Times New Roman" w:hAnsi="Times New Roman" w:cs="Times New Roman"/>
          <w:lang w:val="en-US"/>
        </w:rPr>
        <w:t xml:space="preserve"> J</w:t>
      </w:r>
      <w:r>
        <w:rPr>
          <w:rFonts w:ascii="Times New Roman" w:hAnsi="Times New Roman" w:cs="Times New Roman"/>
          <w:lang w:val="en-US"/>
        </w:rPr>
        <w:t xml:space="preserve">. </w:t>
      </w:r>
      <w:r w:rsidRPr="00826516">
        <w:rPr>
          <w:rFonts w:ascii="Times New Roman" w:hAnsi="Times New Roman" w:cs="Times New Roman"/>
          <w:lang w:val="en-US"/>
        </w:rPr>
        <w:t>H</w:t>
      </w:r>
      <w:r>
        <w:rPr>
          <w:rFonts w:ascii="Times New Roman" w:hAnsi="Times New Roman" w:cs="Times New Roman"/>
          <w:lang w:val="en-US"/>
        </w:rPr>
        <w:t>.</w:t>
      </w:r>
      <w:r w:rsidRPr="00826516">
        <w:rPr>
          <w:rFonts w:ascii="Times New Roman" w:hAnsi="Times New Roman" w:cs="Times New Roman"/>
          <w:lang w:val="en-US"/>
        </w:rPr>
        <w:t xml:space="preserve">, </w:t>
      </w:r>
      <w:r>
        <w:rPr>
          <w:rFonts w:ascii="Times New Roman" w:hAnsi="Times New Roman" w:cs="Times New Roman"/>
          <w:lang w:val="en-US"/>
        </w:rPr>
        <w:t xml:space="preserve">&amp; </w:t>
      </w:r>
      <w:r w:rsidRPr="00826516">
        <w:rPr>
          <w:rFonts w:ascii="Times New Roman" w:hAnsi="Times New Roman" w:cs="Times New Roman"/>
          <w:lang w:val="en-US"/>
        </w:rPr>
        <w:t>Raven</w:t>
      </w:r>
      <w:r>
        <w:rPr>
          <w:rFonts w:ascii="Times New Roman" w:hAnsi="Times New Roman" w:cs="Times New Roman"/>
          <w:lang w:val="en-US"/>
        </w:rPr>
        <w:t>,</w:t>
      </w:r>
      <w:r w:rsidRPr="00826516">
        <w:rPr>
          <w:rFonts w:ascii="Times New Roman" w:hAnsi="Times New Roman" w:cs="Times New Roman"/>
          <w:lang w:val="en-US"/>
        </w:rPr>
        <w:t xml:space="preserve"> J.</w:t>
      </w:r>
      <w:r>
        <w:rPr>
          <w:rFonts w:ascii="Times New Roman" w:hAnsi="Times New Roman" w:cs="Times New Roman"/>
          <w:lang w:val="en-US"/>
        </w:rPr>
        <w:t xml:space="preserve"> (1998). </w:t>
      </w:r>
      <w:r w:rsidRPr="00826516">
        <w:rPr>
          <w:rFonts w:ascii="Times New Roman" w:hAnsi="Times New Roman" w:cs="Times New Roman"/>
          <w:i/>
          <w:lang w:val="en-US"/>
        </w:rPr>
        <w:t>Manual for Raven’s Progressive Matrices and Vocabulary Scales</w:t>
      </w:r>
      <w:r w:rsidRPr="00826516">
        <w:rPr>
          <w:rFonts w:ascii="Times New Roman" w:hAnsi="Times New Roman" w:cs="Times New Roman"/>
          <w:lang w:val="en-US"/>
        </w:rPr>
        <w:t>. London: H. K. Lewis.</w:t>
      </w:r>
    </w:p>
    <w:p w14:paraId="4AAEA35C" w14:textId="70B2385A" w:rsidR="00312004" w:rsidRDefault="00312004" w:rsidP="004E2216">
      <w:pPr>
        <w:spacing w:after="0"/>
        <w:ind w:left="720" w:hanging="720"/>
        <w:jc w:val="both"/>
        <w:rPr>
          <w:rFonts w:ascii="Times New Roman" w:hAnsi="Times New Roman" w:cs="Times New Roman"/>
          <w:lang w:val="en-US"/>
        </w:rPr>
      </w:pPr>
      <w:r w:rsidRPr="00312004">
        <w:rPr>
          <w:rFonts w:ascii="Times New Roman" w:hAnsi="Times New Roman" w:cs="Times New Roman"/>
          <w:lang w:val="en-US"/>
        </w:rPr>
        <w:t>Shchebetenko</w:t>
      </w:r>
      <w:r w:rsidR="004C4FCF">
        <w:rPr>
          <w:rFonts w:ascii="Times New Roman" w:hAnsi="Times New Roman" w:cs="Times New Roman"/>
          <w:lang w:val="en-US"/>
        </w:rPr>
        <w:t>,</w:t>
      </w:r>
      <w:r w:rsidRPr="00312004">
        <w:rPr>
          <w:rFonts w:ascii="Times New Roman" w:hAnsi="Times New Roman" w:cs="Times New Roman"/>
          <w:lang w:val="en-US"/>
        </w:rPr>
        <w:t xml:space="preserve"> S.</w:t>
      </w:r>
      <w:r w:rsidR="004C4FCF">
        <w:rPr>
          <w:rFonts w:ascii="Times New Roman" w:hAnsi="Times New Roman" w:cs="Times New Roman"/>
          <w:lang w:val="en-US"/>
        </w:rPr>
        <w:t xml:space="preserve"> (2014).</w:t>
      </w:r>
      <w:r w:rsidRPr="00312004">
        <w:rPr>
          <w:rFonts w:ascii="Times New Roman" w:hAnsi="Times New Roman" w:cs="Times New Roman"/>
          <w:lang w:val="en-US"/>
        </w:rPr>
        <w:t xml:space="preserve"> “The best man in the world”: Attitudes toward </w:t>
      </w:r>
      <w:r w:rsidR="004C4FCF">
        <w:rPr>
          <w:rFonts w:ascii="Times New Roman" w:hAnsi="Times New Roman" w:cs="Times New Roman"/>
          <w:lang w:val="en-US"/>
        </w:rPr>
        <w:t>personality traits.</w:t>
      </w:r>
      <w:r w:rsidRPr="00312004">
        <w:rPr>
          <w:rFonts w:ascii="Times New Roman" w:hAnsi="Times New Roman" w:cs="Times New Roman"/>
          <w:lang w:val="en-US"/>
        </w:rPr>
        <w:t xml:space="preserve"> </w:t>
      </w:r>
      <w:r w:rsidRPr="004C4FCF">
        <w:rPr>
          <w:rFonts w:ascii="Times New Roman" w:hAnsi="Times New Roman" w:cs="Times New Roman"/>
          <w:i/>
          <w:lang w:val="en-US"/>
        </w:rPr>
        <w:t>Psychology: Journal of the Higher School of Economics</w:t>
      </w:r>
      <w:r w:rsidR="004C4FCF">
        <w:rPr>
          <w:rFonts w:ascii="Times New Roman" w:hAnsi="Times New Roman" w:cs="Times New Roman"/>
          <w:lang w:val="en-US"/>
        </w:rPr>
        <w:t xml:space="preserve">, </w:t>
      </w:r>
      <w:r w:rsidR="004C4FCF" w:rsidRPr="004C4FCF">
        <w:rPr>
          <w:rFonts w:ascii="Times New Roman" w:hAnsi="Times New Roman" w:cs="Times New Roman"/>
          <w:i/>
          <w:lang w:val="en-US"/>
        </w:rPr>
        <w:t>11</w:t>
      </w:r>
      <w:r w:rsidR="004C4FCF">
        <w:rPr>
          <w:rFonts w:ascii="Times New Roman" w:hAnsi="Times New Roman" w:cs="Times New Roman"/>
          <w:lang w:val="en-US"/>
        </w:rPr>
        <w:t>(</w:t>
      </w:r>
      <w:r w:rsidRPr="00312004">
        <w:rPr>
          <w:rFonts w:ascii="Times New Roman" w:hAnsi="Times New Roman" w:cs="Times New Roman"/>
          <w:lang w:val="en-US"/>
        </w:rPr>
        <w:t>4</w:t>
      </w:r>
      <w:r w:rsidR="004C4FCF">
        <w:rPr>
          <w:rFonts w:ascii="Times New Roman" w:hAnsi="Times New Roman" w:cs="Times New Roman"/>
          <w:lang w:val="en-US"/>
        </w:rPr>
        <w:t>),</w:t>
      </w:r>
      <w:r w:rsidRPr="00312004">
        <w:rPr>
          <w:rFonts w:ascii="Times New Roman" w:hAnsi="Times New Roman" w:cs="Times New Roman"/>
          <w:lang w:val="en-US"/>
        </w:rPr>
        <w:t xml:space="preserve"> 129–148.</w:t>
      </w:r>
    </w:p>
    <w:p w14:paraId="0028BCB3" w14:textId="61BB580F" w:rsidR="004C4FCF" w:rsidRDefault="004C4FCF" w:rsidP="004E2216">
      <w:pPr>
        <w:spacing w:after="0"/>
        <w:ind w:left="720" w:hanging="720"/>
        <w:jc w:val="both"/>
        <w:rPr>
          <w:rFonts w:ascii="Times New Roman" w:hAnsi="Times New Roman" w:cs="Times New Roman"/>
          <w:lang w:val="en-US"/>
        </w:rPr>
      </w:pPr>
      <w:r w:rsidRPr="004C4FCF">
        <w:rPr>
          <w:rFonts w:ascii="Times New Roman" w:hAnsi="Times New Roman" w:cs="Times New Roman"/>
          <w:lang w:val="en-US"/>
        </w:rPr>
        <w:t xml:space="preserve">Silvia, P. J., Barona, C. M., Cram, J. T., Hess, K. I., Martinez, J. L., Richard, C. A., . . . Willse, J. T. (2008). Assessing creativity with divergent thinking tasks: Exploring the reliability and validity of new subjective scoring methods. </w:t>
      </w:r>
      <w:r w:rsidRPr="004C4FCF">
        <w:rPr>
          <w:rFonts w:ascii="Times New Roman" w:hAnsi="Times New Roman" w:cs="Times New Roman"/>
          <w:i/>
          <w:lang w:val="en-US"/>
        </w:rPr>
        <w:t>Psychology of Aesthetics, Creativity, and the Arts</w:t>
      </w:r>
      <w:r w:rsidRPr="004C4FCF">
        <w:rPr>
          <w:rFonts w:ascii="Times New Roman" w:hAnsi="Times New Roman" w:cs="Times New Roman"/>
          <w:lang w:val="en-US"/>
        </w:rPr>
        <w:t xml:space="preserve">, </w:t>
      </w:r>
      <w:r w:rsidRPr="004C4FCF">
        <w:rPr>
          <w:rFonts w:ascii="Times New Roman" w:hAnsi="Times New Roman" w:cs="Times New Roman"/>
          <w:i/>
          <w:lang w:val="en-US"/>
        </w:rPr>
        <w:t>2</w:t>
      </w:r>
      <w:r w:rsidRPr="004C4FCF">
        <w:rPr>
          <w:rFonts w:ascii="Times New Roman" w:hAnsi="Times New Roman" w:cs="Times New Roman"/>
          <w:lang w:val="en-US"/>
        </w:rPr>
        <w:t>, 68–85.</w:t>
      </w:r>
    </w:p>
    <w:p w14:paraId="6B2E20DF" w14:textId="47315E4C" w:rsidR="00546A1B" w:rsidRPr="00546A1B" w:rsidRDefault="00546A1B" w:rsidP="004E2216">
      <w:pPr>
        <w:spacing w:after="0"/>
        <w:ind w:left="720" w:hanging="720"/>
        <w:jc w:val="both"/>
        <w:rPr>
          <w:rFonts w:ascii="Times New Roman" w:hAnsi="Times New Roman" w:cs="Times New Roman"/>
          <w:lang w:val="en-US"/>
        </w:rPr>
      </w:pPr>
      <w:r>
        <w:rPr>
          <w:rFonts w:ascii="Times New Roman" w:hAnsi="Times New Roman" w:cs="Times New Roman"/>
          <w:lang w:val="en-US"/>
        </w:rPr>
        <w:t xml:space="preserve">Tunik, E. E. (2013). </w:t>
      </w:r>
      <w:r w:rsidRPr="00546A1B">
        <w:rPr>
          <w:rFonts w:ascii="Times New Roman" w:hAnsi="Times New Roman" w:cs="Times New Roman"/>
          <w:i/>
          <w:lang w:val="en-US"/>
        </w:rPr>
        <w:t>Luchshie testy na kreativnost. Diagnostika tvorcheskogo myshleniya</w:t>
      </w:r>
      <w:r w:rsidRPr="00546A1B">
        <w:rPr>
          <w:rFonts w:ascii="Times New Roman" w:hAnsi="Times New Roman" w:cs="Times New Roman"/>
          <w:lang w:val="en-US"/>
        </w:rPr>
        <w:t xml:space="preserve"> </w:t>
      </w:r>
      <w:r>
        <w:rPr>
          <w:rFonts w:ascii="Times New Roman" w:hAnsi="Times New Roman" w:cs="Times New Roman"/>
          <w:lang w:val="en-US"/>
        </w:rPr>
        <w:t>[The best creativity tests. Diagnostics of creative thinking]. St. Petersburg: Piter.</w:t>
      </w:r>
    </w:p>
    <w:p w14:paraId="62732459" w14:textId="220F1EB7" w:rsidR="00C84FDB" w:rsidRDefault="00C84FDB" w:rsidP="00734142">
      <w:pPr>
        <w:jc w:val="both"/>
        <w:rPr>
          <w:rFonts w:ascii="Times New Roman" w:hAnsi="Times New Roman" w:cs="Times New Roman"/>
          <w:lang w:val="en-US"/>
        </w:rPr>
      </w:pPr>
    </w:p>
    <w:p w14:paraId="3BB8BC3F" w14:textId="1FBB1F7E" w:rsidR="00061969" w:rsidRPr="00312004" w:rsidRDefault="00061969" w:rsidP="00061969">
      <w:pPr>
        <w:jc w:val="both"/>
        <w:rPr>
          <w:rFonts w:ascii="Times New Roman" w:hAnsi="Times New Roman" w:cs="Times New Roman"/>
          <w:b/>
          <w:lang w:val="en-US"/>
        </w:rPr>
      </w:pPr>
      <w:r>
        <w:rPr>
          <w:rFonts w:ascii="Times New Roman" w:hAnsi="Times New Roman" w:cs="Times New Roman"/>
          <w:b/>
          <w:lang w:val="en-US"/>
        </w:rPr>
        <w:t>4</w:t>
      </w:r>
      <w:r w:rsidRPr="00312004">
        <w:rPr>
          <w:rFonts w:ascii="Times New Roman" w:hAnsi="Times New Roman" w:cs="Times New Roman"/>
          <w:b/>
          <w:lang w:val="en-US"/>
        </w:rPr>
        <w:t xml:space="preserve">. </w:t>
      </w:r>
      <w:r>
        <w:rPr>
          <w:rFonts w:ascii="Times New Roman" w:hAnsi="Times New Roman" w:cs="Times New Roman"/>
          <w:b/>
          <w:lang w:val="en-US"/>
        </w:rPr>
        <w:t>Coding scheme</w:t>
      </w:r>
    </w:p>
    <w:p w14:paraId="77A3C3E9" w14:textId="704200E0" w:rsidR="008B345D" w:rsidRPr="00B954E0" w:rsidRDefault="00B954E0">
      <w:pPr>
        <w:rPr>
          <w:rFonts w:ascii="Times New Roman" w:hAnsi="Times New Roman" w:cs="Times New Roman"/>
          <w:lang w:val="en-US"/>
        </w:rPr>
      </w:pPr>
      <w:r>
        <w:rPr>
          <w:rFonts w:ascii="Times New Roman" w:hAnsi="Times New Roman" w:cs="Times New Roman"/>
          <w:lang w:val="en-US"/>
        </w:rPr>
        <w:t xml:space="preserve">Table </w:t>
      </w:r>
      <w:r w:rsidR="00902C26" w:rsidRPr="00254594">
        <w:rPr>
          <w:rFonts w:ascii="Times New Roman" w:hAnsi="Times New Roman" w:cs="Times New Roman"/>
          <w:lang w:val="en-US"/>
        </w:rPr>
        <w:t>A</w:t>
      </w:r>
      <w:r w:rsidR="00902C26" w:rsidRPr="00B954E0">
        <w:rPr>
          <w:rFonts w:ascii="Times New Roman" w:hAnsi="Times New Roman" w:cs="Times New Roman"/>
          <w:lang w:val="en-US"/>
        </w:rPr>
        <w:t>1</w:t>
      </w:r>
    </w:p>
    <w:p w14:paraId="609FB675" w14:textId="352D0BF2" w:rsidR="00902C26" w:rsidRPr="00B954E0" w:rsidRDefault="00B954E0">
      <w:pPr>
        <w:rPr>
          <w:rFonts w:ascii="Times New Roman" w:hAnsi="Times New Roman" w:cs="Times New Roman"/>
          <w:i/>
          <w:lang w:val="en-US"/>
        </w:rPr>
      </w:pPr>
      <w:r>
        <w:rPr>
          <w:rFonts w:ascii="Times New Roman" w:hAnsi="Times New Roman" w:cs="Times New Roman"/>
          <w:i/>
          <w:lang w:val="en-US"/>
        </w:rPr>
        <w:t>Coding Scheme for</w:t>
      </w:r>
      <w:r w:rsidR="00182A35" w:rsidRPr="00B954E0">
        <w:rPr>
          <w:rFonts w:ascii="Times New Roman" w:hAnsi="Times New Roman" w:cs="Times New Roman"/>
          <w:i/>
          <w:lang w:val="en-US"/>
        </w:rPr>
        <w:t xml:space="preserve"> «</w:t>
      </w:r>
      <w:r>
        <w:rPr>
          <w:rFonts w:ascii="Times New Roman" w:hAnsi="Times New Roman" w:cs="Times New Roman"/>
          <w:i/>
          <w:lang w:val="en-US"/>
        </w:rPr>
        <w:t>Rus-DT-AUT</w:t>
      </w:r>
      <w:r w:rsidR="00182A35" w:rsidRPr="00B954E0">
        <w:rPr>
          <w:rFonts w:ascii="Times New Roman" w:hAnsi="Times New Roman" w:cs="Times New Roman"/>
          <w:i/>
          <w:lang w:val="en-US"/>
        </w:rPr>
        <w:t>.</w:t>
      </w:r>
      <w:r w:rsidR="003A25BA">
        <w:rPr>
          <w:rFonts w:ascii="Times New Roman" w:hAnsi="Times New Roman" w:cs="Times New Roman"/>
          <w:i/>
          <w:lang w:val="en-US"/>
        </w:rPr>
        <w:t>xlsx</w:t>
      </w:r>
      <w:r>
        <w:rPr>
          <w:rFonts w:ascii="Times New Roman" w:hAnsi="Times New Roman" w:cs="Times New Roman"/>
          <w:i/>
          <w:lang w:val="en-US"/>
        </w:rPr>
        <w:t>»</w:t>
      </w:r>
    </w:p>
    <w:tbl>
      <w:tblPr>
        <w:tblStyle w:val="a3"/>
        <w:tblW w:w="9638" w:type="dxa"/>
        <w:tblLook w:val="04A0" w:firstRow="1" w:lastRow="0" w:firstColumn="1" w:lastColumn="0" w:noHBand="0" w:noVBand="1"/>
      </w:tblPr>
      <w:tblGrid>
        <w:gridCol w:w="2450"/>
        <w:gridCol w:w="2617"/>
        <w:gridCol w:w="4571"/>
      </w:tblGrid>
      <w:tr w:rsidR="00B954E0" w:rsidRPr="004C4FCF" w14:paraId="5D2C4FF9" w14:textId="77777777" w:rsidTr="00B954E0">
        <w:tc>
          <w:tcPr>
            <w:tcW w:w="2450" w:type="dxa"/>
            <w:tcBorders>
              <w:top w:val="single" w:sz="12" w:space="0" w:color="auto"/>
              <w:left w:val="nil"/>
              <w:bottom w:val="single" w:sz="12" w:space="0" w:color="auto"/>
              <w:right w:val="nil"/>
            </w:tcBorders>
          </w:tcPr>
          <w:p w14:paraId="4BDCE813" w14:textId="58366287" w:rsidR="00B954E0" w:rsidRPr="00B954E0" w:rsidRDefault="00B954E0" w:rsidP="00CC33E6">
            <w:pPr>
              <w:spacing w:before="40" w:after="40" w:line="276" w:lineRule="auto"/>
              <w:rPr>
                <w:rFonts w:ascii="Times New Roman" w:hAnsi="Times New Roman" w:cs="Times New Roman"/>
                <w:b/>
                <w:lang w:val="en-US"/>
              </w:rPr>
            </w:pPr>
            <w:r>
              <w:rPr>
                <w:rFonts w:ascii="Times New Roman" w:hAnsi="Times New Roman" w:cs="Times New Roman"/>
                <w:b/>
                <w:lang w:val="en-US"/>
              </w:rPr>
              <w:t>List</w:t>
            </w:r>
          </w:p>
        </w:tc>
        <w:tc>
          <w:tcPr>
            <w:tcW w:w="2617" w:type="dxa"/>
            <w:tcBorders>
              <w:top w:val="single" w:sz="12" w:space="0" w:color="auto"/>
              <w:left w:val="nil"/>
              <w:bottom w:val="single" w:sz="12" w:space="0" w:color="auto"/>
              <w:right w:val="nil"/>
            </w:tcBorders>
          </w:tcPr>
          <w:p w14:paraId="097BF5BF" w14:textId="34A8EF57" w:rsidR="00B954E0" w:rsidRPr="00B954E0" w:rsidRDefault="00B954E0" w:rsidP="00CC33E6">
            <w:pPr>
              <w:spacing w:before="40" w:after="40" w:line="276" w:lineRule="auto"/>
              <w:rPr>
                <w:rFonts w:ascii="Times New Roman" w:hAnsi="Times New Roman" w:cs="Times New Roman"/>
                <w:b/>
                <w:lang w:val="en-US"/>
              </w:rPr>
            </w:pPr>
            <w:r>
              <w:rPr>
                <w:rFonts w:ascii="Times New Roman" w:hAnsi="Times New Roman" w:cs="Times New Roman"/>
                <w:b/>
                <w:lang w:val="en-US"/>
              </w:rPr>
              <w:t>Variable</w:t>
            </w:r>
          </w:p>
        </w:tc>
        <w:tc>
          <w:tcPr>
            <w:tcW w:w="4571" w:type="dxa"/>
            <w:tcBorders>
              <w:top w:val="single" w:sz="12" w:space="0" w:color="auto"/>
              <w:left w:val="nil"/>
              <w:bottom w:val="single" w:sz="12" w:space="0" w:color="auto"/>
              <w:right w:val="nil"/>
            </w:tcBorders>
          </w:tcPr>
          <w:p w14:paraId="738F57E8" w14:textId="38B2D2A6" w:rsidR="00B954E0" w:rsidRPr="00B954E0" w:rsidRDefault="00B954E0" w:rsidP="00CC33E6">
            <w:pPr>
              <w:spacing w:before="40" w:after="40" w:line="276" w:lineRule="auto"/>
              <w:rPr>
                <w:rFonts w:ascii="Times New Roman" w:hAnsi="Times New Roman" w:cs="Times New Roman"/>
                <w:b/>
                <w:lang w:val="en-US"/>
              </w:rPr>
            </w:pPr>
            <w:r>
              <w:rPr>
                <w:rFonts w:ascii="Times New Roman" w:hAnsi="Times New Roman" w:cs="Times New Roman"/>
                <w:b/>
                <w:lang w:val="en-US"/>
              </w:rPr>
              <w:t>Description</w:t>
            </w:r>
          </w:p>
        </w:tc>
      </w:tr>
      <w:tr w:rsidR="00B954E0" w:rsidRPr="004C4FCF" w14:paraId="7D6B018C" w14:textId="77777777" w:rsidTr="00B954E0">
        <w:tc>
          <w:tcPr>
            <w:tcW w:w="2450" w:type="dxa"/>
            <w:tcBorders>
              <w:top w:val="single" w:sz="12" w:space="0" w:color="auto"/>
              <w:left w:val="nil"/>
              <w:bottom w:val="nil"/>
              <w:right w:val="nil"/>
            </w:tcBorders>
          </w:tcPr>
          <w:p w14:paraId="03E09E40" w14:textId="24F354EC" w:rsidR="00B954E0" w:rsidRPr="00B954E0" w:rsidRDefault="00B954E0" w:rsidP="006375AD">
            <w:pPr>
              <w:spacing w:before="40" w:after="60"/>
              <w:rPr>
                <w:rFonts w:ascii="Times New Roman" w:hAnsi="Times New Roman" w:cs="Times New Roman"/>
                <w:lang w:val="en-US"/>
              </w:rPr>
            </w:pPr>
            <w:r>
              <w:rPr>
                <w:rFonts w:ascii="Times New Roman" w:hAnsi="Times New Roman" w:cs="Times New Roman"/>
                <w:lang w:val="en-US"/>
              </w:rPr>
              <w:t>Dataset S1</w:t>
            </w:r>
          </w:p>
        </w:tc>
        <w:tc>
          <w:tcPr>
            <w:tcW w:w="2617" w:type="dxa"/>
            <w:tcBorders>
              <w:top w:val="single" w:sz="12" w:space="0" w:color="auto"/>
              <w:left w:val="nil"/>
              <w:bottom w:val="nil"/>
              <w:right w:val="nil"/>
            </w:tcBorders>
          </w:tcPr>
          <w:p w14:paraId="3EBE71DE" w14:textId="74752685" w:rsidR="00B954E0" w:rsidRPr="00B954E0" w:rsidRDefault="00B954E0" w:rsidP="00BF4649">
            <w:pPr>
              <w:spacing w:before="60" w:after="60"/>
              <w:rPr>
                <w:rFonts w:ascii="Times New Roman" w:hAnsi="Times New Roman" w:cs="Times New Roman"/>
                <w:lang w:val="en-US"/>
              </w:rPr>
            </w:pPr>
            <w:r>
              <w:rPr>
                <w:rFonts w:ascii="Times New Roman" w:hAnsi="Times New Roman" w:cs="Times New Roman"/>
                <w:lang w:val="en-US"/>
              </w:rPr>
              <w:t>id</w:t>
            </w:r>
          </w:p>
        </w:tc>
        <w:tc>
          <w:tcPr>
            <w:tcW w:w="4571" w:type="dxa"/>
            <w:tcBorders>
              <w:top w:val="single" w:sz="12" w:space="0" w:color="auto"/>
              <w:left w:val="nil"/>
              <w:bottom w:val="nil"/>
              <w:right w:val="nil"/>
            </w:tcBorders>
          </w:tcPr>
          <w:p w14:paraId="2B231F0D" w14:textId="3C392832" w:rsidR="00B954E0"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unique response identifier</w:t>
            </w:r>
          </w:p>
        </w:tc>
      </w:tr>
      <w:tr w:rsidR="00B954E0" w:rsidRPr="00381CCF" w14:paraId="68C80B26" w14:textId="77777777" w:rsidTr="00B954E0">
        <w:tc>
          <w:tcPr>
            <w:tcW w:w="2450" w:type="dxa"/>
            <w:tcBorders>
              <w:top w:val="nil"/>
              <w:left w:val="nil"/>
              <w:bottom w:val="nil"/>
              <w:right w:val="nil"/>
            </w:tcBorders>
          </w:tcPr>
          <w:p w14:paraId="04DD8EA0" w14:textId="77777777" w:rsidR="00B954E0" w:rsidRPr="00552249" w:rsidRDefault="00B954E0" w:rsidP="006375AD">
            <w:pPr>
              <w:spacing w:after="60"/>
              <w:rPr>
                <w:rFonts w:ascii="Times New Roman" w:hAnsi="Times New Roman" w:cs="Times New Roman"/>
                <w:lang w:val="en-US"/>
              </w:rPr>
            </w:pPr>
          </w:p>
        </w:tc>
        <w:tc>
          <w:tcPr>
            <w:tcW w:w="2617" w:type="dxa"/>
            <w:tcBorders>
              <w:top w:val="nil"/>
              <w:left w:val="nil"/>
              <w:bottom w:val="nil"/>
              <w:right w:val="nil"/>
            </w:tcBorders>
          </w:tcPr>
          <w:p w14:paraId="3861BB75" w14:textId="1E0F89CE" w:rsidR="00B954E0" w:rsidRPr="00182A35" w:rsidRDefault="00B954E0" w:rsidP="00BF4649">
            <w:pPr>
              <w:spacing w:before="60" w:after="60"/>
              <w:rPr>
                <w:rFonts w:ascii="Times New Roman" w:hAnsi="Times New Roman" w:cs="Times New Roman"/>
                <w:lang w:val="en-US"/>
              </w:rPr>
            </w:pPr>
            <w:r>
              <w:rPr>
                <w:rFonts w:ascii="Times New Roman" w:hAnsi="Times New Roman" w:cs="Times New Roman"/>
                <w:lang w:val="en-US"/>
              </w:rPr>
              <w:t>item</w:t>
            </w:r>
          </w:p>
        </w:tc>
        <w:tc>
          <w:tcPr>
            <w:tcW w:w="4571" w:type="dxa"/>
            <w:tcBorders>
              <w:top w:val="nil"/>
              <w:left w:val="nil"/>
              <w:bottom w:val="nil"/>
              <w:right w:val="nil"/>
            </w:tcBorders>
          </w:tcPr>
          <w:p w14:paraId="1861535E" w14:textId="4998CE20" w:rsidR="00B954E0" w:rsidRPr="00B954E0" w:rsidRDefault="00B954E0" w:rsidP="00BF4649">
            <w:pPr>
              <w:spacing w:before="60" w:after="60"/>
              <w:rPr>
                <w:rFonts w:ascii="Times New Roman" w:hAnsi="Times New Roman" w:cs="Times New Roman"/>
                <w:lang w:val="en-US"/>
              </w:rPr>
            </w:pPr>
            <w:r>
              <w:rPr>
                <w:rFonts w:ascii="Times New Roman" w:hAnsi="Times New Roman" w:cs="Times New Roman"/>
                <w:lang w:val="en-US"/>
              </w:rPr>
              <w:t>DT prompt (</w:t>
            </w:r>
            <w:r>
              <w:rPr>
                <w:rFonts w:ascii="Times New Roman" w:hAnsi="Times New Roman" w:cs="Times New Roman"/>
              </w:rPr>
              <w:t>газета</w:t>
            </w:r>
            <w:r w:rsidRPr="00B954E0">
              <w:rPr>
                <w:rFonts w:ascii="Times New Roman" w:hAnsi="Times New Roman" w:cs="Times New Roman"/>
                <w:lang w:val="en-US"/>
              </w:rPr>
              <w:t xml:space="preserve"> = </w:t>
            </w:r>
            <w:r>
              <w:rPr>
                <w:rFonts w:ascii="Times New Roman" w:hAnsi="Times New Roman" w:cs="Times New Roman"/>
                <w:lang w:val="en-US"/>
              </w:rPr>
              <w:t>“</w:t>
            </w:r>
            <w:r w:rsidRPr="00B954E0">
              <w:rPr>
                <w:rFonts w:ascii="Times New Roman" w:hAnsi="Times New Roman" w:cs="Times New Roman"/>
                <w:i/>
                <w:lang w:val="en-US"/>
              </w:rPr>
              <w:t>newspaper</w:t>
            </w:r>
            <w:r>
              <w:rPr>
                <w:rFonts w:ascii="Times New Roman" w:hAnsi="Times New Roman" w:cs="Times New Roman"/>
                <w:lang w:val="en-US"/>
              </w:rPr>
              <w:t xml:space="preserve">”; </w:t>
            </w:r>
            <w:r>
              <w:rPr>
                <w:rFonts w:ascii="Times New Roman" w:hAnsi="Times New Roman" w:cs="Times New Roman"/>
              </w:rPr>
              <w:t>деревянная</w:t>
            </w:r>
            <w:r w:rsidRPr="00B954E0">
              <w:rPr>
                <w:rFonts w:ascii="Times New Roman" w:hAnsi="Times New Roman" w:cs="Times New Roman"/>
                <w:lang w:val="en-US"/>
              </w:rPr>
              <w:t xml:space="preserve"> </w:t>
            </w:r>
            <w:r>
              <w:rPr>
                <w:rFonts w:ascii="Times New Roman" w:hAnsi="Times New Roman" w:cs="Times New Roman"/>
              </w:rPr>
              <w:t>линейка</w:t>
            </w:r>
            <w:r w:rsidRPr="00B954E0">
              <w:rPr>
                <w:rFonts w:ascii="Times New Roman" w:hAnsi="Times New Roman" w:cs="Times New Roman"/>
                <w:lang w:val="en-US"/>
              </w:rPr>
              <w:t xml:space="preserve"> = </w:t>
            </w:r>
            <w:r>
              <w:rPr>
                <w:rFonts w:ascii="Times New Roman" w:hAnsi="Times New Roman" w:cs="Times New Roman"/>
                <w:lang w:val="en-US"/>
              </w:rPr>
              <w:t>“</w:t>
            </w:r>
            <w:r w:rsidRPr="00B954E0">
              <w:rPr>
                <w:rFonts w:ascii="Times New Roman" w:hAnsi="Times New Roman" w:cs="Times New Roman"/>
                <w:i/>
                <w:lang w:val="en-US"/>
              </w:rPr>
              <w:t>wooden ruler</w:t>
            </w:r>
            <w:r>
              <w:rPr>
                <w:rFonts w:ascii="Times New Roman" w:hAnsi="Times New Roman" w:cs="Times New Roman"/>
                <w:lang w:val="en-US"/>
              </w:rPr>
              <w:t>”)</w:t>
            </w:r>
          </w:p>
        </w:tc>
      </w:tr>
      <w:tr w:rsidR="00B954E0" w14:paraId="2BC9F1F3" w14:textId="77777777" w:rsidTr="00B954E0">
        <w:tc>
          <w:tcPr>
            <w:tcW w:w="2450" w:type="dxa"/>
            <w:tcBorders>
              <w:top w:val="nil"/>
              <w:left w:val="nil"/>
              <w:bottom w:val="nil"/>
              <w:right w:val="nil"/>
            </w:tcBorders>
          </w:tcPr>
          <w:p w14:paraId="3C2C1C6F" w14:textId="77777777" w:rsidR="00B954E0" w:rsidRPr="00B954E0" w:rsidRDefault="00B954E0" w:rsidP="006375AD">
            <w:pPr>
              <w:spacing w:after="60"/>
              <w:rPr>
                <w:rFonts w:ascii="Times New Roman" w:hAnsi="Times New Roman" w:cs="Times New Roman"/>
                <w:lang w:val="en-US"/>
              </w:rPr>
            </w:pPr>
          </w:p>
        </w:tc>
        <w:tc>
          <w:tcPr>
            <w:tcW w:w="2617" w:type="dxa"/>
            <w:tcBorders>
              <w:top w:val="nil"/>
              <w:left w:val="nil"/>
              <w:bottom w:val="nil"/>
              <w:right w:val="nil"/>
            </w:tcBorders>
          </w:tcPr>
          <w:p w14:paraId="5C3507CB" w14:textId="6AD333E5" w:rsidR="00B954E0" w:rsidRPr="00B954E0" w:rsidRDefault="00B954E0" w:rsidP="00BF4649">
            <w:pPr>
              <w:spacing w:before="60" w:after="60"/>
              <w:rPr>
                <w:rFonts w:ascii="Times New Roman" w:hAnsi="Times New Roman" w:cs="Times New Roman"/>
                <w:lang w:val="en-US"/>
              </w:rPr>
            </w:pPr>
            <w:r>
              <w:rPr>
                <w:rFonts w:ascii="Times New Roman" w:hAnsi="Times New Roman" w:cs="Times New Roman"/>
                <w:lang w:val="en-US"/>
              </w:rPr>
              <w:t>response</w:t>
            </w:r>
          </w:p>
        </w:tc>
        <w:tc>
          <w:tcPr>
            <w:tcW w:w="4571" w:type="dxa"/>
            <w:tcBorders>
              <w:top w:val="nil"/>
              <w:left w:val="nil"/>
              <w:bottom w:val="nil"/>
              <w:right w:val="nil"/>
            </w:tcBorders>
          </w:tcPr>
          <w:p w14:paraId="7978D680" w14:textId="2307B524" w:rsidR="00B954E0"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participant’s response</w:t>
            </w:r>
          </w:p>
        </w:tc>
      </w:tr>
      <w:tr w:rsidR="00B954E0" w:rsidRPr="00381CCF" w14:paraId="42322DAF" w14:textId="77777777" w:rsidTr="00B954E0">
        <w:tc>
          <w:tcPr>
            <w:tcW w:w="2450" w:type="dxa"/>
            <w:tcBorders>
              <w:top w:val="nil"/>
              <w:left w:val="nil"/>
              <w:bottom w:val="nil"/>
              <w:right w:val="nil"/>
            </w:tcBorders>
          </w:tcPr>
          <w:p w14:paraId="0520CBBB" w14:textId="77777777" w:rsidR="00B954E0" w:rsidRDefault="00B954E0" w:rsidP="006375AD">
            <w:pPr>
              <w:spacing w:after="60"/>
              <w:rPr>
                <w:rFonts w:ascii="Times New Roman" w:hAnsi="Times New Roman" w:cs="Times New Roman"/>
                <w:lang w:val="en-US"/>
              </w:rPr>
            </w:pPr>
          </w:p>
        </w:tc>
        <w:tc>
          <w:tcPr>
            <w:tcW w:w="2617" w:type="dxa"/>
            <w:tcBorders>
              <w:top w:val="nil"/>
              <w:left w:val="nil"/>
              <w:bottom w:val="nil"/>
              <w:right w:val="nil"/>
            </w:tcBorders>
          </w:tcPr>
          <w:p w14:paraId="10B01E6C" w14:textId="7F287420" w:rsidR="00B954E0" w:rsidRPr="00B7014E" w:rsidRDefault="00B954E0" w:rsidP="00BF4649">
            <w:pPr>
              <w:spacing w:before="60" w:after="60"/>
              <w:rPr>
                <w:rFonts w:ascii="Times New Roman" w:hAnsi="Times New Roman" w:cs="Times New Roman"/>
                <w:lang w:val="en-US"/>
              </w:rPr>
            </w:pPr>
            <w:r>
              <w:rPr>
                <w:rFonts w:ascii="Times New Roman" w:hAnsi="Times New Roman" w:cs="Times New Roman"/>
                <w:lang w:val="en-US"/>
              </w:rPr>
              <w:t>coder1</w:t>
            </w:r>
          </w:p>
        </w:tc>
        <w:tc>
          <w:tcPr>
            <w:tcW w:w="4571" w:type="dxa"/>
            <w:tcBorders>
              <w:top w:val="nil"/>
              <w:left w:val="nil"/>
              <w:bottom w:val="nil"/>
              <w:right w:val="nil"/>
            </w:tcBorders>
          </w:tcPr>
          <w:p w14:paraId="4F8BD333" w14:textId="7FB55198" w:rsidR="00B954E0"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rating of the 1</w:t>
            </w:r>
            <w:r w:rsidRPr="00BF4649">
              <w:rPr>
                <w:rFonts w:ascii="Times New Roman" w:hAnsi="Times New Roman" w:cs="Times New Roman"/>
                <w:vertAlign w:val="superscript"/>
                <w:lang w:val="en-US"/>
              </w:rPr>
              <w:t>st</w:t>
            </w:r>
            <w:r>
              <w:rPr>
                <w:rFonts w:ascii="Times New Roman" w:hAnsi="Times New Roman" w:cs="Times New Roman"/>
                <w:lang w:val="en-US"/>
              </w:rPr>
              <w:t xml:space="preserve"> coder</w:t>
            </w:r>
          </w:p>
        </w:tc>
      </w:tr>
      <w:tr w:rsidR="00BF4649" w:rsidRPr="00381CCF" w14:paraId="62CB0466" w14:textId="77777777" w:rsidTr="00BF4649">
        <w:tc>
          <w:tcPr>
            <w:tcW w:w="2450" w:type="dxa"/>
            <w:tcBorders>
              <w:top w:val="nil"/>
              <w:left w:val="nil"/>
              <w:bottom w:val="nil"/>
              <w:right w:val="nil"/>
            </w:tcBorders>
          </w:tcPr>
          <w:p w14:paraId="37386E96"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5C74338A" w14:textId="4205018D"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coder2</w:t>
            </w:r>
          </w:p>
        </w:tc>
        <w:tc>
          <w:tcPr>
            <w:tcW w:w="4571" w:type="dxa"/>
            <w:tcBorders>
              <w:top w:val="nil"/>
              <w:left w:val="nil"/>
              <w:bottom w:val="nil"/>
              <w:right w:val="nil"/>
            </w:tcBorders>
          </w:tcPr>
          <w:p w14:paraId="70EA2CF1" w14:textId="2C2D4F50" w:rsidR="00BF4649" w:rsidRPr="00BF4649" w:rsidRDefault="00BF4649" w:rsidP="00BF4649">
            <w:pPr>
              <w:spacing w:before="60" w:after="60"/>
              <w:rPr>
                <w:rFonts w:ascii="Times New Roman" w:hAnsi="Times New Roman" w:cs="Times New Roman"/>
                <w:b/>
                <w:lang w:val="en-US"/>
              </w:rPr>
            </w:pPr>
            <w:r>
              <w:rPr>
                <w:rFonts w:ascii="Times New Roman" w:hAnsi="Times New Roman" w:cs="Times New Roman"/>
                <w:lang w:val="en-US"/>
              </w:rPr>
              <w:t>rating of the 2</w:t>
            </w:r>
            <w:r w:rsidRPr="00BF4649">
              <w:rPr>
                <w:rFonts w:ascii="Times New Roman" w:hAnsi="Times New Roman" w:cs="Times New Roman"/>
                <w:vertAlign w:val="superscript"/>
                <w:lang w:val="en-US"/>
              </w:rPr>
              <w:t>nd</w:t>
            </w:r>
            <w:r>
              <w:rPr>
                <w:rFonts w:ascii="Times New Roman" w:hAnsi="Times New Roman" w:cs="Times New Roman"/>
                <w:lang w:val="en-US"/>
              </w:rPr>
              <w:t xml:space="preserve"> coder</w:t>
            </w:r>
          </w:p>
        </w:tc>
      </w:tr>
      <w:tr w:rsidR="00BF4649" w:rsidRPr="00381CCF" w14:paraId="55A9D881" w14:textId="77777777" w:rsidTr="00BF4649">
        <w:tc>
          <w:tcPr>
            <w:tcW w:w="2450" w:type="dxa"/>
            <w:tcBorders>
              <w:top w:val="nil"/>
              <w:left w:val="nil"/>
              <w:bottom w:val="single" w:sz="4" w:space="0" w:color="auto"/>
              <w:right w:val="nil"/>
            </w:tcBorders>
          </w:tcPr>
          <w:p w14:paraId="49422F33"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single" w:sz="4" w:space="0" w:color="auto"/>
              <w:right w:val="nil"/>
            </w:tcBorders>
          </w:tcPr>
          <w:p w14:paraId="10F01F51" w14:textId="383AB364"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coder3</w:t>
            </w:r>
          </w:p>
        </w:tc>
        <w:tc>
          <w:tcPr>
            <w:tcW w:w="4571" w:type="dxa"/>
            <w:tcBorders>
              <w:top w:val="nil"/>
              <w:left w:val="nil"/>
              <w:bottom w:val="single" w:sz="4" w:space="0" w:color="auto"/>
              <w:right w:val="nil"/>
            </w:tcBorders>
          </w:tcPr>
          <w:p w14:paraId="66EE0E5C" w14:textId="7576F328" w:rsidR="00BF4649"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rating of the 3</w:t>
            </w:r>
            <w:r w:rsidRPr="00BF4649">
              <w:rPr>
                <w:rFonts w:ascii="Times New Roman" w:hAnsi="Times New Roman" w:cs="Times New Roman"/>
                <w:vertAlign w:val="superscript"/>
                <w:lang w:val="en-US"/>
              </w:rPr>
              <w:t>rd</w:t>
            </w:r>
            <w:r>
              <w:rPr>
                <w:rFonts w:ascii="Times New Roman" w:hAnsi="Times New Roman" w:cs="Times New Roman"/>
                <w:lang w:val="en-US"/>
              </w:rPr>
              <w:t xml:space="preserve"> coder</w:t>
            </w:r>
          </w:p>
        </w:tc>
      </w:tr>
      <w:tr w:rsidR="00BF4649" w:rsidRPr="002567D4" w14:paraId="37531403" w14:textId="77777777" w:rsidTr="00BF4649">
        <w:tc>
          <w:tcPr>
            <w:tcW w:w="2450" w:type="dxa"/>
            <w:tcBorders>
              <w:top w:val="single" w:sz="4" w:space="0" w:color="auto"/>
              <w:left w:val="nil"/>
              <w:bottom w:val="nil"/>
              <w:right w:val="nil"/>
            </w:tcBorders>
          </w:tcPr>
          <w:p w14:paraId="717CD734" w14:textId="7B04C870" w:rsid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Dataset S2</w:t>
            </w:r>
          </w:p>
        </w:tc>
        <w:tc>
          <w:tcPr>
            <w:tcW w:w="2617" w:type="dxa"/>
            <w:tcBorders>
              <w:top w:val="single" w:sz="4" w:space="0" w:color="auto"/>
              <w:left w:val="nil"/>
              <w:bottom w:val="nil"/>
              <w:right w:val="nil"/>
            </w:tcBorders>
          </w:tcPr>
          <w:p w14:paraId="0E8CF5E4" w14:textId="558420E9"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id</w:t>
            </w:r>
          </w:p>
        </w:tc>
        <w:tc>
          <w:tcPr>
            <w:tcW w:w="4571" w:type="dxa"/>
            <w:tcBorders>
              <w:top w:val="single" w:sz="4" w:space="0" w:color="auto"/>
              <w:left w:val="nil"/>
              <w:bottom w:val="nil"/>
              <w:right w:val="nil"/>
            </w:tcBorders>
          </w:tcPr>
          <w:p w14:paraId="50C1D69D" w14:textId="1F253E66" w:rsidR="00BF4649" w:rsidRPr="00B7014E" w:rsidRDefault="00BF4649" w:rsidP="00BF4649">
            <w:pPr>
              <w:spacing w:before="60" w:after="60"/>
              <w:rPr>
                <w:rFonts w:ascii="Times New Roman" w:hAnsi="Times New Roman" w:cs="Times New Roman"/>
              </w:rPr>
            </w:pPr>
            <w:r>
              <w:rPr>
                <w:rFonts w:ascii="Times New Roman" w:hAnsi="Times New Roman" w:cs="Times New Roman"/>
                <w:lang w:val="en-US"/>
              </w:rPr>
              <w:t>unique response identifier</w:t>
            </w:r>
          </w:p>
        </w:tc>
      </w:tr>
      <w:tr w:rsidR="00BF4649" w:rsidRPr="00BF4649" w14:paraId="2A78A46E" w14:textId="77777777" w:rsidTr="00B954E0">
        <w:tc>
          <w:tcPr>
            <w:tcW w:w="2450" w:type="dxa"/>
            <w:tcBorders>
              <w:top w:val="nil"/>
              <w:left w:val="nil"/>
              <w:bottom w:val="nil"/>
              <w:right w:val="nil"/>
            </w:tcBorders>
          </w:tcPr>
          <w:p w14:paraId="32FC4105"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39BFBDF1" w14:textId="449B877F"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item</w:t>
            </w:r>
          </w:p>
        </w:tc>
        <w:tc>
          <w:tcPr>
            <w:tcW w:w="4571" w:type="dxa"/>
            <w:tcBorders>
              <w:top w:val="nil"/>
              <w:left w:val="nil"/>
              <w:bottom w:val="nil"/>
              <w:right w:val="nil"/>
            </w:tcBorders>
          </w:tcPr>
          <w:p w14:paraId="0BE6A5F0" w14:textId="28383FB4" w:rsidR="00BF4649" w:rsidRPr="00BF4649" w:rsidRDefault="00BF4649" w:rsidP="00BF4649">
            <w:pPr>
              <w:spacing w:before="60" w:after="60"/>
              <w:rPr>
                <w:rFonts w:ascii="Times New Roman" w:hAnsi="Times New Roman" w:cs="Times New Roman"/>
              </w:rPr>
            </w:pPr>
            <w:r>
              <w:rPr>
                <w:rFonts w:ascii="Times New Roman" w:hAnsi="Times New Roman" w:cs="Times New Roman"/>
                <w:lang w:val="en-US"/>
              </w:rPr>
              <w:t>DT</w:t>
            </w:r>
            <w:r w:rsidRPr="00BF4649">
              <w:rPr>
                <w:rFonts w:ascii="Times New Roman" w:hAnsi="Times New Roman" w:cs="Times New Roman"/>
              </w:rPr>
              <w:t xml:space="preserve"> </w:t>
            </w:r>
            <w:r>
              <w:rPr>
                <w:rFonts w:ascii="Times New Roman" w:hAnsi="Times New Roman" w:cs="Times New Roman"/>
                <w:lang w:val="en-US"/>
              </w:rPr>
              <w:t>prompt</w:t>
            </w:r>
            <w:r w:rsidRPr="00BF4649">
              <w:rPr>
                <w:rFonts w:ascii="Times New Roman" w:hAnsi="Times New Roman" w:cs="Times New Roman"/>
              </w:rPr>
              <w:t xml:space="preserve"> (</w:t>
            </w:r>
            <w:r>
              <w:rPr>
                <w:rFonts w:ascii="Times New Roman" w:hAnsi="Times New Roman" w:cs="Times New Roman"/>
              </w:rPr>
              <w:t>картонная</w:t>
            </w:r>
            <w:r w:rsidRPr="00BF4649">
              <w:rPr>
                <w:rFonts w:ascii="Times New Roman" w:hAnsi="Times New Roman" w:cs="Times New Roman"/>
              </w:rPr>
              <w:t xml:space="preserve"> </w:t>
            </w:r>
            <w:r>
              <w:rPr>
                <w:rFonts w:ascii="Times New Roman" w:hAnsi="Times New Roman" w:cs="Times New Roman"/>
              </w:rPr>
              <w:t>коробка</w:t>
            </w:r>
            <w:r w:rsidRPr="00BF4649">
              <w:rPr>
                <w:rFonts w:ascii="Times New Roman" w:hAnsi="Times New Roman" w:cs="Times New Roman"/>
              </w:rPr>
              <w:t xml:space="preserve"> = “</w:t>
            </w:r>
            <w:r>
              <w:rPr>
                <w:rFonts w:ascii="Times New Roman" w:hAnsi="Times New Roman" w:cs="Times New Roman"/>
                <w:i/>
                <w:lang w:val="en-US"/>
              </w:rPr>
              <w:t>box</w:t>
            </w:r>
            <w:r w:rsidRPr="00BF4649">
              <w:rPr>
                <w:rFonts w:ascii="Times New Roman" w:hAnsi="Times New Roman" w:cs="Times New Roman"/>
              </w:rPr>
              <w:t>”)</w:t>
            </w:r>
          </w:p>
        </w:tc>
      </w:tr>
      <w:tr w:rsidR="00BF4649" w:rsidRPr="00027B1C" w14:paraId="784A1F17" w14:textId="77777777" w:rsidTr="00B954E0">
        <w:tc>
          <w:tcPr>
            <w:tcW w:w="2450" w:type="dxa"/>
            <w:tcBorders>
              <w:top w:val="nil"/>
              <w:left w:val="nil"/>
              <w:bottom w:val="nil"/>
              <w:right w:val="nil"/>
            </w:tcBorders>
          </w:tcPr>
          <w:p w14:paraId="36B33E63" w14:textId="77777777" w:rsidR="00BF4649" w:rsidRPr="00BF4649" w:rsidRDefault="00BF4649" w:rsidP="00BF4649">
            <w:pPr>
              <w:spacing w:after="60"/>
              <w:rPr>
                <w:rFonts w:ascii="Times New Roman" w:hAnsi="Times New Roman" w:cs="Times New Roman"/>
              </w:rPr>
            </w:pPr>
          </w:p>
        </w:tc>
        <w:tc>
          <w:tcPr>
            <w:tcW w:w="2617" w:type="dxa"/>
            <w:tcBorders>
              <w:top w:val="nil"/>
              <w:left w:val="nil"/>
              <w:bottom w:val="nil"/>
              <w:right w:val="nil"/>
            </w:tcBorders>
          </w:tcPr>
          <w:p w14:paraId="2C2A5139" w14:textId="69D820D6"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response</w:t>
            </w:r>
          </w:p>
        </w:tc>
        <w:tc>
          <w:tcPr>
            <w:tcW w:w="4571" w:type="dxa"/>
            <w:tcBorders>
              <w:top w:val="nil"/>
              <w:left w:val="nil"/>
              <w:bottom w:val="nil"/>
              <w:right w:val="nil"/>
            </w:tcBorders>
          </w:tcPr>
          <w:p w14:paraId="6E7ACE52" w14:textId="0D54C16B" w:rsidR="00BF4649" w:rsidRPr="002567D4" w:rsidRDefault="00BF4649" w:rsidP="00BF4649">
            <w:pPr>
              <w:spacing w:before="60" w:after="60"/>
              <w:rPr>
                <w:rFonts w:ascii="Times New Roman" w:hAnsi="Times New Roman" w:cs="Times New Roman"/>
              </w:rPr>
            </w:pPr>
            <w:r>
              <w:rPr>
                <w:rFonts w:ascii="Times New Roman" w:hAnsi="Times New Roman" w:cs="Times New Roman"/>
                <w:lang w:val="en-US"/>
              </w:rPr>
              <w:t>participant’s response</w:t>
            </w:r>
          </w:p>
        </w:tc>
      </w:tr>
      <w:tr w:rsidR="00BF4649" w:rsidRPr="00381CCF" w14:paraId="03A3173B" w14:textId="77777777" w:rsidTr="00B954E0">
        <w:tc>
          <w:tcPr>
            <w:tcW w:w="2450" w:type="dxa"/>
            <w:tcBorders>
              <w:top w:val="nil"/>
              <w:left w:val="nil"/>
              <w:bottom w:val="nil"/>
              <w:right w:val="nil"/>
            </w:tcBorders>
          </w:tcPr>
          <w:p w14:paraId="162C7A40"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0B401FDA" w14:textId="75109766"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coder1</w:t>
            </w:r>
          </w:p>
        </w:tc>
        <w:tc>
          <w:tcPr>
            <w:tcW w:w="4571" w:type="dxa"/>
            <w:tcBorders>
              <w:top w:val="nil"/>
              <w:left w:val="nil"/>
              <w:bottom w:val="nil"/>
              <w:right w:val="nil"/>
            </w:tcBorders>
          </w:tcPr>
          <w:p w14:paraId="3612A079" w14:textId="46C6082D" w:rsidR="00BF4649"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rating of the 1</w:t>
            </w:r>
            <w:r w:rsidRPr="00BF4649">
              <w:rPr>
                <w:rFonts w:ascii="Times New Roman" w:hAnsi="Times New Roman" w:cs="Times New Roman"/>
                <w:vertAlign w:val="superscript"/>
                <w:lang w:val="en-US"/>
              </w:rPr>
              <w:t>st</w:t>
            </w:r>
            <w:r>
              <w:rPr>
                <w:rFonts w:ascii="Times New Roman" w:hAnsi="Times New Roman" w:cs="Times New Roman"/>
                <w:lang w:val="en-US"/>
              </w:rPr>
              <w:t xml:space="preserve"> coder</w:t>
            </w:r>
          </w:p>
        </w:tc>
      </w:tr>
      <w:tr w:rsidR="00BF4649" w:rsidRPr="00381CCF" w14:paraId="7B163708" w14:textId="77777777" w:rsidTr="00B954E0">
        <w:tc>
          <w:tcPr>
            <w:tcW w:w="2450" w:type="dxa"/>
            <w:tcBorders>
              <w:top w:val="nil"/>
              <w:left w:val="nil"/>
              <w:bottom w:val="nil"/>
              <w:right w:val="nil"/>
            </w:tcBorders>
          </w:tcPr>
          <w:p w14:paraId="587292C4"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3E754FB5" w14:textId="188D1CFE"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coder2</w:t>
            </w:r>
          </w:p>
        </w:tc>
        <w:tc>
          <w:tcPr>
            <w:tcW w:w="4571" w:type="dxa"/>
            <w:tcBorders>
              <w:top w:val="nil"/>
              <w:left w:val="nil"/>
              <w:bottom w:val="nil"/>
              <w:right w:val="nil"/>
            </w:tcBorders>
          </w:tcPr>
          <w:p w14:paraId="357F98D0" w14:textId="198227F4" w:rsidR="00BF4649"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rating of the 2</w:t>
            </w:r>
            <w:r w:rsidRPr="00BF4649">
              <w:rPr>
                <w:rFonts w:ascii="Times New Roman" w:hAnsi="Times New Roman" w:cs="Times New Roman"/>
                <w:vertAlign w:val="superscript"/>
                <w:lang w:val="en-US"/>
              </w:rPr>
              <w:t>nd</w:t>
            </w:r>
            <w:r>
              <w:rPr>
                <w:rFonts w:ascii="Times New Roman" w:hAnsi="Times New Roman" w:cs="Times New Roman"/>
                <w:lang w:val="en-US"/>
              </w:rPr>
              <w:t xml:space="preserve"> coder</w:t>
            </w:r>
          </w:p>
        </w:tc>
      </w:tr>
      <w:tr w:rsidR="00BF4649" w:rsidRPr="00381CCF" w14:paraId="536FC850" w14:textId="77777777" w:rsidTr="00B954E0">
        <w:tc>
          <w:tcPr>
            <w:tcW w:w="2450" w:type="dxa"/>
            <w:tcBorders>
              <w:top w:val="nil"/>
              <w:left w:val="nil"/>
              <w:bottom w:val="nil"/>
              <w:right w:val="nil"/>
            </w:tcBorders>
          </w:tcPr>
          <w:p w14:paraId="1E4A1516"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1B17A51E" w14:textId="789DF657"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coder3</w:t>
            </w:r>
          </w:p>
        </w:tc>
        <w:tc>
          <w:tcPr>
            <w:tcW w:w="4571" w:type="dxa"/>
            <w:tcBorders>
              <w:top w:val="nil"/>
              <w:left w:val="nil"/>
              <w:bottom w:val="nil"/>
              <w:right w:val="nil"/>
            </w:tcBorders>
          </w:tcPr>
          <w:p w14:paraId="7526253F" w14:textId="0583071F" w:rsidR="00BF4649"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rating of the 3</w:t>
            </w:r>
            <w:r w:rsidRPr="00BF4649">
              <w:rPr>
                <w:rFonts w:ascii="Times New Roman" w:hAnsi="Times New Roman" w:cs="Times New Roman"/>
                <w:vertAlign w:val="superscript"/>
                <w:lang w:val="en-US"/>
              </w:rPr>
              <w:t>rd</w:t>
            </w:r>
            <w:r>
              <w:rPr>
                <w:rFonts w:ascii="Times New Roman" w:hAnsi="Times New Roman" w:cs="Times New Roman"/>
                <w:lang w:val="en-US"/>
              </w:rPr>
              <w:t xml:space="preserve"> coder</w:t>
            </w:r>
          </w:p>
        </w:tc>
      </w:tr>
      <w:tr w:rsidR="00BF4649" w:rsidRPr="00381CCF" w14:paraId="542E24BF" w14:textId="77777777" w:rsidTr="00B954E0">
        <w:tc>
          <w:tcPr>
            <w:tcW w:w="2450" w:type="dxa"/>
            <w:tcBorders>
              <w:top w:val="nil"/>
              <w:left w:val="nil"/>
              <w:bottom w:val="nil"/>
              <w:right w:val="nil"/>
            </w:tcBorders>
          </w:tcPr>
          <w:p w14:paraId="02648A98"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6625A16A" w14:textId="3C286B5B"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RAPM-Gf</w:t>
            </w:r>
          </w:p>
        </w:tc>
        <w:tc>
          <w:tcPr>
            <w:tcW w:w="4571" w:type="dxa"/>
            <w:tcBorders>
              <w:top w:val="nil"/>
              <w:left w:val="nil"/>
              <w:bottom w:val="nil"/>
              <w:right w:val="nil"/>
            </w:tcBorders>
          </w:tcPr>
          <w:p w14:paraId="4CAE4231" w14:textId="63BE43F9" w:rsidR="00BF4649"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fluid intelligence (out of 18 items)</w:t>
            </w:r>
          </w:p>
        </w:tc>
      </w:tr>
      <w:tr w:rsidR="00BF4649" w:rsidRPr="00027B1C" w14:paraId="324785A4" w14:textId="77777777" w:rsidTr="00B954E0">
        <w:tc>
          <w:tcPr>
            <w:tcW w:w="2450" w:type="dxa"/>
            <w:tcBorders>
              <w:top w:val="nil"/>
              <w:left w:val="nil"/>
              <w:bottom w:val="nil"/>
              <w:right w:val="nil"/>
            </w:tcBorders>
          </w:tcPr>
          <w:p w14:paraId="09449027"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265AD6B3" w14:textId="0305288A"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BFI-Extraversion</w:t>
            </w:r>
          </w:p>
        </w:tc>
        <w:tc>
          <w:tcPr>
            <w:tcW w:w="4571" w:type="dxa"/>
            <w:tcBorders>
              <w:top w:val="nil"/>
              <w:left w:val="nil"/>
              <w:bottom w:val="nil"/>
              <w:right w:val="nil"/>
            </w:tcBorders>
          </w:tcPr>
          <w:p w14:paraId="05EB6327" w14:textId="2AC81BEA" w:rsidR="00BF4649" w:rsidRPr="00BF4649" w:rsidRDefault="00BF4649" w:rsidP="00BF4649">
            <w:pPr>
              <w:spacing w:before="60" w:after="60"/>
              <w:rPr>
                <w:rFonts w:ascii="Times New Roman" w:hAnsi="Times New Roman" w:cs="Times New Roman"/>
                <w:lang w:val="en-US"/>
              </w:rPr>
            </w:pPr>
            <w:r>
              <w:rPr>
                <w:rFonts w:ascii="Times New Roman" w:hAnsi="Times New Roman" w:cs="Times New Roman"/>
                <w:lang w:val="en-US"/>
              </w:rPr>
              <w:t>extraversion (Big Five)</w:t>
            </w:r>
          </w:p>
        </w:tc>
      </w:tr>
      <w:tr w:rsidR="00BF4649" w:rsidRPr="00027B1C" w14:paraId="7A110F33" w14:textId="77777777" w:rsidTr="00B954E0">
        <w:tc>
          <w:tcPr>
            <w:tcW w:w="2450" w:type="dxa"/>
            <w:tcBorders>
              <w:top w:val="nil"/>
              <w:left w:val="nil"/>
              <w:bottom w:val="nil"/>
              <w:right w:val="nil"/>
            </w:tcBorders>
          </w:tcPr>
          <w:p w14:paraId="209226B4"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21E389EE" w14:textId="463DA9F1"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BFI-Agreeableness</w:t>
            </w:r>
          </w:p>
        </w:tc>
        <w:tc>
          <w:tcPr>
            <w:tcW w:w="4571" w:type="dxa"/>
            <w:tcBorders>
              <w:top w:val="nil"/>
              <w:left w:val="nil"/>
              <w:bottom w:val="nil"/>
              <w:right w:val="nil"/>
            </w:tcBorders>
          </w:tcPr>
          <w:p w14:paraId="312F2E54" w14:textId="5FE85A24" w:rsidR="00BF4649" w:rsidRPr="002567D4" w:rsidRDefault="00BF4649" w:rsidP="00BF4649">
            <w:pPr>
              <w:spacing w:before="60" w:after="60"/>
              <w:rPr>
                <w:rFonts w:ascii="Times New Roman" w:hAnsi="Times New Roman" w:cs="Times New Roman"/>
              </w:rPr>
            </w:pPr>
            <w:r>
              <w:rPr>
                <w:rFonts w:ascii="Times New Roman" w:hAnsi="Times New Roman" w:cs="Times New Roman"/>
                <w:lang w:val="en-US"/>
              </w:rPr>
              <w:t>agreeableness (Big Five)</w:t>
            </w:r>
          </w:p>
        </w:tc>
      </w:tr>
      <w:tr w:rsidR="00BF4649" w:rsidRPr="00027B1C" w14:paraId="1DC890BC" w14:textId="77777777" w:rsidTr="00B954E0">
        <w:tc>
          <w:tcPr>
            <w:tcW w:w="2450" w:type="dxa"/>
            <w:tcBorders>
              <w:top w:val="nil"/>
              <w:left w:val="nil"/>
              <w:bottom w:val="nil"/>
              <w:right w:val="nil"/>
            </w:tcBorders>
          </w:tcPr>
          <w:p w14:paraId="7B810AB0"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2084092F" w14:textId="63537D46" w:rsidR="00BF4649" w:rsidRPr="00182A35" w:rsidRDefault="00BF4649" w:rsidP="00BF4649">
            <w:pPr>
              <w:spacing w:before="60" w:after="60"/>
              <w:rPr>
                <w:rFonts w:ascii="Times New Roman" w:hAnsi="Times New Roman" w:cs="Times New Roman"/>
                <w:lang w:val="en-US"/>
              </w:rPr>
            </w:pPr>
            <w:r w:rsidRPr="00B954E0">
              <w:rPr>
                <w:rFonts w:ascii="Times New Roman" w:hAnsi="Times New Roman" w:cs="Times New Roman"/>
                <w:lang w:val="en-US"/>
              </w:rPr>
              <w:t>BFI-Consciousness</w:t>
            </w:r>
          </w:p>
        </w:tc>
        <w:tc>
          <w:tcPr>
            <w:tcW w:w="4571" w:type="dxa"/>
            <w:tcBorders>
              <w:top w:val="nil"/>
              <w:left w:val="nil"/>
              <w:bottom w:val="nil"/>
              <w:right w:val="nil"/>
            </w:tcBorders>
          </w:tcPr>
          <w:p w14:paraId="046124AC" w14:textId="62D5D23E" w:rsidR="00BF4649" w:rsidRPr="002567D4" w:rsidRDefault="00BF4649" w:rsidP="00BF4649">
            <w:pPr>
              <w:spacing w:before="60" w:after="60"/>
              <w:rPr>
                <w:rFonts w:ascii="Times New Roman" w:hAnsi="Times New Roman" w:cs="Times New Roman"/>
              </w:rPr>
            </w:pPr>
            <w:r>
              <w:rPr>
                <w:rFonts w:ascii="Times New Roman" w:hAnsi="Times New Roman" w:cs="Times New Roman"/>
                <w:lang w:val="en-US"/>
              </w:rPr>
              <w:t>consciousness</w:t>
            </w:r>
            <w:r w:rsidRPr="00B41663">
              <w:rPr>
                <w:rFonts w:ascii="Times New Roman" w:hAnsi="Times New Roman" w:cs="Times New Roman"/>
                <w:lang w:val="en-US"/>
              </w:rPr>
              <w:t xml:space="preserve"> (Big Five)</w:t>
            </w:r>
          </w:p>
        </w:tc>
      </w:tr>
      <w:tr w:rsidR="00BF4649" w:rsidRPr="00027B1C" w14:paraId="6CC30AF1" w14:textId="77777777" w:rsidTr="00B954E0">
        <w:tc>
          <w:tcPr>
            <w:tcW w:w="2450" w:type="dxa"/>
            <w:tcBorders>
              <w:top w:val="nil"/>
              <w:left w:val="nil"/>
              <w:bottom w:val="nil"/>
              <w:right w:val="nil"/>
            </w:tcBorders>
          </w:tcPr>
          <w:p w14:paraId="612D4F43"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nil"/>
              <w:right w:val="nil"/>
            </w:tcBorders>
          </w:tcPr>
          <w:p w14:paraId="22469528" w14:textId="3CC722DF"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BFI-Openness</w:t>
            </w:r>
          </w:p>
        </w:tc>
        <w:tc>
          <w:tcPr>
            <w:tcW w:w="4571" w:type="dxa"/>
            <w:tcBorders>
              <w:top w:val="nil"/>
              <w:left w:val="nil"/>
              <w:bottom w:val="nil"/>
              <w:right w:val="nil"/>
            </w:tcBorders>
          </w:tcPr>
          <w:p w14:paraId="08D4F4E1" w14:textId="24E95A76" w:rsidR="00BF4649" w:rsidRPr="002567D4" w:rsidRDefault="00BF4649" w:rsidP="00BF4649">
            <w:pPr>
              <w:spacing w:before="60" w:after="60"/>
              <w:rPr>
                <w:rFonts w:ascii="Times New Roman" w:hAnsi="Times New Roman" w:cs="Times New Roman"/>
              </w:rPr>
            </w:pPr>
            <w:r>
              <w:rPr>
                <w:rFonts w:ascii="Times New Roman" w:hAnsi="Times New Roman" w:cs="Times New Roman"/>
                <w:lang w:val="en-US"/>
              </w:rPr>
              <w:t>openness</w:t>
            </w:r>
            <w:r w:rsidRPr="00B41663">
              <w:rPr>
                <w:rFonts w:ascii="Times New Roman" w:hAnsi="Times New Roman" w:cs="Times New Roman"/>
                <w:lang w:val="en-US"/>
              </w:rPr>
              <w:t xml:space="preserve"> (Big Five)</w:t>
            </w:r>
          </w:p>
        </w:tc>
      </w:tr>
      <w:tr w:rsidR="00BF4649" w:rsidRPr="00027B1C" w14:paraId="1F833F59" w14:textId="77777777" w:rsidTr="00B954E0">
        <w:tc>
          <w:tcPr>
            <w:tcW w:w="2450" w:type="dxa"/>
            <w:tcBorders>
              <w:top w:val="nil"/>
              <w:left w:val="nil"/>
              <w:bottom w:val="single" w:sz="12" w:space="0" w:color="auto"/>
              <w:right w:val="nil"/>
            </w:tcBorders>
          </w:tcPr>
          <w:p w14:paraId="053B88C2" w14:textId="77777777" w:rsidR="00BF4649" w:rsidRDefault="00BF4649" w:rsidP="00BF4649">
            <w:pPr>
              <w:spacing w:after="60"/>
              <w:rPr>
                <w:rFonts w:ascii="Times New Roman" w:hAnsi="Times New Roman" w:cs="Times New Roman"/>
                <w:lang w:val="en-US"/>
              </w:rPr>
            </w:pPr>
          </w:p>
        </w:tc>
        <w:tc>
          <w:tcPr>
            <w:tcW w:w="2617" w:type="dxa"/>
            <w:tcBorders>
              <w:top w:val="nil"/>
              <w:left w:val="nil"/>
              <w:bottom w:val="single" w:sz="12" w:space="0" w:color="auto"/>
              <w:right w:val="nil"/>
            </w:tcBorders>
          </w:tcPr>
          <w:p w14:paraId="26F26F29" w14:textId="25E164ED" w:rsidR="00BF4649" w:rsidRPr="00182A35" w:rsidRDefault="00BF4649" w:rsidP="00BF4649">
            <w:pPr>
              <w:spacing w:before="60" w:after="60"/>
              <w:rPr>
                <w:rFonts w:ascii="Times New Roman" w:hAnsi="Times New Roman" w:cs="Times New Roman"/>
                <w:lang w:val="en-US"/>
              </w:rPr>
            </w:pPr>
            <w:r>
              <w:rPr>
                <w:rFonts w:ascii="Times New Roman" w:hAnsi="Times New Roman" w:cs="Times New Roman"/>
                <w:lang w:val="en-US"/>
              </w:rPr>
              <w:t>BFI-Neuroticism</w:t>
            </w:r>
          </w:p>
        </w:tc>
        <w:tc>
          <w:tcPr>
            <w:tcW w:w="4571" w:type="dxa"/>
            <w:tcBorders>
              <w:top w:val="nil"/>
              <w:left w:val="nil"/>
              <w:bottom w:val="single" w:sz="12" w:space="0" w:color="auto"/>
              <w:right w:val="nil"/>
            </w:tcBorders>
          </w:tcPr>
          <w:p w14:paraId="3D9F3363" w14:textId="75891AFB" w:rsidR="00BF4649" w:rsidRPr="002567D4" w:rsidRDefault="00BF4649" w:rsidP="00BF4649">
            <w:pPr>
              <w:spacing w:before="60" w:after="60"/>
              <w:rPr>
                <w:rFonts w:ascii="Times New Roman" w:hAnsi="Times New Roman" w:cs="Times New Roman"/>
              </w:rPr>
            </w:pPr>
            <w:r>
              <w:rPr>
                <w:rFonts w:ascii="Times New Roman" w:hAnsi="Times New Roman" w:cs="Times New Roman"/>
                <w:lang w:val="en-US"/>
              </w:rPr>
              <w:t>neuroticism</w:t>
            </w:r>
            <w:r w:rsidRPr="00B41663">
              <w:rPr>
                <w:rFonts w:ascii="Times New Roman" w:hAnsi="Times New Roman" w:cs="Times New Roman"/>
                <w:lang w:val="en-US"/>
              </w:rPr>
              <w:t xml:space="preserve"> (Big Five)</w:t>
            </w:r>
          </w:p>
        </w:tc>
      </w:tr>
    </w:tbl>
    <w:p w14:paraId="506E6BF2" w14:textId="127AD2A1" w:rsidR="00902C26" w:rsidRPr="00334FAD" w:rsidRDefault="00334FAD" w:rsidP="00334FAD">
      <w:pPr>
        <w:spacing w:before="100"/>
        <w:rPr>
          <w:rFonts w:ascii="Times New Roman" w:hAnsi="Times New Roman" w:cs="Times New Roman"/>
          <w:sz w:val="20"/>
          <w:lang w:val="en-US"/>
        </w:rPr>
      </w:pPr>
      <w:r w:rsidRPr="00334FAD">
        <w:rPr>
          <w:rFonts w:ascii="Times New Roman" w:hAnsi="Times New Roman" w:cs="Times New Roman"/>
          <w:i/>
          <w:sz w:val="20"/>
          <w:lang w:val="en-US"/>
        </w:rPr>
        <w:t>Note</w:t>
      </w:r>
      <w:r w:rsidRPr="00334FAD">
        <w:rPr>
          <w:rFonts w:ascii="Times New Roman" w:hAnsi="Times New Roman" w:cs="Times New Roman"/>
          <w:sz w:val="20"/>
          <w:lang w:val="en-US"/>
        </w:rPr>
        <w:t>.</w:t>
      </w:r>
      <w:r>
        <w:rPr>
          <w:rFonts w:ascii="Times New Roman" w:hAnsi="Times New Roman" w:cs="Times New Roman"/>
          <w:sz w:val="20"/>
          <w:lang w:val="en-US"/>
        </w:rPr>
        <w:t xml:space="preserve"> BFI = Big Five Inventory; DT = divergent thinking; RAPM = Raven’s Advanced Progressive Matrices</w:t>
      </w:r>
    </w:p>
    <w:sectPr w:rsidR="00902C26" w:rsidRPr="00334FAD" w:rsidSect="00064AC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58DA4" w14:textId="77777777" w:rsidR="00045FC9" w:rsidRDefault="00045FC9" w:rsidP="006813DB">
      <w:pPr>
        <w:spacing w:after="0" w:line="240" w:lineRule="auto"/>
      </w:pPr>
      <w:r>
        <w:separator/>
      </w:r>
    </w:p>
  </w:endnote>
  <w:endnote w:type="continuationSeparator" w:id="0">
    <w:p w14:paraId="10EF5746" w14:textId="77777777" w:rsidR="00045FC9" w:rsidRDefault="00045FC9" w:rsidP="0068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8F7E1" w14:textId="77777777" w:rsidR="00045FC9" w:rsidRDefault="00045FC9" w:rsidP="006813DB">
      <w:pPr>
        <w:spacing w:after="0" w:line="240" w:lineRule="auto"/>
      </w:pPr>
      <w:r>
        <w:separator/>
      </w:r>
    </w:p>
  </w:footnote>
  <w:footnote w:type="continuationSeparator" w:id="0">
    <w:p w14:paraId="53863C32" w14:textId="77777777" w:rsidR="00045FC9" w:rsidRDefault="00045FC9" w:rsidP="00681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C26"/>
    <w:rsid w:val="000002E8"/>
    <w:rsid w:val="00002660"/>
    <w:rsid w:val="0001487F"/>
    <w:rsid w:val="00017EAF"/>
    <w:rsid w:val="00027295"/>
    <w:rsid w:val="00027B1C"/>
    <w:rsid w:val="00030863"/>
    <w:rsid w:val="00031C0D"/>
    <w:rsid w:val="0004328F"/>
    <w:rsid w:val="00045FC9"/>
    <w:rsid w:val="000573F4"/>
    <w:rsid w:val="00057CD7"/>
    <w:rsid w:val="00061089"/>
    <w:rsid w:val="00061969"/>
    <w:rsid w:val="00064AC0"/>
    <w:rsid w:val="00070C29"/>
    <w:rsid w:val="0007389D"/>
    <w:rsid w:val="000744B5"/>
    <w:rsid w:val="00074A15"/>
    <w:rsid w:val="00077C89"/>
    <w:rsid w:val="00094D4A"/>
    <w:rsid w:val="000A63FC"/>
    <w:rsid w:val="000B04FB"/>
    <w:rsid w:val="000C1518"/>
    <w:rsid w:val="000C228E"/>
    <w:rsid w:val="000C4420"/>
    <w:rsid w:val="000C6C92"/>
    <w:rsid w:val="000D1A28"/>
    <w:rsid w:val="000E15A3"/>
    <w:rsid w:val="00101F56"/>
    <w:rsid w:val="00103B3E"/>
    <w:rsid w:val="00112285"/>
    <w:rsid w:val="00112CFE"/>
    <w:rsid w:val="00116169"/>
    <w:rsid w:val="00130D8F"/>
    <w:rsid w:val="00133BB3"/>
    <w:rsid w:val="0013408C"/>
    <w:rsid w:val="00141FB4"/>
    <w:rsid w:val="00144504"/>
    <w:rsid w:val="0014483B"/>
    <w:rsid w:val="00145D5A"/>
    <w:rsid w:val="00145F62"/>
    <w:rsid w:val="0015388F"/>
    <w:rsid w:val="00182A35"/>
    <w:rsid w:val="0018595D"/>
    <w:rsid w:val="00197606"/>
    <w:rsid w:val="001B404F"/>
    <w:rsid w:val="001B660D"/>
    <w:rsid w:val="001B6CEC"/>
    <w:rsid w:val="001D032C"/>
    <w:rsid w:val="001D3F63"/>
    <w:rsid w:val="001D43A5"/>
    <w:rsid w:val="002042AE"/>
    <w:rsid w:val="002062BC"/>
    <w:rsid w:val="00225F89"/>
    <w:rsid w:val="002329FB"/>
    <w:rsid w:val="00240DA4"/>
    <w:rsid w:val="00243CEA"/>
    <w:rsid w:val="00247B28"/>
    <w:rsid w:val="00254594"/>
    <w:rsid w:val="0025530E"/>
    <w:rsid w:val="002567D4"/>
    <w:rsid w:val="00260496"/>
    <w:rsid w:val="00270E6B"/>
    <w:rsid w:val="002735C8"/>
    <w:rsid w:val="0027390C"/>
    <w:rsid w:val="00273F36"/>
    <w:rsid w:val="00284F3A"/>
    <w:rsid w:val="00285FE8"/>
    <w:rsid w:val="00287A31"/>
    <w:rsid w:val="00294AC1"/>
    <w:rsid w:val="00297B17"/>
    <w:rsid w:val="00297D35"/>
    <w:rsid w:val="002A60B4"/>
    <w:rsid w:val="002B35C9"/>
    <w:rsid w:val="002C2A1B"/>
    <w:rsid w:val="002C407E"/>
    <w:rsid w:val="002C4688"/>
    <w:rsid w:val="002D3687"/>
    <w:rsid w:val="002D5AFF"/>
    <w:rsid w:val="002F410E"/>
    <w:rsid w:val="002F43CD"/>
    <w:rsid w:val="00312004"/>
    <w:rsid w:val="00313EB2"/>
    <w:rsid w:val="00327615"/>
    <w:rsid w:val="003323E9"/>
    <w:rsid w:val="00334211"/>
    <w:rsid w:val="00334FAD"/>
    <w:rsid w:val="00337FEE"/>
    <w:rsid w:val="00343C99"/>
    <w:rsid w:val="00345332"/>
    <w:rsid w:val="00346FB7"/>
    <w:rsid w:val="00381CCF"/>
    <w:rsid w:val="00383796"/>
    <w:rsid w:val="003931FE"/>
    <w:rsid w:val="003A25BA"/>
    <w:rsid w:val="003C4D30"/>
    <w:rsid w:val="003C57C0"/>
    <w:rsid w:val="003C5AEB"/>
    <w:rsid w:val="003C67C3"/>
    <w:rsid w:val="003E6BBC"/>
    <w:rsid w:val="003F7B8A"/>
    <w:rsid w:val="00417339"/>
    <w:rsid w:val="00425656"/>
    <w:rsid w:val="00430CF2"/>
    <w:rsid w:val="00481AB8"/>
    <w:rsid w:val="004826EA"/>
    <w:rsid w:val="004926C8"/>
    <w:rsid w:val="004A152E"/>
    <w:rsid w:val="004A4544"/>
    <w:rsid w:val="004C4C90"/>
    <w:rsid w:val="004C4FCF"/>
    <w:rsid w:val="004C73EB"/>
    <w:rsid w:val="004D1985"/>
    <w:rsid w:val="004D73F3"/>
    <w:rsid w:val="004E2216"/>
    <w:rsid w:val="004E5A1E"/>
    <w:rsid w:val="004E69C7"/>
    <w:rsid w:val="004F1476"/>
    <w:rsid w:val="004F4CF9"/>
    <w:rsid w:val="004F52C4"/>
    <w:rsid w:val="00500C02"/>
    <w:rsid w:val="00505988"/>
    <w:rsid w:val="00510AAA"/>
    <w:rsid w:val="00513166"/>
    <w:rsid w:val="00516642"/>
    <w:rsid w:val="00546A1B"/>
    <w:rsid w:val="00552249"/>
    <w:rsid w:val="0055466B"/>
    <w:rsid w:val="005701B7"/>
    <w:rsid w:val="005720A0"/>
    <w:rsid w:val="005838D8"/>
    <w:rsid w:val="005B147F"/>
    <w:rsid w:val="005B5BEE"/>
    <w:rsid w:val="005C2F9C"/>
    <w:rsid w:val="005D5F5E"/>
    <w:rsid w:val="005F285C"/>
    <w:rsid w:val="00606300"/>
    <w:rsid w:val="00612F97"/>
    <w:rsid w:val="00613B2E"/>
    <w:rsid w:val="00615177"/>
    <w:rsid w:val="006300B0"/>
    <w:rsid w:val="0063180B"/>
    <w:rsid w:val="006334AE"/>
    <w:rsid w:val="006375AD"/>
    <w:rsid w:val="00637FE7"/>
    <w:rsid w:val="00643639"/>
    <w:rsid w:val="00661D05"/>
    <w:rsid w:val="00663583"/>
    <w:rsid w:val="006637D8"/>
    <w:rsid w:val="00667CB6"/>
    <w:rsid w:val="00673D26"/>
    <w:rsid w:val="006813DB"/>
    <w:rsid w:val="006847AB"/>
    <w:rsid w:val="00687F39"/>
    <w:rsid w:val="006A52EC"/>
    <w:rsid w:val="006A69C4"/>
    <w:rsid w:val="006B73AA"/>
    <w:rsid w:val="006B7BB2"/>
    <w:rsid w:val="006C48DA"/>
    <w:rsid w:val="006D5651"/>
    <w:rsid w:val="006E6E84"/>
    <w:rsid w:val="006F1393"/>
    <w:rsid w:val="00702D44"/>
    <w:rsid w:val="00706404"/>
    <w:rsid w:val="00706EB3"/>
    <w:rsid w:val="00712F6B"/>
    <w:rsid w:val="0072062E"/>
    <w:rsid w:val="00725FF9"/>
    <w:rsid w:val="0072614D"/>
    <w:rsid w:val="00734142"/>
    <w:rsid w:val="00751519"/>
    <w:rsid w:val="00756946"/>
    <w:rsid w:val="00764FD1"/>
    <w:rsid w:val="00770945"/>
    <w:rsid w:val="0077599F"/>
    <w:rsid w:val="00790FF8"/>
    <w:rsid w:val="007C575F"/>
    <w:rsid w:val="007D23B7"/>
    <w:rsid w:val="007E169E"/>
    <w:rsid w:val="007F0BF2"/>
    <w:rsid w:val="00805B44"/>
    <w:rsid w:val="00813173"/>
    <w:rsid w:val="0081631C"/>
    <w:rsid w:val="00824637"/>
    <w:rsid w:val="00826516"/>
    <w:rsid w:val="00834335"/>
    <w:rsid w:val="008363FA"/>
    <w:rsid w:val="0085276B"/>
    <w:rsid w:val="008554C7"/>
    <w:rsid w:val="008622B8"/>
    <w:rsid w:val="00874247"/>
    <w:rsid w:val="0087495A"/>
    <w:rsid w:val="0089095E"/>
    <w:rsid w:val="0089247E"/>
    <w:rsid w:val="008B345D"/>
    <w:rsid w:val="008D0052"/>
    <w:rsid w:val="00900A61"/>
    <w:rsid w:val="00902C26"/>
    <w:rsid w:val="00906FD8"/>
    <w:rsid w:val="00912CF6"/>
    <w:rsid w:val="00915552"/>
    <w:rsid w:val="009176D2"/>
    <w:rsid w:val="00920A43"/>
    <w:rsid w:val="00935FAC"/>
    <w:rsid w:val="00954E7C"/>
    <w:rsid w:val="00956426"/>
    <w:rsid w:val="0097124B"/>
    <w:rsid w:val="00973F61"/>
    <w:rsid w:val="00977B70"/>
    <w:rsid w:val="00991B70"/>
    <w:rsid w:val="009A6AA3"/>
    <w:rsid w:val="009B0115"/>
    <w:rsid w:val="009B1313"/>
    <w:rsid w:val="009B2E02"/>
    <w:rsid w:val="009D0E33"/>
    <w:rsid w:val="009D2B93"/>
    <w:rsid w:val="009D5CBC"/>
    <w:rsid w:val="009D664D"/>
    <w:rsid w:val="009E7336"/>
    <w:rsid w:val="009E75A2"/>
    <w:rsid w:val="009F2621"/>
    <w:rsid w:val="00A067E2"/>
    <w:rsid w:val="00A1160B"/>
    <w:rsid w:val="00A13260"/>
    <w:rsid w:val="00A420E4"/>
    <w:rsid w:val="00A539F7"/>
    <w:rsid w:val="00A541DF"/>
    <w:rsid w:val="00A767C9"/>
    <w:rsid w:val="00A95E51"/>
    <w:rsid w:val="00A95F95"/>
    <w:rsid w:val="00AA49CB"/>
    <w:rsid w:val="00AA62F5"/>
    <w:rsid w:val="00AA68F8"/>
    <w:rsid w:val="00AB5A48"/>
    <w:rsid w:val="00AB7B60"/>
    <w:rsid w:val="00AC3367"/>
    <w:rsid w:val="00AE1094"/>
    <w:rsid w:val="00AF07FB"/>
    <w:rsid w:val="00AF334F"/>
    <w:rsid w:val="00B017B1"/>
    <w:rsid w:val="00B076A9"/>
    <w:rsid w:val="00B1185C"/>
    <w:rsid w:val="00B2487F"/>
    <w:rsid w:val="00B45949"/>
    <w:rsid w:val="00B54DCC"/>
    <w:rsid w:val="00B551BD"/>
    <w:rsid w:val="00B57A4A"/>
    <w:rsid w:val="00B7014E"/>
    <w:rsid w:val="00B77218"/>
    <w:rsid w:val="00B834E0"/>
    <w:rsid w:val="00B954E0"/>
    <w:rsid w:val="00BA1AC6"/>
    <w:rsid w:val="00BA647A"/>
    <w:rsid w:val="00BB60CB"/>
    <w:rsid w:val="00BC033E"/>
    <w:rsid w:val="00BC12B8"/>
    <w:rsid w:val="00BC17E3"/>
    <w:rsid w:val="00BC3CF1"/>
    <w:rsid w:val="00BC3EED"/>
    <w:rsid w:val="00BE3F27"/>
    <w:rsid w:val="00BF4649"/>
    <w:rsid w:val="00C262EF"/>
    <w:rsid w:val="00C30CD4"/>
    <w:rsid w:val="00C3418C"/>
    <w:rsid w:val="00C35CDB"/>
    <w:rsid w:val="00C64130"/>
    <w:rsid w:val="00C76F6E"/>
    <w:rsid w:val="00C8380C"/>
    <w:rsid w:val="00C84FDB"/>
    <w:rsid w:val="00C868B8"/>
    <w:rsid w:val="00C90842"/>
    <w:rsid w:val="00C94ABC"/>
    <w:rsid w:val="00CB08A1"/>
    <w:rsid w:val="00CB36AD"/>
    <w:rsid w:val="00CB3811"/>
    <w:rsid w:val="00CC33E6"/>
    <w:rsid w:val="00CC6530"/>
    <w:rsid w:val="00CD48A4"/>
    <w:rsid w:val="00CE70BF"/>
    <w:rsid w:val="00CE78F9"/>
    <w:rsid w:val="00CF08B8"/>
    <w:rsid w:val="00D11B17"/>
    <w:rsid w:val="00D314BE"/>
    <w:rsid w:val="00D35523"/>
    <w:rsid w:val="00D97D37"/>
    <w:rsid w:val="00D97DA4"/>
    <w:rsid w:val="00DB0DA5"/>
    <w:rsid w:val="00DC12D3"/>
    <w:rsid w:val="00DC52DF"/>
    <w:rsid w:val="00DC5E45"/>
    <w:rsid w:val="00DE30B7"/>
    <w:rsid w:val="00DF69E9"/>
    <w:rsid w:val="00DF76BF"/>
    <w:rsid w:val="00E00ED9"/>
    <w:rsid w:val="00E01929"/>
    <w:rsid w:val="00E024BC"/>
    <w:rsid w:val="00E03389"/>
    <w:rsid w:val="00E03F9A"/>
    <w:rsid w:val="00E3243C"/>
    <w:rsid w:val="00E32CB1"/>
    <w:rsid w:val="00E41358"/>
    <w:rsid w:val="00E47609"/>
    <w:rsid w:val="00E700C3"/>
    <w:rsid w:val="00E77BD2"/>
    <w:rsid w:val="00EA14A1"/>
    <w:rsid w:val="00EA27DC"/>
    <w:rsid w:val="00EA330A"/>
    <w:rsid w:val="00EB12DF"/>
    <w:rsid w:val="00EB5670"/>
    <w:rsid w:val="00EE4C10"/>
    <w:rsid w:val="00F02BF0"/>
    <w:rsid w:val="00F033BB"/>
    <w:rsid w:val="00F16030"/>
    <w:rsid w:val="00F17543"/>
    <w:rsid w:val="00F60B43"/>
    <w:rsid w:val="00F66ACB"/>
    <w:rsid w:val="00F8060D"/>
    <w:rsid w:val="00F82E0C"/>
    <w:rsid w:val="00FA2ABA"/>
    <w:rsid w:val="00FA64BE"/>
    <w:rsid w:val="00FA6A7A"/>
    <w:rsid w:val="00FB4802"/>
    <w:rsid w:val="00FB4A4F"/>
    <w:rsid w:val="00FC0FD3"/>
    <w:rsid w:val="00FD095D"/>
    <w:rsid w:val="00FD102F"/>
    <w:rsid w:val="00FD4686"/>
    <w:rsid w:val="00FE3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C00B"/>
  <w15:chartTrackingRefBased/>
  <w15:docId w15:val="{6AA356B9-307D-49FC-B233-7ED5EF32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A27DC"/>
    <w:rPr>
      <w:sz w:val="16"/>
      <w:szCs w:val="16"/>
    </w:rPr>
  </w:style>
  <w:style w:type="paragraph" w:styleId="a5">
    <w:name w:val="annotation text"/>
    <w:basedOn w:val="a"/>
    <w:link w:val="a6"/>
    <w:uiPriority w:val="99"/>
    <w:semiHidden/>
    <w:unhideWhenUsed/>
    <w:rsid w:val="00EA27DC"/>
    <w:pPr>
      <w:spacing w:line="240" w:lineRule="auto"/>
    </w:pPr>
    <w:rPr>
      <w:sz w:val="20"/>
      <w:szCs w:val="20"/>
    </w:rPr>
  </w:style>
  <w:style w:type="character" w:customStyle="1" w:styleId="a6">
    <w:name w:val="Текст примечания Знак"/>
    <w:basedOn w:val="a0"/>
    <w:link w:val="a5"/>
    <w:uiPriority w:val="99"/>
    <w:semiHidden/>
    <w:rsid w:val="00EA27DC"/>
    <w:rPr>
      <w:sz w:val="20"/>
      <w:szCs w:val="20"/>
    </w:rPr>
  </w:style>
  <w:style w:type="paragraph" w:styleId="a7">
    <w:name w:val="annotation subject"/>
    <w:basedOn w:val="a5"/>
    <w:next w:val="a5"/>
    <w:link w:val="a8"/>
    <w:uiPriority w:val="99"/>
    <w:semiHidden/>
    <w:unhideWhenUsed/>
    <w:rsid w:val="00EA27DC"/>
    <w:rPr>
      <w:b/>
      <w:bCs/>
    </w:rPr>
  </w:style>
  <w:style w:type="character" w:customStyle="1" w:styleId="a8">
    <w:name w:val="Тема примечания Знак"/>
    <w:basedOn w:val="a6"/>
    <w:link w:val="a7"/>
    <w:uiPriority w:val="99"/>
    <w:semiHidden/>
    <w:rsid w:val="00EA27DC"/>
    <w:rPr>
      <w:b/>
      <w:bCs/>
      <w:sz w:val="20"/>
      <w:szCs w:val="20"/>
    </w:rPr>
  </w:style>
  <w:style w:type="paragraph" w:styleId="a9">
    <w:name w:val="Balloon Text"/>
    <w:basedOn w:val="a"/>
    <w:link w:val="aa"/>
    <w:uiPriority w:val="99"/>
    <w:semiHidden/>
    <w:unhideWhenUsed/>
    <w:rsid w:val="00EA27D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A27DC"/>
    <w:rPr>
      <w:rFonts w:ascii="Segoe UI" w:hAnsi="Segoe UI" w:cs="Segoe UI"/>
      <w:sz w:val="18"/>
      <w:szCs w:val="18"/>
    </w:rPr>
  </w:style>
  <w:style w:type="paragraph" w:styleId="ab">
    <w:name w:val="Revision"/>
    <w:hidden/>
    <w:uiPriority w:val="99"/>
    <w:semiHidden/>
    <w:rsid w:val="00116169"/>
    <w:pPr>
      <w:spacing w:after="0" w:line="240" w:lineRule="auto"/>
    </w:pPr>
  </w:style>
  <w:style w:type="paragraph" w:styleId="ac">
    <w:name w:val="footnote text"/>
    <w:basedOn w:val="a"/>
    <w:link w:val="ad"/>
    <w:uiPriority w:val="99"/>
    <w:semiHidden/>
    <w:unhideWhenUsed/>
    <w:rsid w:val="006813DB"/>
    <w:pPr>
      <w:spacing w:after="0" w:line="240" w:lineRule="auto"/>
    </w:pPr>
    <w:rPr>
      <w:sz w:val="20"/>
      <w:szCs w:val="20"/>
    </w:rPr>
  </w:style>
  <w:style w:type="character" w:customStyle="1" w:styleId="ad">
    <w:name w:val="Текст сноски Знак"/>
    <w:basedOn w:val="a0"/>
    <w:link w:val="ac"/>
    <w:uiPriority w:val="99"/>
    <w:semiHidden/>
    <w:rsid w:val="006813DB"/>
    <w:rPr>
      <w:sz w:val="20"/>
      <w:szCs w:val="20"/>
    </w:rPr>
  </w:style>
  <w:style w:type="character" w:styleId="ae">
    <w:name w:val="footnote reference"/>
    <w:basedOn w:val="a0"/>
    <w:uiPriority w:val="99"/>
    <w:semiHidden/>
    <w:unhideWhenUsed/>
    <w:rsid w:val="006813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4328">
      <w:bodyDiv w:val="1"/>
      <w:marLeft w:val="0"/>
      <w:marRight w:val="0"/>
      <w:marTop w:val="0"/>
      <w:marBottom w:val="0"/>
      <w:divBdr>
        <w:top w:val="none" w:sz="0" w:space="0" w:color="auto"/>
        <w:left w:val="none" w:sz="0" w:space="0" w:color="auto"/>
        <w:bottom w:val="none" w:sz="0" w:space="0" w:color="auto"/>
        <w:right w:val="none" w:sz="0" w:space="0" w:color="auto"/>
      </w:divBdr>
    </w:div>
    <w:div w:id="9188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E5CCE-D2E8-469C-A18D-2993461B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3</Pages>
  <Words>1145</Words>
  <Characters>6529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Kirill Miroshnik</cp:lastModifiedBy>
  <cp:revision>210</cp:revision>
  <dcterms:created xsi:type="dcterms:W3CDTF">2019-11-22T17:03:00Z</dcterms:created>
  <dcterms:modified xsi:type="dcterms:W3CDTF">2021-12-19T13:26:00Z</dcterms:modified>
</cp:coreProperties>
</file>