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2"/>
        </w:rPr>
        <w:t>Table 4: Sector-Level Recursive Break Summary</w:t>
      </w:r>
    </w:p>
    <w:p>
      <w:pPr>
        <w:spacing w:before="40" w:after="40"/>
      </w:pPr>
      <w:r>
        <w:rPr>
          <w:b/>
          <w:sz w:val="20"/>
        </w:rPr>
        <w:t>Panel A: Unconditional Volatility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2232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835"/>
            <w:gridSpan w:val="5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Historical (1959-1999)</w:t>
            </w:r>
          </w:p>
        </w:tc>
        <w:tc>
          <w:tcPr>
            <w:tcW w:type="dxa" w:w="835"/>
            <w:gridSpan w:val="5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Pre-GFC (1959-2007)</w:t>
            </w:r>
          </w:p>
        </w:tc>
        <w:tc>
          <w:tcPr>
            <w:tcW w:type="dxa" w:w="835"/>
            <w:gridSpan w:val="5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Full Sample (1959-2026)</w:t>
            </w:r>
          </w:p>
        </w:tc>
      </w:tr>
      <w:tr>
        <w:tc>
          <w:tcPr>
            <w:tcW w:type="dxa" w:w="2232"/>
            <w:shd w:val="clear" w:color="auto" w:fill="D9D9D9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8"/>
              </w:rPr>
              <w:t>Sector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0</w:t>
              <w:br/>
              <w:t>Breaks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1</w:t>
              <w:br/>
              <w:t>Break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2+</w:t>
              <w:br/>
              <w:t>Breaks</w:t>
            </w:r>
          </w:p>
        </w:tc>
        <w:tc>
          <w:tcPr>
            <w:tcW w:type="dxa" w:w="1037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Med. Δσ</w:t>
            </w:r>
          </w:p>
        </w:tc>
        <w:tc>
          <w:tcPr>
            <w:tcW w:type="dxa" w:w="835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% Mod.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0</w:t>
              <w:br/>
              <w:t>Breaks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1</w:t>
              <w:br/>
              <w:t>Break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2+</w:t>
              <w:br/>
              <w:t>Breaks</w:t>
            </w:r>
          </w:p>
        </w:tc>
        <w:tc>
          <w:tcPr>
            <w:tcW w:type="dxa" w:w="1037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Med. Δσ</w:t>
            </w:r>
          </w:p>
        </w:tc>
        <w:tc>
          <w:tcPr>
            <w:tcW w:type="dxa" w:w="835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% Mod.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0</w:t>
              <w:br/>
              <w:t>Breaks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1</w:t>
              <w:br/>
              <w:t>Break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2+</w:t>
              <w:br/>
              <w:t>Breaks</w:t>
            </w:r>
          </w:p>
        </w:tc>
        <w:tc>
          <w:tcPr>
            <w:tcW w:type="dxa" w:w="1037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Med. Δσ</w:t>
            </w:r>
          </w:p>
        </w:tc>
        <w:tc>
          <w:tcPr>
            <w:tcW w:type="dxa" w:w="835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% Mod.</w:t>
            </w:r>
          </w:p>
        </w:tc>
      </w:tr>
      <w:tr>
        <w:tc>
          <w:tcPr>
            <w:tcW w:type="dxa" w:w="2232"/>
            <w:shd w:val="clear" w:color="auto" w:fill="EBF3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Output and Income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25%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56%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19%</w:t>
            </w:r>
          </w:p>
        </w:tc>
        <w:tc>
          <w:tcPr>
            <w:tcW w:type="dxa" w:w="1037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563A3"/>
                <w:sz w:val="18"/>
              </w:rPr>
              <w:t>-36.3%</w:t>
            </w:r>
          </w:p>
        </w:tc>
        <w:tc>
          <w:tcPr>
            <w:tcW w:type="dxa" w:w="835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81%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25%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50%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25%</w:t>
            </w:r>
          </w:p>
        </w:tc>
        <w:tc>
          <w:tcPr>
            <w:tcW w:type="dxa" w:w="1037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563A3"/>
                <w:sz w:val="18"/>
              </w:rPr>
              <w:t>-36.6%</w:t>
            </w:r>
          </w:p>
        </w:tc>
        <w:tc>
          <w:tcPr>
            <w:tcW w:type="dxa" w:w="835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79%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69%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25%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6%</w:t>
            </w:r>
          </w:p>
        </w:tc>
        <w:tc>
          <w:tcPr>
            <w:tcW w:type="dxa" w:w="1037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563A3"/>
                <w:sz w:val="18"/>
              </w:rPr>
              <w:t>-33.0%</w:t>
            </w:r>
          </w:p>
        </w:tc>
        <w:tc>
          <w:tcPr>
            <w:tcW w:type="dxa" w:w="835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67%</w:t>
            </w:r>
          </w:p>
        </w:tc>
      </w:tr>
      <w:tr>
        <w:tc>
          <w:tcPr>
            <w:tcW w:type="dxa" w:w="2232"/>
            <w:shd w:val="clear" w:color="auto" w:fill="EBF3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Labor Market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6%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45%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48%</w:t>
            </w:r>
          </w:p>
        </w:tc>
        <w:tc>
          <w:tcPr>
            <w:tcW w:type="dxa" w:w="1037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563A3"/>
                <w:sz w:val="18"/>
              </w:rPr>
              <w:t>-30.3%</w:t>
            </w:r>
          </w:p>
        </w:tc>
        <w:tc>
          <w:tcPr>
            <w:tcW w:type="dxa" w:w="835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70%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13%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42%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45%</w:t>
            </w:r>
          </w:p>
        </w:tc>
        <w:tc>
          <w:tcPr>
            <w:tcW w:type="dxa" w:w="1037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563A3"/>
                <w:sz w:val="18"/>
              </w:rPr>
              <w:t>-32.0%</w:t>
            </w:r>
          </w:p>
        </w:tc>
        <w:tc>
          <w:tcPr>
            <w:tcW w:type="dxa" w:w="835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69%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55%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32%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13%</w:t>
            </w:r>
          </w:p>
        </w:tc>
        <w:tc>
          <w:tcPr>
            <w:tcW w:type="dxa" w:w="1037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563A3"/>
                <w:sz w:val="18"/>
              </w:rPr>
              <w:t>-32.3%</w:t>
            </w:r>
          </w:p>
        </w:tc>
        <w:tc>
          <w:tcPr>
            <w:tcW w:type="dxa" w:w="835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57%</w:t>
            </w:r>
          </w:p>
        </w:tc>
      </w:tr>
      <w:tr>
        <w:tc>
          <w:tcPr>
            <w:tcW w:type="dxa" w:w="2232"/>
            <w:shd w:val="clear" w:color="auto" w:fill="EBF3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Orders and Inventories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14%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57%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29%</w:t>
            </w:r>
          </w:p>
        </w:tc>
        <w:tc>
          <w:tcPr>
            <w:tcW w:type="dxa" w:w="1037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563A3"/>
                <w:sz w:val="18"/>
              </w:rPr>
              <w:t>-34.9%</w:t>
            </w:r>
          </w:p>
        </w:tc>
        <w:tc>
          <w:tcPr>
            <w:tcW w:type="dxa" w:w="835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89%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12%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50%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38%</w:t>
            </w:r>
          </w:p>
        </w:tc>
        <w:tc>
          <w:tcPr>
            <w:tcW w:type="dxa" w:w="1037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563A3"/>
                <w:sz w:val="18"/>
              </w:rPr>
              <w:t>-29.2%</w:t>
            </w:r>
          </w:p>
        </w:tc>
        <w:tc>
          <w:tcPr>
            <w:tcW w:type="dxa" w:w="835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77%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50%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50%</w:t>
            </w:r>
          </w:p>
        </w:tc>
        <w:tc>
          <w:tcPr>
            <w:tcW w:type="dxa" w:w="1037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563A3"/>
                <w:sz w:val="18"/>
              </w:rPr>
              <w:t>-29.1%</w:t>
            </w:r>
          </w:p>
        </w:tc>
        <w:tc>
          <w:tcPr>
            <w:tcW w:type="dxa" w:w="835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57%</w:t>
            </w:r>
          </w:p>
        </w:tc>
      </w:tr>
      <w:tr>
        <w:tc>
          <w:tcPr>
            <w:tcW w:type="dxa" w:w="2232"/>
            <w:shd w:val="clear" w:color="auto" w:fill="EBF3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Housing / Construction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20%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80%</w:t>
            </w:r>
          </w:p>
        </w:tc>
        <w:tc>
          <w:tcPr>
            <w:tcW w:type="dxa" w:w="1037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563A3"/>
                <w:sz w:val="18"/>
              </w:rPr>
              <w:t>-11.5%</w:t>
            </w:r>
          </w:p>
        </w:tc>
        <w:tc>
          <w:tcPr>
            <w:tcW w:type="dxa" w:w="835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50%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20%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20%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60%</w:t>
            </w:r>
          </w:p>
        </w:tc>
        <w:tc>
          <w:tcPr>
            <w:tcW w:type="dxa" w:w="1037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C00000"/>
                <w:sz w:val="18"/>
              </w:rPr>
              <w:t>+56.7%</w:t>
            </w:r>
          </w:p>
        </w:tc>
        <w:tc>
          <w:tcPr>
            <w:tcW w:type="dxa" w:w="835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48%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10%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90%</w:t>
            </w:r>
          </w:p>
        </w:tc>
        <w:tc>
          <w:tcPr>
            <w:tcW w:type="dxa" w:w="1037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563A3"/>
                <w:sz w:val="18"/>
              </w:rPr>
              <w:t>-33.9%</w:t>
            </w:r>
          </w:p>
        </w:tc>
        <w:tc>
          <w:tcPr>
            <w:tcW w:type="dxa" w:w="835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58%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Prices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45%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35%</w:t>
            </w:r>
          </w:p>
        </w:tc>
        <w:tc>
          <w:tcPr>
            <w:tcW w:type="dxa" w:w="103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563A3"/>
                <w:sz w:val="18"/>
              </w:rPr>
              <w:t>-22.2%</w:t>
            </w:r>
          </w:p>
        </w:tc>
        <w:tc>
          <w:tcPr>
            <w:tcW w:type="dxa" w:w="835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59%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35%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55%</w:t>
            </w:r>
          </w:p>
        </w:tc>
        <w:tc>
          <w:tcPr>
            <w:tcW w:type="dxa" w:w="103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C00000"/>
                <w:sz w:val="18"/>
              </w:rPr>
              <w:t>+72.0%</w:t>
            </w:r>
          </w:p>
        </w:tc>
        <w:tc>
          <w:tcPr>
            <w:tcW w:type="dxa" w:w="835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32%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15%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65%</w:t>
            </w:r>
          </w:p>
        </w:tc>
        <w:tc>
          <w:tcPr>
            <w:tcW w:type="dxa" w:w="103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C00000"/>
                <w:sz w:val="18"/>
              </w:rPr>
              <w:t>+59.7%</w:t>
            </w:r>
          </w:p>
        </w:tc>
        <w:tc>
          <w:tcPr>
            <w:tcW w:type="dxa" w:w="835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40%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Money and Credit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31%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23%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46%</w:t>
            </w:r>
          </w:p>
        </w:tc>
        <w:tc>
          <w:tcPr>
            <w:tcW w:type="dxa" w:w="103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C00000"/>
                <w:sz w:val="18"/>
              </w:rPr>
              <w:t>+31.9%</w:t>
            </w:r>
          </w:p>
        </w:tc>
        <w:tc>
          <w:tcPr>
            <w:tcW w:type="dxa" w:w="835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28%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23%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15%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62%</w:t>
            </w:r>
          </w:p>
        </w:tc>
        <w:tc>
          <w:tcPr>
            <w:tcW w:type="dxa" w:w="103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C00000"/>
                <w:sz w:val="18"/>
              </w:rPr>
              <w:t>+51.3%</w:t>
            </w:r>
          </w:p>
        </w:tc>
        <w:tc>
          <w:tcPr>
            <w:tcW w:type="dxa" w:w="835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14%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38%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15%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46%</w:t>
            </w:r>
          </w:p>
        </w:tc>
        <w:tc>
          <w:tcPr>
            <w:tcW w:type="dxa" w:w="103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C00000"/>
                <w:sz w:val="18"/>
              </w:rPr>
              <w:t>+55.8%</w:t>
            </w:r>
          </w:p>
        </w:tc>
        <w:tc>
          <w:tcPr>
            <w:tcW w:type="dxa" w:w="835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32%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Interest &amp; Exch. Rates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90%</w:t>
            </w:r>
          </w:p>
        </w:tc>
        <w:tc>
          <w:tcPr>
            <w:tcW w:type="dxa" w:w="103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C00000"/>
                <w:sz w:val="18"/>
              </w:rPr>
              <w:t>+16.1%</w:t>
            </w:r>
          </w:p>
        </w:tc>
        <w:tc>
          <w:tcPr>
            <w:tcW w:type="dxa" w:w="835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50%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03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C00000"/>
                <w:sz w:val="18"/>
              </w:rPr>
              <w:t>+10.3%</w:t>
            </w:r>
          </w:p>
        </w:tc>
        <w:tc>
          <w:tcPr>
            <w:tcW w:type="dxa" w:w="835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49%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90%</w:t>
            </w:r>
          </w:p>
        </w:tc>
        <w:tc>
          <w:tcPr>
            <w:tcW w:type="dxa" w:w="103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C00000"/>
                <w:sz w:val="18"/>
              </w:rPr>
              <w:t>+22.2%</w:t>
            </w:r>
          </w:p>
        </w:tc>
        <w:tc>
          <w:tcPr>
            <w:tcW w:type="dxa" w:w="835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49%</w:t>
            </w:r>
          </w:p>
        </w:tc>
      </w:tr>
    </w:tbl>
    <w:p>
      <w:pPr>
        <w:spacing w:before="240" w:after="40"/>
      </w:pPr>
      <w:r>
        <w:rPr>
          <w:b/>
          <w:sz w:val="20"/>
        </w:rPr>
        <w:t>Panel B: Conditional Volatility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2232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835"/>
            <w:gridSpan w:val="5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Historical (1959-1999)</w:t>
            </w:r>
          </w:p>
        </w:tc>
        <w:tc>
          <w:tcPr>
            <w:tcW w:type="dxa" w:w="835"/>
            <w:gridSpan w:val="5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Pre-GFC (1959-2007)</w:t>
            </w:r>
          </w:p>
        </w:tc>
        <w:tc>
          <w:tcPr>
            <w:tcW w:type="dxa" w:w="835"/>
            <w:gridSpan w:val="5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Full Sample (1959-2026)</w:t>
            </w:r>
          </w:p>
        </w:tc>
      </w:tr>
      <w:tr>
        <w:tc>
          <w:tcPr>
            <w:tcW w:type="dxa" w:w="2232"/>
            <w:shd w:val="clear" w:color="auto" w:fill="D9D9D9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8"/>
              </w:rPr>
              <w:t>Sector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0</w:t>
              <w:br/>
              <w:t>Breaks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1</w:t>
              <w:br/>
              <w:t>Break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2+</w:t>
              <w:br/>
              <w:t>Breaks</w:t>
            </w:r>
          </w:p>
        </w:tc>
        <w:tc>
          <w:tcPr>
            <w:tcW w:type="dxa" w:w="1037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Med. Δσ</w:t>
            </w:r>
          </w:p>
        </w:tc>
        <w:tc>
          <w:tcPr>
            <w:tcW w:type="dxa" w:w="835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% Mod.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0</w:t>
              <w:br/>
              <w:t>Breaks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1</w:t>
              <w:br/>
              <w:t>Break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2+</w:t>
              <w:br/>
              <w:t>Breaks</w:t>
            </w:r>
          </w:p>
        </w:tc>
        <w:tc>
          <w:tcPr>
            <w:tcW w:type="dxa" w:w="1037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Med. Δσ</w:t>
            </w:r>
          </w:p>
        </w:tc>
        <w:tc>
          <w:tcPr>
            <w:tcW w:type="dxa" w:w="835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% Mod.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0</w:t>
              <w:br/>
              <w:t>Breaks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1</w:t>
              <w:br/>
              <w:t>Break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2+</w:t>
              <w:br/>
              <w:t>Breaks</w:t>
            </w:r>
          </w:p>
        </w:tc>
        <w:tc>
          <w:tcPr>
            <w:tcW w:type="dxa" w:w="1037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Med. Δσ</w:t>
            </w:r>
          </w:p>
        </w:tc>
        <w:tc>
          <w:tcPr>
            <w:tcW w:type="dxa" w:w="835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% Mod.</w:t>
            </w:r>
          </w:p>
        </w:tc>
      </w:tr>
      <w:tr>
        <w:tc>
          <w:tcPr>
            <w:tcW w:type="dxa" w:w="2232"/>
            <w:shd w:val="clear" w:color="auto" w:fill="EBF3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Output and Income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31%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44%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25%</w:t>
            </w:r>
          </w:p>
        </w:tc>
        <w:tc>
          <w:tcPr>
            <w:tcW w:type="dxa" w:w="1037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563A3"/>
                <w:sz w:val="18"/>
              </w:rPr>
              <w:t>-33.2%</w:t>
            </w:r>
          </w:p>
        </w:tc>
        <w:tc>
          <w:tcPr>
            <w:tcW w:type="dxa" w:w="835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75%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19%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56%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25%</w:t>
            </w:r>
          </w:p>
        </w:tc>
        <w:tc>
          <w:tcPr>
            <w:tcW w:type="dxa" w:w="1037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563A3"/>
                <w:sz w:val="18"/>
              </w:rPr>
              <w:t>-31.4%</w:t>
            </w:r>
          </w:p>
        </w:tc>
        <w:tc>
          <w:tcPr>
            <w:tcW w:type="dxa" w:w="835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79%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69%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6%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25%</w:t>
            </w:r>
          </w:p>
        </w:tc>
        <w:tc>
          <w:tcPr>
            <w:tcW w:type="dxa" w:w="1037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C00000"/>
                <w:sz w:val="18"/>
              </w:rPr>
              <w:t>+42.6%</w:t>
            </w:r>
          </w:p>
        </w:tc>
        <w:tc>
          <w:tcPr>
            <w:tcW w:type="dxa" w:w="835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42%</w:t>
            </w:r>
          </w:p>
        </w:tc>
      </w:tr>
      <w:tr>
        <w:tc>
          <w:tcPr>
            <w:tcW w:type="dxa" w:w="2232"/>
            <w:shd w:val="clear" w:color="auto" w:fill="EBF3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Labor Market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65%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32%</w:t>
            </w:r>
          </w:p>
        </w:tc>
        <w:tc>
          <w:tcPr>
            <w:tcW w:type="dxa" w:w="1037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563A3"/>
                <w:sz w:val="18"/>
              </w:rPr>
              <w:t>-34.5%</w:t>
            </w:r>
          </w:p>
        </w:tc>
        <w:tc>
          <w:tcPr>
            <w:tcW w:type="dxa" w:w="835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83%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10%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48%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42%</w:t>
            </w:r>
          </w:p>
        </w:tc>
        <w:tc>
          <w:tcPr>
            <w:tcW w:type="dxa" w:w="1037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563A3"/>
                <w:sz w:val="18"/>
              </w:rPr>
              <w:t>-30.1%</w:t>
            </w:r>
          </w:p>
        </w:tc>
        <w:tc>
          <w:tcPr>
            <w:tcW w:type="dxa" w:w="835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78%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55%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26%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19%</w:t>
            </w:r>
          </w:p>
        </w:tc>
        <w:tc>
          <w:tcPr>
            <w:tcW w:type="dxa" w:w="1037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563A3"/>
                <w:sz w:val="18"/>
              </w:rPr>
              <w:t>-26.0%</w:t>
            </w:r>
          </w:p>
        </w:tc>
        <w:tc>
          <w:tcPr>
            <w:tcW w:type="dxa" w:w="835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52%</w:t>
            </w:r>
          </w:p>
        </w:tc>
      </w:tr>
      <w:tr>
        <w:tc>
          <w:tcPr>
            <w:tcW w:type="dxa" w:w="2232"/>
            <w:shd w:val="clear" w:color="auto" w:fill="EBF3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Orders and Inventories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29%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71%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0%</w:t>
            </w:r>
          </w:p>
        </w:tc>
        <w:tc>
          <w:tcPr>
            <w:tcW w:type="dxa" w:w="1037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563A3"/>
                <w:sz w:val="18"/>
              </w:rPr>
              <w:t>-34.7%</w:t>
            </w:r>
          </w:p>
        </w:tc>
        <w:tc>
          <w:tcPr>
            <w:tcW w:type="dxa" w:w="835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38%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38%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25%</w:t>
            </w:r>
          </w:p>
        </w:tc>
        <w:tc>
          <w:tcPr>
            <w:tcW w:type="dxa" w:w="1037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563A3"/>
                <w:sz w:val="18"/>
              </w:rPr>
              <w:t>-32.9%</w:t>
            </w:r>
          </w:p>
        </w:tc>
        <w:tc>
          <w:tcPr>
            <w:tcW w:type="dxa" w:w="835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71%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62%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25%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12%</w:t>
            </w:r>
          </w:p>
        </w:tc>
        <w:tc>
          <w:tcPr>
            <w:tcW w:type="dxa" w:w="1037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563A3"/>
                <w:sz w:val="18"/>
              </w:rPr>
              <w:t>-23.0%</w:t>
            </w:r>
          </w:p>
        </w:tc>
        <w:tc>
          <w:tcPr>
            <w:tcW w:type="dxa" w:w="835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67%</w:t>
            </w:r>
          </w:p>
        </w:tc>
      </w:tr>
      <w:tr>
        <w:tc>
          <w:tcPr>
            <w:tcW w:type="dxa" w:w="2232"/>
            <w:shd w:val="clear" w:color="auto" w:fill="EBF3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Housing / Construction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10%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60%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30%</w:t>
            </w:r>
          </w:p>
        </w:tc>
        <w:tc>
          <w:tcPr>
            <w:tcW w:type="dxa" w:w="1037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563A3"/>
                <w:sz w:val="18"/>
              </w:rPr>
              <w:t>-29.0%</w:t>
            </w:r>
          </w:p>
        </w:tc>
        <w:tc>
          <w:tcPr>
            <w:tcW w:type="dxa" w:w="835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69%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10%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40%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50%</w:t>
            </w:r>
          </w:p>
        </w:tc>
        <w:tc>
          <w:tcPr>
            <w:tcW w:type="dxa" w:w="1037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563A3"/>
                <w:sz w:val="18"/>
              </w:rPr>
              <w:t>-23.4%</w:t>
            </w:r>
          </w:p>
        </w:tc>
        <w:tc>
          <w:tcPr>
            <w:tcW w:type="dxa" w:w="835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75%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30%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20%</w:t>
            </w:r>
          </w:p>
        </w:tc>
        <w:tc>
          <w:tcPr>
            <w:tcW w:type="dxa" w:w="864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50%</w:t>
            </w:r>
          </w:p>
        </w:tc>
        <w:tc>
          <w:tcPr>
            <w:tcW w:type="dxa" w:w="1037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C00000"/>
                <w:sz w:val="18"/>
              </w:rPr>
              <w:t>+37.8%</w:t>
            </w:r>
          </w:p>
        </w:tc>
        <w:tc>
          <w:tcPr>
            <w:tcW w:type="dxa" w:w="835"/>
            <w:shd w:val="clear" w:color="auto" w:fill="EBF3FB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36%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Prices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15%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65%</w:t>
            </w:r>
          </w:p>
        </w:tc>
        <w:tc>
          <w:tcPr>
            <w:tcW w:type="dxa" w:w="103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563A3"/>
                <w:sz w:val="18"/>
              </w:rPr>
              <w:t>-18.9%</w:t>
            </w:r>
          </w:p>
        </w:tc>
        <w:tc>
          <w:tcPr>
            <w:tcW w:type="dxa" w:w="835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52%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15%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15%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70%</w:t>
            </w:r>
          </w:p>
        </w:tc>
        <w:tc>
          <w:tcPr>
            <w:tcW w:type="dxa" w:w="103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C00000"/>
                <w:sz w:val="18"/>
              </w:rPr>
              <w:t>+53.2%</w:t>
            </w:r>
          </w:p>
        </w:tc>
        <w:tc>
          <w:tcPr>
            <w:tcW w:type="dxa" w:w="835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36%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15%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65%</w:t>
            </w:r>
          </w:p>
        </w:tc>
        <w:tc>
          <w:tcPr>
            <w:tcW w:type="dxa" w:w="103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C00000"/>
                <w:sz w:val="18"/>
              </w:rPr>
              <w:t>+58.4%</w:t>
            </w:r>
          </w:p>
        </w:tc>
        <w:tc>
          <w:tcPr>
            <w:tcW w:type="dxa" w:w="835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33%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Money and Credit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31%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31%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38%</w:t>
            </w:r>
          </w:p>
        </w:tc>
        <w:tc>
          <w:tcPr>
            <w:tcW w:type="dxa" w:w="103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C00000"/>
                <w:sz w:val="18"/>
              </w:rPr>
              <w:t>+50.8%</w:t>
            </w:r>
          </w:p>
        </w:tc>
        <w:tc>
          <w:tcPr>
            <w:tcW w:type="dxa" w:w="835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35%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31%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23%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46%</w:t>
            </w:r>
          </w:p>
        </w:tc>
        <w:tc>
          <w:tcPr>
            <w:tcW w:type="dxa" w:w="103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C00000"/>
                <w:sz w:val="18"/>
              </w:rPr>
              <w:t>+71.4%</w:t>
            </w:r>
          </w:p>
        </w:tc>
        <w:tc>
          <w:tcPr>
            <w:tcW w:type="dxa" w:w="835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21%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23%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23%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54%</w:t>
            </w:r>
          </w:p>
        </w:tc>
        <w:tc>
          <w:tcPr>
            <w:tcW w:type="dxa" w:w="103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C00000"/>
                <w:sz w:val="18"/>
              </w:rPr>
              <w:t>+35.0%</w:t>
            </w:r>
          </w:p>
        </w:tc>
        <w:tc>
          <w:tcPr>
            <w:tcW w:type="dxa" w:w="835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29%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Interest &amp; Exch. Rates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90%</w:t>
            </w:r>
          </w:p>
        </w:tc>
        <w:tc>
          <w:tcPr>
            <w:tcW w:type="dxa" w:w="103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563A3"/>
                <w:sz w:val="18"/>
              </w:rPr>
              <w:t>-13.5%</w:t>
            </w:r>
          </w:p>
        </w:tc>
        <w:tc>
          <w:tcPr>
            <w:tcW w:type="dxa" w:w="835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52%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03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563A3"/>
                <w:sz w:val="18"/>
              </w:rPr>
              <w:t>-17.9%</w:t>
            </w:r>
          </w:p>
        </w:tc>
        <w:tc>
          <w:tcPr>
            <w:tcW w:type="dxa" w:w="835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55%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5%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95%</w:t>
            </w:r>
          </w:p>
        </w:tc>
        <w:tc>
          <w:tcPr>
            <w:tcW w:type="dxa" w:w="103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563A3"/>
                <w:sz w:val="18"/>
              </w:rPr>
              <w:t>-22.0%</w:t>
            </w:r>
          </w:p>
        </w:tc>
        <w:tc>
          <w:tcPr>
            <w:tcW w:type="dxa" w:w="835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56%</w:t>
            </w:r>
          </w:p>
        </w:tc>
      </w:tr>
    </w:tbl>
    <w:p>
      <w:pPr>
        <w:spacing w:before="120"/>
      </w:pPr>
      <w:r>
        <w:rPr>
          <w:b/>
          <w:sz w:val="16"/>
        </w:rPr>
        <w:t xml:space="preserve">Notes: </w:t>
      </w:r>
      <w:r>
        <w:rPr>
          <w:sz w:val="16"/>
        </w:rPr>
        <w:t>0 Breaks / 1 Break / 2+ Breaks = share of series in each category. Med. Δσ = median percent change in volatility per break transition (exp(log σ-ratio) − 1). % Mod. = share of break transitions in which volatility declined. Negative Med. Δσ shown in blue (moderating); positive in red (amplifying). Real-side sectors shaded. Stock Market excluded (n = 4). Minimum segment length: 74 months (uniform across all windows). Maximum breaks: 5.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