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6BA4D" w14:textId="77777777" w:rsidR="00CD1E90" w:rsidRDefault="00CD1E90">
      <w:pPr>
        <w:rPr>
          <w:b/>
        </w:rPr>
      </w:pPr>
      <w:r>
        <w:rPr>
          <w:b/>
        </w:rPr>
        <w:t>Biology 302: Ecology Laboratory</w:t>
      </w:r>
    </w:p>
    <w:p w14:paraId="2B75F7D6" w14:textId="77777777" w:rsidR="008B24F6" w:rsidRPr="00893411" w:rsidRDefault="00893411">
      <w:pPr>
        <w:rPr>
          <w:b/>
        </w:rPr>
      </w:pPr>
      <w:r w:rsidRPr="00893411">
        <w:rPr>
          <w:b/>
        </w:rPr>
        <w:t>Using Stable Isotopes to Assess Food Web Ecology in a Tailwater Fishery</w:t>
      </w:r>
    </w:p>
    <w:p w14:paraId="67B19ABE" w14:textId="77777777" w:rsidR="008B24F6" w:rsidRDefault="008B24F6">
      <w:pPr>
        <w:rPr>
          <w:b/>
          <w:u w:val="single"/>
        </w:rPr>
      </w:pPr>
    </w:p>
    <w:p w14:paraId="238A483C" w14:textId="77777777" w:rsidR="00CD1E90" w:rsidRPr="006C34A6" w:rsidRDefault="00CD1E90">
      <w:pPr>
        <w:rPr>
          <w:b/>
        </w:rPr>
      </w:pPr>
      <w:r w:rsidRPr="00CD1E90">
        <w:rPr>
          <w:b/>
        </w:rPr>
        <w:t>Stable Isotopes</w:t>
      </w:r>
    </w:p>
    <w:p w14:paraId="07F2B9C5" w14:textId="29F71D75" w:rsidR="004F3DD9" w:rsidRDefault="00CD1E90" w:rsidP="00263175">
      <w:pPr>
        <w:ind w:firstLine="720"/>
        <w:jc w:val="both"/>
      </w:pPr>
      <w:r w:rsidRPr="00CD1E90">
        <w:t xml:space="preserve">Stable isotopes are </w:t>
      </w:r>
      <w:r w:rsidR="004C11A5">
        <w:t>alternative forms of atoms that differ in the number of neutrons contained in the</w:t>
      </w:r>
      <w:r w:rsidR="00F9119E">
        <w:t>ir</w:t>
      </w:r>
      <w:r w:rsidR="0017286D">
        <w:t xml:space="preserve"> nuclei</w:t>
      </w:r>
      <w:r w:rsidR="004C11A5">
        <w:t xml:space="preserve">. </w:t>
      </w:r>
      <w:r w:rsidR="00F9119E">
        <w:t xml:space="preserve">Stable isotopes maintain the same chemical properties of their elements, but differ in their atomic mass. </w:t>
      </w:r>
      <w:r w:rsidR="004C11A5">
        <w:t xml:space="preserve">These are non-radioactive atoms (as opposed to those that </w:t>
      </w:r>
      <w:r w:rsidR="000B4A0E">
        <w:t xml:space="preserve">experience radioactive </w:t>
      </w:r>
      <w:r w:rsidR="004C11A5">
        <w:t>decay with a certain half-life,</w:t>
      </w:r>
      <w:r w:rsidR="000B4A0E">
        <w:t xml:space="preserve"> such as carbon-14 to carbon-12</w:t>
      </w:r>
      <w:r w:rsidR="004C11A5">
        <w:t xml:space="preserve"> </w:t>
      </w:r>
      <w:r w:rsidR="006C34A6">
        <w:t>used</w:t>
      </w:r>
      <w:r w:rsidR="004C11A5">
        <w:t xml:space="preserve"> for radiometric dating)</w:t>
      </w:r>
      <w:r w:rsidR="001D7500">
        <w:t xml:space="preserve">, that </w:t>
      </w:r>
      <w:r w:rsidR="0017286D">
        <w:t>are used by</w:t>
      </w:r>
      <w:r w:rsidR="00166F5A">
        <w:t xml:space="preserve"> ecologists, climatologists, fisheries </w:t>
      </w:r>
      <w:r w:rsidR="00A94CD4">
        <w:t>biologists</w:t>
      </w:r>
      <w:r w:rsidR="00166F5A">
        <w:t xml:space="preserve">, </w:t>
      </w:r>
      <w:proofErr w:type="spellStart"/>
      <w:r w:rsidR="00166F5A">
        <w:t>paleoecologists</w:t>
      </w:r>
      <w:proofErr w:type="spellEnd"/>
      <w:r w:rsidR="00166F5A">
        <w:t>, soils scientists, and many others.</w:t>
      </w:r>
      <w:r w:rsidR="00A94CD4">
        <w:t xml:space="preserve"> </w:t>
      </w:r>
      <w:r w:rsidR="00166F5A">
        <w:t xml:space="preserve">Stable isotopes are commonly used </w:t>
      </w:r>
      <w:r w:rsidR="002B5BE9">
        <w:t>to track changes in climate</w:t>
      </w:r>
      <w:r w:rsidR="0017286D">
        <w:t xml:space="preserve">, </w:t>
      </w:r>
      <w:r w:rsidR="002B5BE9">
        <w:t xml:space="preserve">track migratory patterns </w:t>
      </w:r>
      <w:r w:rsidR="00166F5A">
        <w:t xml:space="preserve">of birds, butterflies, mammals, and more, </w:t>
      </w:r>
      <w:r w:rsidR="002B5BE9">
        <w:t>match organisms to their environments and/or diets</w:t>
      </w:r>
      <w:r w:rsidR="006C34A6">
        <w:t xml:space="preserve"> (e.g., breeding birds, anadromous fishes)</w:t>
      </w:r>
      <w:r w:rsidR="002B5BE9">
        <w:t>, assess food web bioenergetics,</w:t>
      </w:r>
      <w:r w:rsidR="00692985">
        <w:t xml:space="preserve"> </w:t>
      </w:r>
      <w:r w:rsidR="009A5F87">
        <w:t xml:space="preserve">document </w:t>
      </w:r>
      <w:r w:rsidR="00692985">
        <w:t>ecosystem changes</w:t>
      </w:r>
      <w:r w:rsidR="009A5F87">
        <w:t xml:space="preserve"> through time</w:t>
      </w:r>
      <w:r w:rsidR="00692985">
        <w:t>,</w:t>
      </w:r>
      <w:r w:rsidR="002B5BE9">
        <w:t xml:space="preserve"> </w:t>
      </w:r>
      <w:r w:rsidR="00166F5A">
        <w:t xml:space="preserve">measure soil carbon budgets and soil microbial activity, </w:t>
      </w:r>
      <w:r w:rsidR="002B5BE9">
        <w:t>etc</w:t>
      </w:r>
      <w:r w:rsidR="004C11A5">
        <w:t xml:space="preserve">. </w:t>
      </w:r>
      <w:r w:rsidR="00166F5A">
        <w:t xml:space="preserve">Some commonly </w:t>
      </w:r>
      <w:r w:rsidR="006F4F16">
        <w:t>used stable isotopes include hydrogen (</w:t>
      </w:r>
      <w:r w:rsidR="006F4F16" w:rsidRPr="006F4F16">
        <w:rPr>
          <w:vertAlign w:val="superscript"/>
        </w:rPr>
        <w:t>2</w:t>
      </w:r>
      <w:r w:rsidR="006F4F16">
        <w:t>H/</w:t>
      </w:r>
      <w:r w:rsidR="006F4F16" w:rsidRPr="006F4F16">
        <w:rPr>
          <w:vertAlign w:val="superscript"/>
        </w:rPr>
        <w:t>1</w:t>
      </w:r>
      <w:r w:rsidR="006F4F16">
        <w:t>H), carbon (</w:t>
      </w:r>
      <w:r w:rsidR="006F4F16" w:rsidRPr="006F4F16">
        <w:rPr>
          <w:vertAlign w:val="superscript"/>
        </w:rPr>
        <w:t>13</w:t>
      </w:r>
      <w:r w:rsidR="006F4F16">
        <w:t>C/</w:t>
      </w:r>
      <w:r w:rsidR="006F4F16" w:rsidRPr="006F4F16">
        <w:rPr>
          <w:vertAlign w:val="superscript"/>
        </w:rPr>
        <w:t>12</w:t>
      </w:r>
      <w:r w:rsidR="006F4F16">
        <w:t>C</w:t>
      </w:r>
      <w:r w:rsidR="006F4F16" w:rsidRPr="006F4F16">
        <w:rPr>
          <w:rFonts w:cs="Times New Roman"/>
          <w:lang w:val="el-GR"/>
        </w:rPr>
        <w:t>)</w:t>
      </w:r>
      <w:r w:rsidR="006F4F16">
        <w:rPr>
          <w:rFonts w:cs="Times New Roman"/>
          <w:lang w:val="el-GR"/>
        </w:rPr>
        <w:t xml:space="preserve">, </w:t>
      </w:r>
      <w:proofErr w:type="spellStart"/>
      <w:r w:rsidR="006F4F16">
        <w:rPr>
          <w:rFonts w:cs="Times New Roman"/>
          <w:lang w:val="el-GR"/>
        </w:rPr>
        <w:t>oxygen</w:t>
      </w:r>
      <w:proofErr w:type="spellEnd"/>
      <w:r w:rsidR="006F4F16">
        <w:rPr>
          <w:rFonts w:cs="Times New Roman"/>
          <w:lang w:val="el-GR"/>
        </w:rPr>
        <w:t xml:space="preserve"> </w:t>
      </w:r>
      <w:r w:rsidR="002E18DB">
        <w:rPr>
          <w:rFonts w:cs="Times New Roman"/>
          <w:lang w:val="el-GR"/>
        </w:rPr>
        <w:t>(</w:t>
      </w:r>
      <w:r w:rsidR="002E18DB" w:rsidRPr="002E18DB">
        <w:rPr>
          <w:rFonts w:cs="Times New Roman"/>
          <w:vertAlign w:val="superscript"/>
          <w:lang w:val="el-GR"/>
        </w:rPr>
        <w:t>18</w:t>
      </w:r>
      <w:r w:rsidR="002E18DB">
        <w:rPr>
          <w:rFonts w:cs="Times New Roman"/>
          <w:lang w:val="el-GR"/>
        </w:rPr>
        <w:t>O/</w:t>
      </w:r>
      <w:r w:rsidR="002E18DB" w:rsidRPr="002E18DB">
        <w:rPr>
          <w:rFonts w:cs="Times New Roman"/>
          <w:vertAlign w:val="superscript"/>
          <w:lang w:val="el-GR"/>
        </w:rPr>
        <w:t>16</w:t>
      </w:r>
      <w:r w:rsidR="002E18DB">
        <w:rPr>
          <w:rFonts w:cs="Times New Roman"/>
          <w:lang w:val="el-GR"/>
        </w:rPr>
        <w:t xml:space="preserve">O), and </w:t>
      </w:r>
      <w:proofErr w:type="spellStart"/>
      <w:r w:rsidR="002E18DB">
        <w:rPr>
          <w:rFonts w:cs="Times New Roman"/>
          <w:lang w:val="el-GR"/>
        </w:rPr>
        <w:t>nitrogen</w:t>
      </w:r>
      <w:proofErr w:type="spellEnd"/>
      <w:r w:rsidR="002E18DB">
        <w:rPr>
          <w:rFonts w:cs="Times New Roman"/>
          <w:lang w:val="el-GR"/>
        </w:rPr>
        <w:t xml:space="preserve"> (</w:t>
      </w:r>
      <w:r w:rsidR="002E18DB" w:rsidRPr="002E18DB">
        <w:rPr>
          <w:rFonts w:cs="Times New Roman"/>
          <w:vertAlign w:val="superscript"/>
          <w:lang w:val="el-GR"/>
        </w:rPr>
        <w:t>15</w:t>
      </w:r>
      <w:r w:rsidR="002E18DB">
        <w:rPr>
          <w:rFonts w:cs="Times New Roman"/>
          <w:lang w:val="el-GR"/>
        </w:rPr>
        <w:t>N/</w:t>
      </w:r>
      <w:r w:rsidR="002E18DB" w:rsidRPr="002E18DB">
        <w:rPr>
          <w:rFonts w:cs="Times New Roman"/>
          <w:vertAlign w:val="superscript"/>
          <w:lang w:val="el-GR"/>
        </w:rPr>
        <w:t>14</w:t>
      </w:r>
      <w:r w:rsidR="002E18DB">
        <w:rPr>
          <w:rFonts w:cs="Times New Roman"/>
          <w:lang w:val="el-GR"/>
        </w:rPr>
        <w:t>N)</w:t>
      </w:r>
      <w:r w:rsidR="009204C7">
        <w:rPr>
          <w:rFonts w:cs="Times New Roman"/>
          <w:lang w:val="el-GR"/>
        </w:rPr>
        <w:t>.</w:t>
      </w:r>
      <w:r w:rsidR="009204C7">
        <w:t xml:space="preserve"> Researchers often examine isotopic ratios</w:t>
      </w:r>
      <w:r w:rsidR="00C36969">
        <w:t xml:space="preserve">, designated as </w:t>
      </w:r>
      <w:r w:rsidR="00C36969" w:rsidRPr="00D162CF">
        <w:rPr>
          <w:b/>
        </w:rPr>
        <w:t>delta value</w:t>
      </w:r>
      <w:r w:rsidR="009A5F87">
        <w:rPr>
          <w:b/>
        </w:rPr>
        <w:t>s</w:t>
      </w:r>
      <w:r w:rsidR="00C36969">
        <w:t>,</w:t>
      </w:r>
      <w:r w:rsidR="009204C7">
        <w:t xml:space="preserve"> to answer</w:t>
      </w:r>
      <w:r w:rsidR="009A5F87">
        <w:t xml:space="preserve"> their</w:t>
      </w:r>
      <w:r w:rsidR="009204C7">
        <w:t xml:space="preserve"> questions of interest</w:t>
      </w:r>
      <w:r w:rsidR="00A7047C">
        <w:t xml:space="preserve"> (Peterson and Fry 1987)</w:t>
      </w:r>
      <w:r w:rsidR="009204C7">
        <w:t xml:space="preserve">. For example, </w:t>
      </w:r>
      <w:r w:rsidR="009204C7">
        <w:sym w:font="Symbol" w:char="F064"/>
      </w:r>
      <w:r w:rsidR="009204C7" w:rsidRPr="00AB61AB">
        <w:rPr>
          <w:vertAlign w:val="superscript"/>
        </w:rPr>
        <w:t>18</w:t>
      </w:r>
      <w:r w:rsidR="009204C7">
        <w:t xml:space="preserve">O is a measure of </w:t>
      </w:r>
      <w:r w:rsidR="009204C7" w:rsidRPr="00583328">
        <w:rPr>
          <w:vertAlign w:val="superscript"/>
        </w:rPr>
        <w:t>18</w:t>
      </w:r>
      <w:r w:rsidR="009204C7">
        <w:t xml:space="preserve">O and </w:t>
      </w:r>
      <w:r w:rsidR="009204C7" w:rsidRPr="00583328">
        <w:rPr>
          <w:vertAlign w:val="superscript"/>
        </w:rPr>
        <w:t>16</w:t>
      </w:r>
      <w:r w:rsidR="009204C7">
        <w:t xml:space="preserve">O stable isotope ratios, and is commonly used to assess hydrographic properties </w:t>
      </w:r>
      <w:r w:rsidR="000B4A0E">
        <w:t xml:space="preserve">of sediment carbonates, </w:t>
      </w:r>
      <w:r w:rsidR="009204C7">
        <w:t>s</w:t>
      </w:r>
      <w:r w:rsidR="000B4A0E">
        <w:t>uch as salinity and temperature, to estimate microenvironmental conditions at the time of sediment deposition (Wanamaker et al. 2007)</w:t>
      </w:r>
      <w:r w:rsidR="0009053C">
        <w:t xml:space="preserve">. Another example is the use of </w:t>
      </w:r>
      <w:r w:rsidR="00C36969">
        <w:t xml:space="preserve"> </w:t>
      </w:r>
      <w:r w:rsidR="00C36969">
        <w:sym w:font="Symbol" w:char="F064"/>
      </w:r>
      <w:r w:rsidR="00C36969" w:rsidRPr="00AB61AB">
        <w:rPr>
          <w:vertAlign w:val="superscript"/>
        </w:rPr>
        <w:t>1</w:t>
      </w:r>
      <w:r w:rsidR="00C36969">
        <w:rPr>
          <w:vertAlign w:val="superscript"/>
        </w:rPr>
        <w:t>3</w:t>
      </w:r>
      <w:r w:rsidR="00C36969">
        <w:t xml:space="preserve">C and </w:t>
      </w:r>
      <w:r w:rsidR="00C36969">
        <w:sym w:font="Symbol" w:char="F064"/>
      </w:r>
      <w:r w:rsidR="00C36969" w:rsidRPr="00AB61AB">
        <w:rPr>
          <w:vertAlign w:val="superscript"/>
        </w:rPr>
        <w:t>1</w:t>
      </w:r>
      <w:r w:rsidR="00C36969">
        <w:rPr>
          <w:vertAlign w:val="superscript"/>
        </w:rPr>
        <w:t>5</w:t>
      </w:r>
      <w:r w:rsidR="00C36969">
        <w:t xml:space="preserve">N </w:t>
      </w:r>
      <w:r w:rsidR="001061D8">
        <w:t xml:space="preserve">to infer animal diets and </w:t>
      </w:r>
      <w:r w:rsidR="00BF5FDD">
        <w:t xml:space="preserve">evaluate </w:t>
      </w:r>
      <w:r w:rsidR="001061D8">
        <w:t xml:space="preserve">ecosystem trophic structure (Hershey et al. 2017). </w:t>
      </w:r>
    </w:p>
    <w:p w14:paraId="45C2FCCD" w14:textId="5B908F74" w:rsidR="00AD2F67" w:rsidRDefault="00166F5A" w:rsidP="00263175">
      <w:pPr>
        <w:ind w:firstLine="720"/>
        <w:jc w:val="both"/>
      </w:pPr>
      <w:r>
        <w:t xml:space="preserve">Stable isotopes are </w:t>
      </w:r>
      <w:r w:rsidR="004F3DD9">
        <w:t>measured</w:t>
      </w:r>
      <w:r>
        <w:t xml:space="preserve"> as </w:t>
      </w:r>
      <w:r w:rsidR="004F3DD9">
        <w:t xml:space="preserve">a function of </w:t>
      </w:r>
      <w:r w:rsidR="00AD2F67">
        <w:t xml:space="preserve">the </w:t>
      </w:r>
      <w:r>
        <w:t xml:space="preserve">ratio of the </w:t>
      </w:r>
      <w:r w:rsidR="00472506">
        <w:t>more</w:t>
      </w:r>
      <w:r w:rsidR="00AD2F67">
        <w:t xml:space="preserve"> common isotope to the </w:t>
      </w:r>
      <w:r w:rsidR="00472506">
        <w:t>less</w:t>
      </w:r>
      <w:r w:rsidR="00AD2F67">
        <w:t xml:space="preserve"> common isotope, </w:t>
      </w:r>
      <w:r w:rsidR="00F01EEF">
        <w:t>relative to</w:t>
      </w:r>
      <w:r w:rsidR="00AD2F67">
        <w:t xml:space="preserve"> same ratio </w:t>
      </w:r>
      <w:r w:rsidR="004F3DD9">
        <w:t>measured in a</w:t>
      </w:r>
      <w:r w:rsidR="00AD2F67">
        <w:t xml:space="preserve"> </w:t>
      </w:r>
      <w:r w:rsidR="007A621C">
        <w:t xml:space="preserve">global </w:t>
      </w:r>
      <w:r w:rsidR="00AD2F67">
        <w:t xml:space="preserve">standard. This value is multiplied by 1,000, and the results are </w:t>
      </w:r>
      <w:r w:rsidR="00472506">
        <w:t xml:space="preserve">therefore </w:t>
      </w:r>
      <w:r w:rsidR="00AD2F67">
        <w:t xml:space="preserve">reported in parts per thousand, called </w:t>
      </w:r>
      <w:proofErr w:type="spellStart"/>
      <w:r w:rsidR="00AD2F67">
        <w:rPr>
          <w:b/>
        </w:rPr>
        <w:t>permil</w:t>
      </w:r>
      <w:proofErr w:type="spellEnd"/>
      <w:r w:rsidR="002C4519">
        <w:rPr>
          <w:b/>
        </w:rPr>
        <w:t xml:space="preserve"> </w:t>
      </w:r>
      <w:r w:rsidR="002C4519" w:rsidRPr="00263175">
        <w:t>or</w:t>
      </w:r>
      <w:r w:rsidR="002C4519">
        <w:rPr>
          <w:b/>
        </w:rPr>
        <w:t xml:space="preserve"> per mil</w:t>
      </w:r>
      <w:r w:rsidR="00AD2F67">
        <w:t xml:space="preserve">, which is represented by the symbol </w:t>
      </w:r>
      <w:r w:rsidR="00AD2F67" w:rsidRPr="00263175">
        <w:rPr>
          <w:rFonts w:cstheme="minorHAnsi"/>
          <w:b/>
        </w:rPr>
        <w:t>‰</w:t>
      </w:r>
      <w:r w:rsidR="00AD2F67">
        <w:t xml:space="preserve">. Note that this is different from a percent sign, %, which is shorthand for parts per hundred (per </w:t>
      </w:r>
      <w:r w:rsidR="00AD2F67" w:rsidRPr="00263175">
        <w:rPr>
          <w:i/>
        </w:rPr>
        <w:t>cent</w:t>
      </w:r>
      <w:r w:rsidR="002C4519">
        <w:t xml:space="preserve">, from the Latin </w:t>
      </w:r>
      <w:r w:rsidR="002C4519" w:rsidRPr="00263175">
        <w:rPr>
          <w:i/>
        </w:rPr>
        <w:t>centum</w:t>
      </w:r>
      <w:r w:rsidR="002C4519">
        <w:t>, meaning 100</w:t>
      </w:r>
      <w:r w:rsidR="00AD2F67">
        <w:t>).</w:t>
      </w:r>
    </w:p>
    <w:p w14:paraId="7A34E543" w14:textId="06DBC7FF" w:rsidR="002D476A" w:rsidRPr="002D476A" w:rsidRDefault="004F3DD9" w:rsidP="00263175">
      <w:pPr>
        <w:ind w:firstLine="720"/>
        <w:jc w:val="both"/>
      </w:pPr>
      <w:r>
        <w:t xml:space="preserve">Using </w:t>
      </w:r>
      <w:r w:rsidR="00E423CB">
        <w:t>carbon from a plant</w:t>
      </w:r>
      <w:r>
        <w:t xml:space="preserve"> as an example, we would place our sample in an </w:t>
      </w:r>
      <w:r w:rsidR="00162AA4">
        <w:rPr>
          <w:b/>
        </w:rPr>
        <w:t>e</w:t>
      </w:r>
      <w:r w:rsidRPr="00263175">
        <w:rPr>
          <w:b/>
        </w:rPr>
        <w:t xml:space="preserve">lemental </w:t>
      </w:r>
      <w:r w:rsidR="00162AA4">
        <w:rPr>
          <w:b/>
        </w:rPr>
        <w:t>a</w:t>
      </w:r>
      <w:r w:rsidRPr="00263175">
        <w:rPr>
          <w:b/>
        </w:rPr>
        <w:t>nalyzer</w:t>
      </w:r>
      <w:r>
        <w:t xml:space="preserve"> along with a sample of the global standard</w:t>
      </w:r>
      <w:r w:rsidR="006361BA">
        <w:t xml:space="preserve"> for carbon</w:t>
      </w:r>
      <w:r>
        <w:t xml:space="preserve">, Vienna Pee Dee Belemnite (VDPB). The </w:t>
      </w:r>
      <w:r w:rsidR="00162AA4">
        <w:t>elemental analyzer</w:t>
      </w:r>
      <w:r>
        <w:t xml:space="preserve"> combusts the sample</w:t>
      </w:r>
      <w:r w:rsidR="00162AA4">
        <w:t>,</w:t>
      </w:r>
      <w:r>
        <w:t xml:space="preserve"> and </w:t>
      </w:r>
      <w:r w:rsidR="00162AA4">
        <w:t xml:space="preserve">a </w:t>
      </w:r>
      <w:r w:rsidR="00162AA4">
        <w:rPr>
          <w:b/>
        </w:rPr>
        <w:t xml:space="preserve">mass </w:t>
      </w:r>
      <w:r w:rsidR="00162AA4" w:rsidRPr="00162AA4">
        <w:rPr>
          <w:b/>
        </w:rPr>
        <w:t>spectrometer</w:t>
      </w:r>
      <w:r w:rsidR="00162AA4">
        <w:rPr>
          <w:b/>
        </w:rPr>
        <w:t xml:space="preserve"> </w:t>
      </w:r>
      <w:r w:rsidRPr="00162AA4">
        <w:t>counts</w:t>
      </w:r>
      <w:r>
        <w:t xml:space="preserve"> the number of atoms of the rare isotope (</w:t>
      </w:r>
      <w:r>
        <w:rPr>
          <w:vertAlign w:val="superscript"/>
        </w:rPr>
        <w:t>13</w:t>
      </w:r>
      <w:r>
        <w:t xml:space="preserve">C) </w:t>
      </w:r>
      <w:r w:rsidR="002D476A">
        <w:t>and the number of atoms of the common isotope (</w:t>
      </w:r>
      <w:r w:rsidR="002D476A">
        <w:rPr>
          <w:vertAlign w:val="superscript"/>
        </w:rPr>
        <w:t>12</w:t>
      </w:r>
      <w:r w:rsidR="002D476A">
        <w:t>C)</w:t>
      </w:r>
      <w:r w:rsidR="00E423CB">
        <w:t xml:space="preserve"> in the plant’s tissues</w:t>
      </w:r>
      <w:r w:rsidR="002D476A">
        <w:t xml:space="preserve">. </w:t>
      </w:r>
      <w:r w:rsidR="00162AA4">
        <w:t>The instruments</w:t>
      </w:r>
      <w:r w:rsidR="002D476A">
        <w:t xml:space="preserve"> then repeat the measurements on our standard. We calculate the isotopic signature of our sample</w:t>
      </w:r>
      <w:r w:rsidR="002C4519">
        <w:t xml:space="preserve"> from those counts</w:t>
      </w:r>
      <w:r w:rsidR="002D476A">
        <w:t xml:space="preserve">. Organic carbon (the carbon produced by living organisms) is almost always </w:t>
      </w:r>
      <w:r w:rsidR="002C4519">
        <w:t xml:space="preserve">isotopically </w:t>
      </w:r>
      <w:r w:rsidR="002D476A">
        <w:t xml:space="preserve">negative. </w:t>
      </w:r>
      <w:r w:rsidR="002C4519">
        <w:t xml:space="preserve">For example, the </w:t>
      </w:r>
      <w:r w:rsidR="002D476A">
        <w:t>tissues of plants range from</w:t>
      </w:r>
      <w:r w:rsidR="002C4519">
        <w:t xml:space="preserve"> a </w:t>
      </w:r>
      <w:r w:rsidR="002C4519">
        <w:sym w:font="Symbol" w:char="F064"/>
      </w:r>
      <w:r w:rsidR="002C4519">
        <w:rPr>
          <w:vertAlign w:val="superscript"/>
        </w:rPr>
        <w:t>13</w:t>
      </w:r>
      <w:r w:rsidR="002C4519">
        <w:t>C of</w:t>
      </w:r>
      <w:r w:rsidR="002D476A">
        <w:t xml:space="preserve"> -10</w:t>
      </w:r>
      <w:r w:rsidR="002D476A">
        <w:rPr>
          <w:rFonts w:cstheme="minorHAnsi"/>
        </w:rPr>
        <w:t>‰</w:t>
      </w:r>
      <w:r w:rsidR="002D476A">
        <w:t xml:space="preserve"> to -24</w:t>
      </w:r>
      <w:r w:rsidR="002D476A">
        <w:rPr>
          <w:rFonts w:cstheme="minorHAnsi"/>
        </w:rPr>
        <w:t>‰</w:t>
      </w:r>
      <w:r w:rsidR="002D476A">
        <w:t xml:space="preserve">, depending on the kind of plant and its environment. This is because plants preferentially use the lighter isotope of carbon, which is the most common in nature (more than 98% of the global carbon pool). The negative value simply shows that there is less of the </w:t>
      </w:r>
      <w:r w:rsidR="00017340">
        <w:t>heavier (rare)</w:t>
      </w:r>
      <w:r w:rsidR="002D476A">
        <w:t xml:space="preserve"> isotope relative to the lighter </w:t>
      </w:r>
      <w:r w:rsidR="00017340">
        <w:t xml:space="preserve">(common) </w:t>
      </w:r>
      <w:r w:rsidR="002D476A">
        <w:t xml:space="preserve">one in </w:t>
      </w:r>
      <w:r w:rsidR="00017340">
        <w:t>the plant’s tissues when compared to the standard</w:t>
      </w:r>
      <w:r w:rsidR="002D476A">
        <w:t>.</w:t>
      </w:r>
      <w:r w:rsidR="002C4519">
        <w:t xml:space="preserve"> We will use th</w:t>
      </w:r>
      <w:r w:rsidR="00162AA4">
        <w:t>e</w:t>
      </w:r>
      <w:r w:rsidR="002C4519">
        <w:t xml:space="preserve"> </w:t>
      </w:r>
      <w:r w:rsidR="00E423CB">
        <w:t>property whereby</w:t>
      </w:r>
      <w:r w:rsidR="00162AA4">
        <w:t xml:space="preserve"> one isotope of an element </w:t>
      </w:r>
      <w:r w:rsidR="00E423CB">
        <w:t>is</w:t>
      </w:r>
      <w:r w:rsidR="00162AA4">
        <w:t xml:space="preserve"> used more frequently than another</w:t>
      </w:r>
      <w:r w:rsidR="006361BA">
        <w:t xml:space="preserve">, called </w:t>
      </w:r>
      <w:r w:rsidR="006361BA">
        <w:rPr>
          <w:b/>
        </w:rPr>
        <w:t>fractionation</w:t>
      </w:r>
      <w:r w:rsidR="006361BA">
        <w:t>,</w:t>
      </w:r>
      <w:r w:rsidR="002C4519">
        <w:t xml:space="preserve"> to understand a food web in one of our local streams.</w:t>
      </w:r>
    </w:p>
    <w:p w14:paraId="667F6479" w14:textId="77777777" w:rsidR="0009053C" w:rsidRDefault="0009053C" w:rsidP="0025559F"/>
    <w:p w14:paraId="0A533B70" w14:textId="77777777" w:rsidR="00263175" w:rsidRDefault="00263175" w:rsidP="0025559F"/>
    <w:p w14:paraId="3C342E05" w14:textId="77777777" w:rsidR="00263175" w:rsidRDefault="00263175" w:rsidP="0025559F"/>
    <w:p w14:paraId="328F1493" w14:textId="77777777" w:rsidR="00263175" w:rsidRDefault="00263175" w:rsidP="0025559F"/>
    <w:p w14:paraId="403E550B" w14:textId="77777777" w:rsidR="0025559F" w:rsidRPr="0025559F" w:rsidRDefault="0025559F" w:rsidP="0025559F">
      <w:pPr>
        <w:rPr>
          <w:b/>
        </w:rPr>
      </w:pPr>
      <w:r w:rsidRPr="0025559F">
        <w:rPr>
          <w:b/>
        </w:rPr>
        <w:lastRenderedPageBreak/>
        <w:t>Trophic Levels</w:t>
      </w:r>
    </w:p>
    <w:p w14:paraId="32514DBB" w14:textId="7E0ADE55" w:rsidR="00374531" w:rsidRDefault="00015967" w:rsidP="00263175">
      <w:pPr>
        <w:ind w:firstLine="720"/>
        <w:jc w:val="both"/>
      </w:pPr>
      <w:r>
        <w:t xml:space="preserve">Organisms need energy to fuel the myriad metabolic processes inside their cells. Producers can convert light (or thermal) energy into usable chemical energy, whereas consumers must obtain energy through their diets. Organisms can be grouped into </w:t>
      </w:r>
      <w:r w:rsidRPr="00A736E1">
        <w:rPr>
          <w:b/>
        </w:rPr>
        <w:t xml:space="preserve">trophic levels </w:t>
      </w:r>
      <w:r>
        <w:t xml:space="preserve">that are descriptive of how they attain their energy. The lowest trophic level consists of the </w:t>
      </w:r>
      <w:r w:rsidR="00427C16">
        <w:rPr>
          <w:b/>
        </w:rPr>
        <w:t>producers</w:t>
      </w:r>
      <w:r>
        <w:t xml:space="preserve"> (or </w:t>
      </w:r>
      <w:r w:rsidR="00427C16">
        <w:t>autotrophs</w:t>
      </w:r>
      <w:r>
        <w:t xml:space="preserve">) within a system (i.e., plants and algae). The next level up is made up of </w:t>
      </w:r>
      <w:r w:rsidRPr="00D162CF">
        <w:rPr>
          <w:b/>
        </w:rPr>
        <w:t>primary consumers</w:t>
      </w:r>
      <w:r>
        <w:t xml:space="preserve"> </w:t>
      </w:r>
      <w:r w:rsidR="008E2763">
        <w:t>(or heterotrophs) in the system</w:t>
      </w:r>
      <w:r w:rsidR="00B71F9A">
        <w:t xml:space="preserve"> </w:t>
      </w:r>
      <w:r>
        <w:t xml:space="preserve">(i.e., herbivores, </w:t>
      </w:r>
      <w:proofErr w:type="spellStart"/>
      <w:r>
        <w:t>planktivores</w:t>
      </w:r>
      <w:proofErr w:type="spellEnd"/>
      <w:r>
        <w:t xml:space="preserve">) that gain energy by consuming </w:t>
      </w:r>
      <w:r w:rsidR="00B71F9A">
        <w:t>producers</w:t>
      </w:r>
      <w:r>
        <w:t xml:space="preserve">. </w:t>
      </w:r>
      <w:r w:rsidR="00A736E1" w:rsidRPr="00A736E1">
        <w:rPr>
          <w:b/>
        </w:rPr>
        <w:t>Secondary consumers</w:t>
      </w:r>
      <w:r w:rsidR="00A736E1">
        <w:t xml:space="preserve"> (i.e., carnivores) comprise the third trophic level, and attain energy by consuming primary consumers. </w:t>
      </w:r>
      <w:r w:rsidR="00B71F9A">
        <w:t xml:space="preserve">Depending on the ecosystem, there can be </w:t>
      </w:r>
      <w:r w:rsidR="00B71F9A" w:rsidRPr="00B71F9A">
        <w:rPr>
          <w:b/>
        </w:rPr>
        <w:t>tertiary consumers</w:t>
      </w:r>
      <w:r w:rsidR="00B71F9A">
        <w:t xml:space="preserve"> (</w:t>
      </w:r>
      <w:r w:rsidR="00CC0D38">
        <w:t>sometimes carnivores, sometimes</w:t>
      </w:r>
      <w:r w:rsidR="00B71F9A">
        <w:t xml:space="preserve"> </w:t>
      </w:r>
      <w:r w:rsidR="00B71F9A" w:rsidRPr="00B71F9A">
        <w:t>omnivores</w:t>
      </w:r>
      <w:r w:rsidR="00B71F9A">
        <w:t xml:space="preserve">), and </w:t>
      </w:r>
      <w:r w:rsidR="00B71F9A" w:rsidRPr="00B71F9A">
        <w:rPr>
          <w:b/>
        </w:rPr>
        <w:t>apex predators</w:t>
      </w:r>
      <w:r w:rsidR="00B71F9A">
        <w:t xml:space="preserve"> that feed on primary, secondary and tertiary consumers if there is enough energy in the system to support that many trophic levels. A general rule of thumb is that approximately 10% of the energy at one trophic level makes it to the next highest trophic level, although that varies from system to system</w:t>
      </w:r>
      <w:r w:rsidR="00CC0D38">
        <w:t xml:space="preserve"> (</w:t>
      </w:r>
      <w:proofErr w:type="spellStart"/>
      <w:r w:rsidR="00CC0D38">
        <w:t>Molles</w:t>
      </w:r>
      <w:proofErr w:type="spellEnd"/>
      <w:r w:rsidR="00CC0D38">
        <w:t xml:space="preserve"> and Sher 2019)</w:t>
      </w:r>
      <w:r w:rsidR="00B71F9A">
        <w:t xml:space="preserve">. </w:t>
      </w:r>
    </w:p>
    <w:p w14:paraId="74C96C39" w14:textId="36DA0AE2" w:rsidR="005515B7" w:rsidRDefault="00950192" w:rsidP="00263175">
      <w:pPr>
        <w:ind w:firstLine="720"/>
        <w:jc w:val="both"/>
      </w:pPr>
      <w:r>
        <w:rPr>
          <w:noProof/>
        </w:rPr>
        <mc:AlternateContent>
          <mc:Choice Requires="wps">
            <w:drawing>
              <wp:anchor distT="0" distB="0" distL="114300" distR="114300" simplePos="0" relativeHeight="251659264" behindDoc="0" locked="0" layoutInCell="1" allowOverlap="1" wp14:anchorId="23F615A0" wp14:editId="38004C0D">
                <wp:simplePos x="0" y="0"/>
                <wp:positionH relativeFrom="column">
                  <wp:posOffset>2679700</wp:posOffset>
                </wp:positionH>
                <wp:positionV relativeFrom="paragraph">
                  <wp:posOffset>2881630</wp:posOffset>
                </wp:positionV>
                <wp:extent cx="3429000" cy="838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29000" cy="838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B1A00B" w14:textId="1388F045" w:rsidR="007A621C" w:rsidRDefault="007A621C">
                            <w:r>
                              <w:t>Fig. 1. A graphical representation of a typical stream food web depicting energy flow across multiple trophic levels</w:t>
                            </w:r>
                            <w:r w:rsidR="00950192">
                              <w:t xml:space="preserve"> (modified after Merritt and Cummins 1996)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615A0" id="_x0000_t202" coordsize="21600,21600" o:spt="202" path="m,l,21600r21600,l21600,xe">
                <v:stroke joinstyle="miter"/>
                <v:path gradientshapeok="t" o:connecttype="rect"/>
              </v:shapetype>
              <v:shape id="Text Box 1" o:spid="_x0000_s1026" type="#_x0000_t202" style="position:absolute;left:0;text-align:left;margin-left:211pt;margin-top:226.9pt;width:270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" filled="f" stroked="f">
                <v:textbox>
                  <w:txbxContent>
                    <w:p w14:paraId="1CB1A00B" w14:textId="1388F045" w:rsidR="007A621C" w:rsidRDefault="007A621C">
                      <w:r>
                        <w:t>Fig. 1. A graphical representation of a typical stream food web depicting energy flow across multiple trophic levels</w:t>
                      </w:r>
                      <w:r w:rsidR="00950192">
                        <w:t xml:space="preserve"> (modified after Merritt and Cummins 1996)</w:t>
                      </w:r>
                    </w:p>
                  </w:txbxContent>
                </v:textbox>
                <w10:wrap type="square"/>
              </v:shape>
            </w:pict>
          </mc:Fallback>
        </mc:AlternateContent>
      </w:r>
      <w:r>
        <w:rPr>
          <w:noProof/>
        </w:rPr>
        <w:drawing>
          <wp:anchor distT="0" distB="0" distL="114300" distR="114300" simplePos="0" relativeHeight="251664384" behindDoc="1" locked="0" layoutInCell="1" allowOverlap="1" wp14:anchorId="7D547870" wp14:editId="3CCC4FA9">
            <wp:simplePos x="0" y="0"/>
            <wp:positionH relativeFrom="column">
              <wp:posOffset>2755900</wp:posOffset>
            </wp:positionH>
            <wp:positionV relativeFrom="paragraph">
              <wp:posOffset>608965</wp:posOffset>
            </wp:positionV>
            <wp:extent cx="3246120" cy="2208530"/>
            <wp:effectExtent l="0" t="0" r="5080" b="1270"/>
            <wp:wrapTight wrapText="bothSides">
              <wp:wrapPolygon edited="0">
                <wp:start x="0" y="0"/>
                <wp:lineTo x="0" y="21488"/>
                <wp:lineTo x="21549" y="21488"/>
                <wp:lineTo x="21549" y="0"/>
                <wp:lineTo x="0" y="0"/>
              </wp:wrapPolygon>
            </wp:wrapTight>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3246120" cy="2208530"/>
                    </a:xfrm>
                    <a:prstGeom prst="rect">
                      <a:avLst/>
                    </a:prstGeom>
                    <a:ln/>
                  </pic:spPr>
                </pic:pic>
              </a:graphicData>
            </a:graphic>
            <wp14:sizeRelH relativeFrom="page">
              <wp14:pctWidth>0</wp14:pctWidth>
            </wp14:sizeRelH>
            <wp14:sizeRelV relativeFrom="page">
              <wp14:pctHeight>0</wp14:pctHeight>
            </wp14:sizeRelV>
          </wp:anchor>
        </w:drawing>
      </w:r>
      <w:r w:rsidR="00CC0D38">
        <w:t xml:space="preserve">We will examine stable isotopes among trophic levels in a tailwater fishery (the catch-and-release section of the Taylor River, just below Taylor Park Reservoir). </w:t>
      </w:r>
      <w:r w:rsidR="00BD0571">
        <w:t xml:space="preserve">Freshwater aquatic ecosystems </w:t>
      </w:r>
      <w:r w:rsidR="00167B1F">
        <w:t>can sometimes be</w:t>
      </w:r>
      <w:r w:rsidR="00BD0571">
        <w:t xml:space="preserve"> slightly different in terms of energy flow because some materials from the terrestrial environment are incorporated</w:t>
      </w:r>
      <w:r w:rsidR="005E0C35">
        <w:t xml:space="preserve"> as </w:t>
      </w:r>
      <w:r w:rsidR="005E0C35" w:rsidRPr="005E0C35">
        <w:rPr>
          <w:b/>
        </w:rPr>
        <w:t>allochthonous material</w:t>
      </w:r>
      <w:r w:rsidR="005E0C35">
        <w:t xml:space="preserve"> (e.g., dead leaves, fallen branches/trees</w:t>
      </w:r>
      <w:r w:rsidR="00167B1F">
        <w:t xml:space="preserve">, otherwise known as </w:t>
      </w:r>
      <w:r w:rsidR="00167B1F" w:rsidRPr="00167B1F">
        <w:rPr>
          <w:b/>
        </w:rPr>
        <w:t xml:space="preserve">course particulate organic </w:t>
      </w:r>
      <w:r w:rsidR="005515B7">
        <w:rPr>
          <w:b/>
        </w:rPr>
        <w:t>matter</w:t>
      </w:r>
      <w:r w:rsidR="00167B1F">
        <w:t xml:space="preserve"> or </w:t>
      </w:r>
      <w:r w:rsidR="00167B1F" w:rsidRPr="00167B1F">
        <w:rPr>
          <w:b/>
        </w:rPr>
        <w:t>CPOM</w:t>
      </w:r>
      <w:r w:rsidR="005E0C35">
        <w:t xml:space="preserve">) that are consumed by </w:t>
      </w:r>
      <w:r w:rsidR="005E0C35" w:rsidRPr="005E0C35">
        <w:rPr>
          <w:b/>
        </w:rPr>
        <w:t>shredder</w:t>
      </w:r>
      <w:r w:rsidR="00CC7EED">
        <w:rPr>
          <w:b/>
        </w:rPr>
        <w:t>s</w:t>
      </w:r>
      <w:r w:rsidR="00083564">
        <w:rPr>
          <w:b/>
        </w:rPr>
        <w:t xml:space="preserve"> </w:t>
      </w:r>
      <w:r w:rsidR="00083564" w:rsidRPr="00083564">
        <w:t>(e.g., crane flies, some caddis</w:t>
      </w:r>
      <w:r w:rsidR="00FF5EB5">
        <w:t>flies, some stoneflies</w:t>
      </w:r>
      <w:r w:rsidR="00F01F0D">
        <w:t>, some midges</w:t>
      </w:r>
      <w:r w:rsidR="00083564" w:rsidRPr="00083564">
        <w:t>)</w:t>
      </w:r>
      <w:r w:rsidR="00CC7EED" w:rsidRPr="00083564">
        <w:t>,</w:t>
      </w:r>
      <w:r w:rsidR="00CC7EED">
        <w:t xml:space="preserve"> so there is a </w:t>
      </w:r>
      <w:r w:rsidR="00662724">
        <w:t xml:space="preserve">large </w:t>
      </w:r>
      <w:r w:rsidR="00662724" w:rsidRPr="00662724">
        <w:rPr>
          <w:b/>
        </w:rPr>
        <w:t>detritus</w:t>
      </w:r>
      <w:r w:rsidR="00CC7EED">
        <w:t>-based component to many freshwater stream</w:t>
      </w:r>
      <w:r w:rsidR="00662724">
        <w:t xml:space="preserve"> food web</w:t>
      </w:r>
      <w:r w:rsidR="00CC7EED">
        <w:t xml:space="preserve">s. </w:t>
      </w:r>
      <w:r w:rsidR="00662724">
        <w:t>Shredde</w:t>
      </w:r>
      <w:r w:rsidR="00FF5EB5">
        <w:t>rs convert CPOM</w:t>
      </w:r>
      <w:r w:rsidR="00662724">
        <w:t xml:space="preserve"> into </w:t>
      </w:r>
      <w:r w:rsidR="005515B7">
        <w:rPr>
          <w:b/>
        </w:rPr>
        <w:t>FPOM</w:t>
      </w:r>
      <w:r w:rsidR="00662724" w:rsidRPr="000C3F88">
        <w:rPr>
          <w:b/>
        </w:rPr>
        <w:t xml:space="preserve"> (fine particulate organic </w:t>
      </w:r>
      <w:r w:rsidR="005515B7">
        <w:rPr>
          <w:b/>
        </w:rPr>
        <w:t>matter</w:t>
      </w:r>
      <w:r w:rsidR="00662724" w:rsidRPr="000C3F88">
        <w:rPr>
          <w:b/>
        </w:rPr>
        <w:t>)</w:t>
      </w:r>
      <w:r w:rsidR="00662724">
        <w:t xml:space="preserve"> that may be consumed by downstream </w:t>
      </w:r>
      <w:r w:rsidR="00662724" w:rsidRPr="00662724">
        <w:rPr>
          <w:b/>
        </w:rPr>
        <w:t>collectors</w:t>
      </w:r>
      <w:r w:rsidR="00FF5EB5">
        <w:rPr>
          <w:b/>
        </w:rPr>
        <w:t xml:space="preserve"> </w:t>
      </w:r>
      <w:r w:rsidR="00FF5EB5" w:rsidRPr="00FF5EB5">
        <w:t>(e.g., some caddisflies, some beetles</w:t>
      </w:r>
      <w:r w:rsidR="00FF5EB5">
        <w:t>, some dipterans</w:t>
      </w:r>
      <w:r w:rsidR="00F01F0D">
        <w:t>, some midges</w:t>
      </w:r>
      <w:r w:rsidR="00FF5EB5" w:rsidRPr="00FF5EB5">
        <w:t>)</w:t>
      </w:r>
      <w:r w:rsidR="005515B7" w:rsidRPr="00FF5EB5">
        <w:t>.</w:t>
      </w:r>
      <w:r w:rsidR="005515B7">
        <w:t xml:space="preserve"> Physical breakdown o</w:t>
      </w:r>
      <w:r w:rsidR="00FF5EB5">
        <w:t>f CPOM</w:t>
      </w:r>
      <w:r w:rsidR="005515B7">
        <w:t xml:space="preserve"> can also result in </w:t>
      </w:r>
      <w:r w:rsidR="005515B7" w:rsidRPr="005515B7">
        <w:rPr>
          <w:b/>
        </w:rPr>
        <w:t>DOM</w:t>
      </w:r>
      <w:r w:rsidR="005515B7">
        <w:t xml:space="preserve"> </w:t>
      </w:r>
      <w:r w:rsidR="005515B7" w:rsidRPr="005515B7">
        <w:rPr>
          <w:b/>
        </w:rPr>
        <w:t>(dissolved organic matter)</w:t>
      </w:r>
      <w:r w:rsidR="005515B7">
        <w:t xml:space="preserve"> that can be consumed by zooplankton</w:t>
      </w:r>
      <w:r w:rsidR="00F01F0D">
        <w:t xml:space="preserve"> (e.g., diatoms, water fleas)</w:t>
      </w:r>
      <w:r w:rsidR="005515B7">
        <w:t xml:space="preserve">. </w:t>
      </w:r>
      <w:r w:rsidR="008F347B">
        <w:t xml:space="preserve">Freshwater ecosystems also contain </w:t>
      </w:r>
      <w:proofErr w:type="spellStart"/>
      <w:r w:rsidR="008F347B" w:rsidRPr="008F347B">
        <w:rPr>
          <w:b/>
        </w:rPr>
        <w:t>autochtonous</w:t>
      </w:r>
      <w:proofErr w:type="spellEnd"/>
      <w:r w:rsidR="008F347B" w:rsidRPr="008F347B">
        <w:rPr>
          <w:b/>
        </w:rPr>
        <w:t xml:space="preserve"> material</w:t>
      </w:r>
      <w:r w:rsidR="008F347B">
        <w:t xml:space="preserve"> (e.g., microbes, </w:t>
      </w:r>
      <w:r w:rsidR="000344AE">
        <w:t xml:space="preserve">plankton, </w:t>
      </w:r>
      <w:r w:rsidR="008F347B">
        <w:t>algae</w:t>
      </w:r>
      <w:r w:rsidR="0016137D">
        <w:t xml:space="preserve">) that originate within the stream. </w:t>
      </w:r>
      <w:r w:rsidR="0016137D" w:rsidRPr="0016137D">
        <w:rPr>
          <w:b/>
        </w:rPr>
        <w:t>Scrapers</w:t>
      </w:r>
      <w:r w:rsidR="0016137D">
        <w:t xml:space="preserve"> (e.g., </w:t>
      </w:r>
      <w:r w:rsidR="00FF5EB5">
        <w:t xml:space="preserve">some </w:t>
      </w:r>
      <w:r w:rsidR="00083564">
        <w:t>snails, some caddis</w:t>
      </w:r>
      <w:r w:rsidR="00F01F0D">
        <w:t>flies,</w:t>
      </w:r>
      <w:r w:rsidR="00F01F0D" w:rsidRPr="00F01F0D">
        <w:t xml:space="preserve"> </w:t>
      </w:r>
      <w:r w:rsidR="00F01F0D">
        <w:t>some midges, some fish</w:t>
      </w:r>
      <w:r w:rsidR="00083564">
        <w:t xml:space="preserve">) and </w:t>
      </w:r>
      <w:r w:rsidR="00083564" w:rsidRPr="00FF5EB5">
        <w:rPr>
          <w:b/>
        </w:rPr>
        <w:t>grazers</w:t>
      </w:r>
      <w:r w:rsidR="00083564">
        <w:t xml:space="preserve"> (e.g., </w:t>
      </w:r>
      <w:r w:rsidR="00FF5EB5">
        <w:t xml:space="preserve">mayflies, </w:t>
      </w:r>
      <w:r w:rsidR="00284A00">
        <w:t xml:space="preserve">some beetles, </w:t>
      </w:r>
      <w:r w:rsidR="00FF5EB5">
        <w:t>some snails, suckers</w:t>
      </w:r>
      <w:r w:rsidR="00522498">
        <w:t xml:space="preserve"> water fleas</w:t>
      </w:r>
      <w:r w:rsidR="00FF5EB5">
        <w:t xml:space="preserve">) </w:t>
      </w:r>
      <w:r w:rsidR="0016137D">
        <w:t>often consume these materials</w:t>
      </w:r>
      <w:r w:rsidR="00FF5EB5">
        <w:t>. Of course, there are secondary</w:t>
      </w:r>
      <w:r w:rsidR="009A3C2F">
        <w:t xml:space="preserve"> consumers</w:t>
      </w:r>
      <w:r w:rsidR="00FF5EB5">
        <w:t>, tertiary</w:t>
      </w:r>
      <w:r w:rsidR="009A3C2F">
        <w:t xml:space="preserve"> consumers</w:t>
      </w:r>
      <w:r w:rsidR="00FF5EB5">
        <w:t xml:space="preserve">, and apex predators within these ecosystems as well (e.g., dragonflies, </w:t>
      </w:r>
      <w:r w:rsidR="00F01F0D">
        <w:t>some midges</w:t>
      </w:r>
      <w:r w:rsidR="00522498">
        <w:t xml:space="preserve">, insectivorous fishes, piscivorous fishes, birds of prey [such as eagles, cranes and osprey], </w:t>
      </w:r>
      <w:r w:rsidR="00A65439">
        <w:t>and</w:t>
      </w:r>
      <w:r w:rsidR="00522498">
        <w:t xml:space="preserve"> </w:t>
      </w:r>
      <w:r w:rsidR="00A65439">
        <w:t xml:space="preserve">some </w:t>
      </w:r>
      <w:r w:rsidR="00522498">
        <w:t>mammals</w:t>
      </w:r>
      <w:r w:rsidR="00F01F0D">
        <w:t>)</w:t>
      </w:r>
      <w:r w:rsidR="00522498">
        <w:t>.</w:t>
      </w:r>
      <w:r w:rsidR="00284A00">
        <w:t xml:space="preserve"> A </w:t>
      </w:r>
      <w:r w:rsidR="008D401A">
        <w:t>hypothetical freshwater</w:t>
      </w:r>
      <w:r w:rsidR="00284A00">
        <w:t xml:space="preserve"> stream food web is </w:t>
      </w:r>
      <w:r w:rsidR="008D401A">
        <w:t>diagramed</w:t>
      </w:r>
      <w:r w:rsidR="00284A00">
        <w:t xml:space="preserve"> in Fig. 1. </w:t>
      </w:r>
      <w:r w:rsidR="003C7606">
        <w:t>The organisms we will see should be different than these, but the same groups (shredders, collectors, scrapers, predators) should be represented.</w:t>
      </w:r>
    </w:p>
    <w:p w14:paraId="1D540AEF" w14:textId="77777777" w:rsidR="00263175" w:rsidRDefault="00263175" w:rsidP="00263175">
      <w:pPr>
        <w:ind w:firstLine="720"/>
        <w:jc w:val="both"/>
      </w:pPr>
    </w:p>
    <w:p w14:paraId="3B6A8813" w14:textId="77777777" w:rsidR="008D401A" w:rsidRDefault="008D401A" w:rsidP="005515B7"/>
    <w:p w14:paraId="1BF408D7" w14:textId="2E7DD7BC" w:rsidR="005515B7" w:rsidRPr="003C7606" w:rsidRDefault="005515B7" w:rsidP="005515B7">
      <w:pPr>
        <w:rPr>
          <w:b/>
        </w:rPr>
      </w:pPr>
      <w:r w:rsidRPr="005515B7">
        <w:rPr>
          <w:b/>
        </w:rPr>
        <w:t>Sampling Techniques</w:t>
      </w:r>
    </w:p>
    <w:p w14:paraId="7C03EE67" w14:textId="5C94E4DE" w:rsidR="005515B7" w:rsidRDefault="005515B7" w:rsidP="00B33626">
      <w:pPr>
        <w:ind w:firstLine="720"/>
        <w:jc w:val="both"/>
      </w:pPr>
      <w:r>
        <w:t xml:space="preserve">Because we seek to collect organisms from several trophic levels, we will </w:t>
      </w:r>
      <w:r w:rsidR="008D401A">
        <w:t>need</w:t>
      </w:r>
      <w:r>
        <w:t xml:space="preserve"> to employ an array of sampling methods. </w:t>
      </w:r>
      <w:r w:rsidR="003C7606">
        <w:t>These are outlined as follows:</w:t>
      </w:r>
    </w:p>
    <w:p w14:paraId="0CF9D24D" w14:textId="3BC3E262" w:rsidR="003C7606" w:rsidRDefault="003C7606" w:rsidP="00B33626">
      <w:pPr>
        <w:jc w:val="both"/>
      </w:pPr>
    </w:p>
    <w:p w14:paraId="670587F9" w14:textId="7E9079DC" w:rsidR="003C7606" w:rsidRPr="003C7606" w:rsidRDefault="002C4647" w:rsidP="00B33626">
      <w:pPr>
        <w:jc w:val="both"/>
        <w:rPr>
          <w:i/>
        </w:rPr>
      </w:pPr>
      <w:r>
        <w:rPr>
          <w:i/>
        </w:rPr>
        <w:t>P</w:t>
      </w:r>
      <w:r w:rsidR="003C7606" w:rsidRPr="003C7606">
        <w:rPr>
          <w:i/>
        </w:rPr>
        <w:t>lankton</w:t>
      </w:r>
      <w:r>
        <w:rPr>
          <w:i/>
        </w:rPr>
        <w:t xml:space="preserve"> sampling</w:t>
      </w:r>
    </w:p>
    <w:p w14:paraId="74CFE2D7" w14:textId="75EBCD53" w:rsidR="00F860AA" w:rsidRDefault="00950192" w:rsidP="00950192">
      <w:pPr>
        <w:jc w:val="both"/>
      </w:pPr>
      <w:r>
        <w:rPr>
          <w:noProof/>
        </w:rPr>
        <w:drawing>
          <wp:anchor distT="0" distB="0" distL="114300" distR="114300" simplePos="0" relativeHeight="251665408" behindDoc="0" locked="0" layoutInCell="1" allowOverlap="1" wp14:anchorId="2A60B9B6" wp14:editId="3F48802D">
            <wp:simplePos x="0" y="0"/>
            <wp:positionH relativeFrom="column">
              <wp:posOffset>-139700</wp:posOffset>
            </wp:positionH>
            <wp:positionV relativeFrom="paragraph">
              <wp:posOffset>712470</wp:posOffset>
            </wp:positionV>
            <wp:extent cx="3088005" cy="185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0072" r="2047"/>
                    <a:stretch/>
                  </pic:blipFill>
                  <pic:spPr bwMode="auto">
                    <a:xfrm>
                      <a:off x="0" y="0"/>
                      <a:ext cx="3088005" cy="185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8A773B0" wp14:editId="3FDEA6A3">
                <wp:simplePos x="0" y="0"/>
                <wp:positionH relativeFrom="column">
                  <wp:posOffset>-63500</wp:posOffset>
                </wp:positionH>
                <wp:positionV relativeFrom="paragraph">
                  <wp:posOffset>2566670</wp:posOffset>
                </wp:positionV>
                <wp:extent cx="3011805" cy="304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11805" cy="304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8C6664" w14:textId="3E8F20B3" w:rsidR="007A621C" w:rsidRPr="00950192" w:rsidRDefault="007A621C">
                            <w:r>
                              <w:t>Fig. 2. Depiction of an oblique plankton tow</w:t>
                            </w:r>
                          </w:p>
                          <w:p w14:paraId="3C917AA1" w14:textId="341A3B05" w:rsidR="007A621C" w:rsidRDefault="007A621C">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773B0" id="Text Box 4" o:spid="_x0000_s1027" type="#_x0000_t202" style="position:absolute;left:0;text-align:left;margin-left:-5pt;margin-top:202.1pt;width:237.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" filled="f" stroked="f">
                <v:textbox>
                  <w:txbxContent>
                    <w:p w14:paraId="558C6664" w14:textId="3E8F20B3" w:rsidR="007A621C" w:rsidRPr="00950192" w:rsidRDefault="007A621C">
                      <w:r>
                        <w:t>Fig. 2. Depiction of an oblique plankton tow</w:t>
                      </w:r>
                    </w:p>
                    <w:p w14:paraId="3C917AA1" w14:textId="341A3B05" w:rsidR="007A621C" w:rsidRDefault="007A621C">
                      <w:r>
                        <w:t xml:space="preserve"> </w:t>
                      </w:r>
                    </w:p>
                  </w:txbxContent>
                </v:textbox>
                <w10:wrap type="square"/>
              </v:shape>
            </w:pict>
          </mc:Fallback>
        </mc:AlternateContent>
      </w:r>
      <w:r w:rsidR="003C7606">
        <w:tab/>
        <w:t xml:space="preserve">We will use a plankton tow net to conduct oblique plankton tows (Fig. 2). </w:t>
      </w:r>
      <w:r w:rsidR="00597C36">
        <w:t xml:space="preserve">These nets have a conical shape with mesh sides that allows outflow of water while keeping plankton within the screen. The focal point of this conical net is a collection jar that </w:t>
      </w:r>
      <w:r w:rsidR="009F1A93">
        <w:t>accumulates</w:t>
      </w:r>
      <w:r w:rsidR="00597C36">
        <w:t xml:space="preserve"> plankton</w:t>
      </w:r>
      <w:bookmarkStart w:id="0" w:name="_GoBack"/>
      <w:bookmarkEnd w:id="0"/>
      <w:r w:rsidR="00597C36">
        <w:t xml:space="preserve">. It is typically important to standardize the distance of the tow, to be able to calculate the volume of water sampled. </w:t>
      </w:r>
      <w:r w:rsidR="00E601CC">
        <w:t xml:space="preserve">We will </w:t>
      </w:r>
      <w:r w:rsidR="00E33C72">
        <w:t xml:space="preserve">try a meter at first, knowing that it may require longer tows if we do not get much plankton. </w:t>
      </w:r>
      <w:r w:rsidR="00597C36">
        <w:t>It is also important to try and keep the net at the same depth for the duration of the tow</w:t>
      </w:r>
      <w:r w:rsidR="00E33C72">
        <w:t xml:space="preserve"> to sample the same plankton community for the duration of the tow</w:t>
      </w:r>
      <w:r w:rsidR="00597C36">
        <w:t xml:space="preserve">.  </w:t>
      </w:r>
      <w:r w:rsidR="00E33C72">
        <w:t xml:space="preserve">Once the tow is complete, wash any plankton </w:t>
      </w:r>
      <w:r w:rsidR="00F141CB">
        <w:t>that is clinging to</w:t>
      </w:r>
      <w:r w:rsidR="00E33C72">
        <w:t xml:space="preserve"> the sides of the net down into the collection jar</w:t>
      </w:r>
      <w:r w:rsidR="00F141CB">
        <w:t xml:space="preserve"> with a wash bottle</w:t>
      </w:r>
      <w:r w:rsidR="00E33C72">
        <w:t>.</w:t>
      </w:r>
      <w:r w:rsidR="00F141CB">
        <w:t xml:space="preserve"> These</w:t>
      </w:r>
      <w:r w:rsidR="00F860AA">
        <w:t xml:space="preserve"> samples will need to be sorted</w:t>
      </w:r>
      <w:r w:rsidR="00E33C72">
        <w:t xml:space="preserve"> </w:t>
      </w:r>
      <w:r w:rsidR="00F141CB">
        <w:t xml:space="preserve">in the laboratory. </w:t>
      </w:r>
    </w:p>
    <w:p w14:paraId="663E3F20" w14:textId="5AED8F03" w:rsidR="00F860AA" w:rsidRDefault="00F860AA" w:rsidP="005515B7"/>
    <w:p w14:paraId="7D08938D" w14:textId="6968F223" w:rsidR="00F860AA" w:rsidRDefault="00F860AA" w:rsidP="00263175">
      <w:pPr>
        <w:jc w:val="both"/>
      </w:pPr>
      <w:r>
        <w:rPr>
          <w:i/>
        </w:rPr>
        <w:t>Macroinvertebrate sampling</w:t>
      </w:r>
    </w:p>
    <w:p w14:paraId="5F8B1217" w14:textId="0D1E494B" w:rsidR="00003941" w:rsidRDefault="00003941" w:rsidP="00263175">
      <w:pPr>
        <w:jc w:val="both"/>
      </w:pP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2C2ADBB4" wp14:editId="6CE9C72E">
                <wp:simplePos x="0" y="0"/>
                <wp:positionH relativeFrom="column">
                  <wp:posOffset>3699510</wp:posOffset>
                </wp:positionH>
                <wp:positionV relativeFrom="paragraph">
                  <wp:posOffset>2219325</wp:posOffset>
                </wp:positionV>
                <wp:extent cx="2057400" cy="454025"/>
                <wp:effectExtent l="0" t="0" r="0" b="3175"/>
                <wp:wrapSquare wrapText="bothSides"/>
                <wp:docPr id="6" name="Text Box 6"/>
                <wp:cNvGraphicFramePr/>
                <a:graphic xmlns:a="http://schemas.openxmlformats.org/drawingml/2006/main">
                  <a:graphicData uri="http://schemas.microsoft.com/office/word/2010/wordprocessingShape">
                    <wps:wsp>
                      <wps:cNvSpPr txBox="1"/>
                      <wps:spPr>
                        <a:xfrm>
                          <a:off x="0" y="0"/>
                          <a:ext cx="2057400" cy="454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81262B" w14:textId="2C1FF933" w:rsidR="007A621C" w:rsidRDefault="007A621C">
                            <w:r>
                              <w:t>Fig. 3. Kick net technique</w:t>
                            </w:r>
                          </w:p>
                          <w:p w14:paraId="61A7E341" w14:textId="0C74147E" w:rsidR="007A621C" w:rsidRPr="00003941" w:rsidRDefault="007A621C">
                            <w:pPr>
                              <w:rPr>
                                <w:color w:val="A6A6A6" w:themeColor="background1" w:themeShade="A6"/>
                              </w:rPr>
                            </w:pPr>
                            <w:r w:rsidRPr="00003941">
                              <w:rPr>
                                <w:color w:val="A6A6A6" w:themeColor="background1" w:themeShade="A6"/>
                              </w:rPr>
                              <w:t>fba.org.uk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2C2ADBB4" id="Text Box 6" o:spid="_x0000_s1028" type="#_x0000_t202" style="position:absolute;left:0;text-align:left;margin-left:291.3pt;margin-top:174.75pt;width:162pt;height:35.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" filled="f" stroked="f">
                <v:textbox>
                  <w:txbxContent>
                    <w:p w14:paraId="6F81262B" w14:textId="2C1FF933" w:rsidR="007A621C" w:rsidRDefault="007A621C">
                      <w:r>
                        <w:t>Fig. 3. Kick net technique</w:t>
                      </w:r>
                    </w:p>
                    <w:p w14:paraId="61A7E341" w14:textId="0C74147E" w:rsidR="007A621C" w:rsidRPr="00003941" w:rsidRDefault="007A621C">
                      <w:pPr>
                        <w:rPr>
                          <w:color w:val="A6A6A6" w:themeColor="background1" w:themeShade="A6"/>
                        </w:rPr>
                      </w:pPr>
                      <w:r w:rsidRPr="00003941">
                        <w:rPr>
                          <w:color w:val="A6A6A6" w:themeColor="background1" w:themeShade="A6"/>
                        </w:rPr>
                        <w:t>fba.org.uk</w:t>
                      </w:r>
                    </w:p>
                  </w:txbxContent>
                </v:textbox>
                <w10:wrap type="square"/>
              </v:shape>
            </w:pict>
          </mc:Fallback>
        </mc:AlternateContent>
      </w:r>
      <w:r w:rsidR="00264B67" w:rsidRPr="00F4443A">
        <w:rPr>
          <w:rFonts w:ascii="Times New Roman" w:eastAsia="Times New Roman" w:hAnsi="Times New Roman" w:cs="Times New Roman"/>
          <w:noProof/>
        </w:rPr>
        <w:drawing>
          <wp:anchor distT="0" distB="0" distL="114300" distR="114300" simplePos="0" relativeHeight="251662336" behindDoc="0" locked="0" layoutInCell="1" allowOverlap="1" wp14:anchorId="4459A126" wp14:editId="2D1F0020">
            <wp:simplePos x="0" y="0"/>
            <wp:positionH relativeFrom="column">
              <wp:posOffset>3703320</wp:posOffset>
            </wp:positionH>
            <wp:positionV relativeFrom="paragraph">
              <wp:posOffset>48895</wp:posOffset>
            </wp:positionV>
            <wp:extent cx="2023110" cy="2077720"/>
            <wp:effectExtent l="0" t="0" r="8890" b="5080"/>
            <wp:wrapSquare wrapText="bothSides"/>
            <wp:docPr id="5" name="Picture 5" descr="mage result for kick nets stream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result for kick nets stream samp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3110" cy="2077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0AA">
        <w:tab/>
        <w:t xml:space="preserve">We will sample aquatic macroinvertebrates using different techniques. </w:t>
      </w:r>
      <w:r w:rsidR="00B6209F">
        <w:t>The first is the use of a kick net. The technique is relatively simple: Place the net perpendicular to the flow of the river, then kick your feet along the bottom, so th</w:t>
      </w:r>
      <w:r w:rsidR="00072665">
        <w:t>at rocks are overturned and the</w:t>
      </w:r>
      <w:r w:rsidR="00B6209F">
        <w:t xml:space="preserve"> current will carry any dislodged macroinvertebrates into the mouth of the net</w:t>
      </w:r>
      <w:r w:rsidR="00264B67">
        <w:t xml:space="preserve"> (Fig. 3)</w:t>
      </w:r>
      <w:r w:rsidR="00B6209F">
        <w:t xml:space="preserve">. </w:t>
      </w:r>
      <w:r w:rsidR="00072665">
        <w:t xml:space="preserve">Do this for 30 seconds, then transfer the sample into a </w:t>
      </w:r>
      <w:r w:rsidR="00264B67">
        <w:t xml:space="preserve">plastic </w:t>
      </w:r>
      <w:r>
        <w:t>tray</w:t>
      </w:r>
      <w:r w:rsidR="00072665">
        <w:t xml:space="preserve"> where </w:t>
      </w:r>
      <w:r>
        <w:t>it</w:t>
      </w:r>
      <w:r w:rsidR="001957A8">
        <w:t xml:space="preserve"> can be picked through</w:t>
      </w:r>
      <w:r w:rsidR="00072665">
        <w:t xml:space="preserve"> and</w:t>
      </w:r>
      <w:r w:rsidR="001957A8">
        <w:t xml:space="preserve"> the macroinvertebrates</w:t>
      </w:r>
      <w:r w:rsidR="00072665">
        <w:t xml:space="preserve"> remove</w:t>
      </w:r>
      <w:r w:rsidR="001957A8">
        <w:t>d</w:t>
      </w:r>
      <w:r w:rsidR="00072665">
        <w:t xml:space="preserve"> using forceps</w:t>
      </w:r>
      <w:r w:rsidR="001957A8">
        <w:t xml:space="preserve"> (it is important not to touch these bare-handed so oils do not contaminate the samples)</w:t>
      </w:r>
      <w:r w:rsidR="00072665">
        <w:t xml:space="preserve">. </w:t>
      </w:r>
      <w:r w:rsidR="001957A8">
        <w:t>Sort the macroinvertebrates</w:t>
      </w:r>
      <w:r w:rsidR="00264B67">
        <w:t xml:space="preserve"> </w:t>
      </w:r>
      <w:r w:rsidR="00741B16">
        <w:t xml:space="preserve">into categories (grazers, scrapers, shredders, predators). </w:t>
      </w:r>
      <w:r w:rsidR="00264B67">
        <w:t xml:space="preserve"> </w:t>
      </w:r>
    </w:p>
    <w:p w14:paraId="7541F4C3" w14:textId="7B48F851" w:rsidR="00003941" w:rsidRDefault="00003941" w:rsidP="00263175">
      <w:pPr>
        <w:jc w:val="both"/>
      </w:pPr>
      <w:r>
        <w:tab/>
        <w:t xml:space="preserve">The other method we will use to sample aquatic macroinvertebrates is a drift net. </w:t>
      </w:r>
      <w:r w:rsidR="00E21CD8">
        <w:t>The idea is similar to that of a kick net, with the difference being that these nets are set in the current, and ch</w:t>
      </w:r>
      <w:r w:rsidR="006E6F36">
        <w:t xml:space="preserve">ecked after some amount of time without necessarily kicking the substrate in front of them. Some scientists check these every hour for a 24 hour period, </w:t>
      </w:r>
      <w:r w:rsidR="00B97B70">
        <w:t xml:space="preserve">then repeat for different days or seasons, </w:t>
      </w:r>
      <w:r w:rsidR="006E6F36">
        <w:t xml:space="preserve">but we will set them when we arrive at the site, and take them down when we are finished with the other sampling. </w:t>
      </w:r>
      <w:r w:rsidR="00C15404">
        <w:t xml:space="preserve">Macroinvertebrates will be collected </w:t>
      </w:r>
      <w:r w:rsidR="00C15404">
        <w:lastRenderedPageBreak/>
        <w:t xml:space="preserve">and sorted as described above. </w:t>
      </w:r>
      <w:r w:rsidR="00B97B70">
        <w:t>There is a good chance that we will get algae, aquatic plants, or even CPOM off the drift nets as well.</w:t>
      </w:r>
    </w:p>
    <w:p w14:paraId="41149451" w14:textId="77777777" w:rsidR="00B97B70" w:rsidRDefault="00B97B70" w:rsidP="00263175">
      <w:pPr>
        <w:jc w:val="both"/>
      </w:pPr>
    </w:p>
    <w:p w14:paraId="5D64B38C" w14:textId="396B424C" w:rsidR="00B97B70" w:rsidRDefault="00B97B70" w:rsidP="00263175">
      <w:pPr>
        <w:jc w:val="both"/>
      </w:pPr>
      <w:r>
        <w:rPr>
          <w:i/>
        </w:rPr>
        <w:t>Fish sampling</w:t>
      </w:r>
    </w:p>
    <w:p w14:paraId="62DB35A6" w14:textId="2B44E1A3" w:rsidR="00B97B70" w:rsidRDefault="00B97B70" w:rsidP="00263175">
      <w:pPr>
        <w:jc w:val="both"/>
      </w:pPr>
      <w:r>
        <w:tab/>
        <w:t xml:space="preserve">A subset of the class will spend their time angling for trout in an attempt to catch an apex predator from this system for </w:t>
      </w:r>
      <w:r w:rsidR="00A35B1B">
        <w:t xml:space="preserve">our </w:t>
      </w:r>
      <w:r>
        <w:t xml:space="preserve">analysis. </w:t>
      </w:r>
      <w:r w:rsidR="00A35B1B">
        <w:t xml:space="preserve">This is a catch and release </w:t>
      </w:r>
      <w:r w:rsidR="00110D28">
        <w:t>area</w:t>
      </w:r>
      <w:r w:rsidR="00A35B1B">
        <w:t>, only artificial flies and lures may be used, and anglers must have a valid Colorado fishing license. If successful, we will take a fin clip (they regrow) and release the fish back into the river.</w:t>
      </w:r>
    </w:p>
    <w:p w14:paraId="74E6DAC6" w14:textId="77777777" w:rsidR="003E3363" w:rsidRDefault="003E3363" w:rsidP="00263175">
      <w:pPr>
        <w:jc w:val="both"/>
      </w:pPr>
    </w:p>
    <w:p w14:paraId="5763D7D6" w14:textId="7E2075B5" w:rsidR="003E3363" w:rsidRDefault="003E3363" w:rsidP="00263175">
      <w:pPr>
        <w:jc w:val="both"/>
      </w:pPr>
      <w:r>
        <w:t xml:space="preserve">We will need to store our samples in properly labeled Ziploc bags for transportation to Western (on ice), where they will be frozen until we are able to sort samples in the laboratory. </w:t>
      </w:r>
    </w:p>
    <w:p w14:paraId="34B6A1F8" w14:textId="77777777" w:rsidR="003E22D6" w:rsidRDefault="003E22D6" w:rsidP="005515B7"/>
    <w:p w14:paraId="5D70722C" w14:textId="437BBF11" w:rsidR="003E22D6" w:rsidRPr="003E22D6" w:rsidRDefault="003E22D6" w:rsidP="005515B7">
      <w:pPr>
        <w:rPr>
          <w:b/>
        </w:rPr>
      </w:pPr>
      <w:r w:rsidRPr="003E22D6">
        <w:rPr>
          <w:b/>
        </w:rPr>
        <w:t>Laboratory Techniques</w:t>
      </w:r>
    </w:p>
    <w:p w14:paraId="3C4D4807" w14:textId="77777777" w:rsidR="003E3363" w:rsidRDefault="003E3363" w:rsidP="003E3363">
      <w:pPr>
        <w:jc w:val="both"/>
      </w:pPr>
    </w:p>
    <w:p w14:paraId="7BD1053D" w14:textId="77777777" w:rsidR="003E3363" w:rsidRPr="003E3363" w:rsidRDefault="003E3363" w:rsidP="003E3363">
      <w:pPr>
        <w:jc w:val="both"/>
        <w:rPr>
          <w:i/>
        </w:rPr>
      </w:pPr>
      <w:r w:rsidRPr="003E3363">
        <w:rPr>
          <w:i/>
        </w:rPr>
        <w:t>Sorting samples</w:t>
      </w:r>
    </w:p>
    <w:p w14:paraId="24CD48B7" w14:textId="0C4BCCF8" w:rsidR="00F4443A" w:rsidRDefault="003E3363" w:rsidP="003E3363">
      <w:pPr>
        <w:jc w:val="both"/>
      </w:pPr>
      <w:r>
        <w:tab/>
        <w:t xml:space="preserve">Because we are evaluating food web dynamics, it is important that our samples be properly sorted into the major categories of a stream food web: detritus, producers, primary consumers, secondary consumers, tertiary consumers, and apex predators. </w:t>
      </w:r>
      <w:r w:rsidR="00B33626">
        <w:t xml:space="preserve">Once sorted, each category should be placed in a separate Ziploc or Whirl-Pak bag and frozen until they can be processed further. </w:t>
      </w:r>
      <w:r w:rsidR="00E20519">
        <w:t xml:space="preserve">More instructions on how to prepare samples will be provided at a later date. </w:t>
      </w:r>
    </w:p>
    <w:p w14:paraId="524D5857" w14:textId="2EBFF12C" w:rsidR="00F4443A" w:rsidRPr="00F860AA" w:rsidRDefault="00F4443A" w:rsidP="005515B7"/>
    <w:p w14:paraId="139D0C2C" w14:textId="460CB537" w:rsidR="003C7606" w:rsidRPr="00605569" w:rsidRDefault="00605569" w:rsidP="005515B7">
      <w:pPr>
        <w:rPr>
          <w:b/>
        </w:rPr>
      </w:pPr>
      <w:r w:rsidRPr="00605569">
        <w:rPr>
          <w:b/>
        </w:rPr>
        <w:t>Literature Cited</w:t>
      </w:r>
    </w:p>
    <w:p w14:paraId="1DC26796" w14:textId="77777777" w:rsidR="00605569" w:rsidRDefault="00605569" w:rsidP="005515B7"/>
    <w:p w14:paraId="7090E302" w14:textId="2FF6AED1" w:rsidR="00605569" w:rsidRDefault="00102210" w:rsidP="00FE3C5A">
      <w:pPr>
        <w:ind w:left="720" w:hanging="720"/>
      </w:pPr>
      <w:r>
        <w:t xml:space="preserve">Hershey, AE, RM Northington, JC Finlay, BJ Peterson (2017) Stable isotopes in stream food webs. </w:t>
      </w:r>
      <w:r w:rsidRPr="00FE3C5A">
        <w:rPr>
          <w:i/>
        </w:rPr>
        <w:t>Methods in Stream Ecology Volume 2: Ecosystem Function</w:t>
      </w:r>
      <w:r w:rsidR="00FE3C5A">
        <w:rPr>
          <w:i/>
        </w:rPr>
        <w:t>,</w:t>
      </w:r>
      <w:r>
        <w:t xml:space="preserve"> pp 3-20. </w:t>
      </w:r>
    </w:p>
    <w:p w14:paraId="259D4A8B" w14:textId="1E416CF9" w:rsidR="00182402" w:rsidRDefault="00182402" w:rsidP="00FE3C5A">
      <w:pPr>
        <w:ind w:left="720" w:hanging="720"/>
      </w:pPr>
    </w:p>
    <w:p w14:paraId="4EFE41F5" w14:textId="4D0F2809" w:rsidR="00182402" w:rsidRPr="00182402" w:rsidRDefault="00182402" w:rsidP="00182402">
      <w:pPr>
        <w:widowControl w:val="0"/>
        <w:autoSpaceDE w:val="0"/>
        <w:autoSpaceDN w:val="0"/>
        <w:adjustRightInd w:val="0"/>
        <w:ind w:left="480" w:hanging="480"/>
        <w:rPr>
          <w:rFonts w:cs="Times New Roman"/>
          <w:noProof/>
        </w:rPr>
      </w:pPr>
      <w:r w:rsidRPr="00585A35">
        <w:rPr>
          <w:rFonts w:cs="Times New Roman"/>
          <w:noProof/>
        </w:rPr>
        <w:t>Merritt, R., and K. Cummins</w:t>
      </w:r>
      <w:r>
        <w:rPr>
          <w:rFonts w:cs="Times New Roman"/>
          <w:noProof/>
        </w:rPr>
        <w:t xml:space="preserve"> (</w:t>
      </w:r>
      <w:r w:rsidRPr="00585A35">
        <w:rPr>
          <w:rFonts w:cs="Times New Roman"/>
          <w:noProof/>
        </w:rPr>
        <w:t>1996</w:t>
      </w:r>
      <w:r>
        <w:rPr>
          <w:rFonts w:cs="Times New Roman"/>
          <w:noProof/>
        </w:rPr>
        <w:t>)</w:t>
      </w:r>
      <w:r w:rsidRPr="00585A35">
        <w:rPr>
          <w:rFonts w:cs="Times New Roman"/>
          <w:noProof/>
        </w:rPr>
        <w:t xml:space="preserve"> An introduction to the aquatic insects of North America. 3rd edition. Kendall/Hunt Publishing Company, Dubuque, IA.</w:t>
      </w:r>
    </w:p>
    <w:p w14:paraId="50E309BB" w14:textId="77777777" w:rsidR="00FE3C5A" w:rsidRDefault="00FE3C5A" w:rsidP="00FE3C5A">
      <w:pPr>
        <w:ind w:left="720" w:hanging="720"/>
      </w:pPr>
    </w:p>
    <w:p w14:paraId="30F93542" w14:textId="17124722" w:rsidR="00FE3C5A" w:rsidRDefault="00FE3C5A" w:rsidP="00FE3C5A">
      <w:pPr>
        <w:ind w:left="720" w:hanging="720"/>
      </w:pPr>
      <w:proofErr w:type="spellStart"/>
      <w:r>
        <w:t>Molles</w:t>
      </w:r>
      <w:proofErr w:type="spellEnd"/>
      <w:r w:rsidR="00790ABB">
        <w:t xml:space="preserve">, MC, Jr., AA Sher (2019) Ecology Concepts and Applications. </w:t>
      </w:r>
      <w:r w:rsidR="0032043D">
        <w:t xml:space="preserve">McGraw Hill Higher Education. 592 pages. </w:t>
      </w:r>
    </w:p>
    <w:p w14:paraId="0831E727" w14:textId="77777777" w:rsidR="00A7047C" w:rsidRDefault="00A7047C" w:rsidP="00FE3C5A">
      <w:pPr>
        <w:ind w:left="720" w:hanging="720"/>
      </w:pPr>
    </w:p>
    <w:p w14:paraId="7D7D67E1" w14:textId="4F072317" w:rsidR="00A7047C" w:rsidRDefault="00A7047C" w:rsidP="00FE3C5A">
      <w:pPr>
        <w:ind w:left="720" w:hanging="720"/>
      </w:pPr>
      <w:r>
        <w:t xml:space="preserve">Peterson, BJ, B Fry (1987) Stable isotopes in ecological studies. </w:t>
      </w:r>
      <w:r w:rsidRPr="00A7047C">
        <w:rPr>
          <w:i/>
        </w:rPr>
        <w:t>Ann. Rev. Ecol. Syst.</w:t>
      </w:r>
      <w:r>
        <w:t xml:space="preserve"> 18:293-320.</w:t>
      </w:r>
    </w:p>
    <w:p w14:paraId="5345EBC9" w14:textId="77777777" w:rsidR="00102210" w:rsidRDefault="00102210" w:rsidP="00FE3C5A">
      <w:pPr>
        <w:ind w:left="720" w:hanging="720"/>
      </w:pPr>
    </w:p>
    <w:p w14:paraId="34179564" w14:textId="772E0F4F" w:rsidR="00102210" w:rsidRDefault="00FE3C5A" w:rsidP="00FE3C5A">
      <w:pPr>
        <w:ind w:left="720" w:hanging="720"/>
      </w:pPr>
      <w:r>
        <w:t xml:space="preserve">Wanamaker, AD, Jr., KJ Kreutz, HW </w:t>
      </w:r>
      <w:proofErr w:type="spellStart"/>
      <w:r>
        <w:t>Borns</w:t>
      </w:r>
      <w:proofErr w:type="spellEnd"/>
      <w:r>
        <w:t xml:space="preserve"> Jr., DS </w:t>
      </w:r>
      <w:proofErr w:type="spellStart"/>
      <w:r>
        <w:t>Introne</w:t>
      </w:r>
      <w:proofErr w:type="spellEnd"/>
      <w:r>
        <w:t xml:space="preserve">, S </w:t>
      </w:r>
      <w:proofErr w:type="spellStart"/>
      <w:r>
        <w:t>Feindel</w:t>
      </w:r>
      <w:proofErr w:type="spellEnd"/>
      <w:r>
        <w:t xml:space="preserve">, S Funder, PD Rawson, BJ Barber (2007) Experimental determination of salinity, temperature, growth, and metabolic effects on shell isotope chemistry of </w:t>
      </w:r>
      <w:r w:rsidRPr="00FE3C5A">
        <w:rPr>
          <w:i/>
        </w:rPr>
        <w:t>Mytilus edulis</w:t>
      </w:r>
      <w:r>
        <w:t xml:space="preserve"> collected from Maine and Greenland. </w:t>
      </w:r>
      <w:r w:rsidRPr="00FE3C5A">
        <w:rPr>
          <w:i/>
        </w:rPr>
        <w:t>Paleoceanography</w:t>
      </w:r>
      <w:r>
        <w:t xml:space="preserve"> 22:PA2217 </w:t>
      </w:r>
    </w:p>
    <w:p w14:paraId="28905095" w14:textId="2F8B247F" w:rsidR="00F4443A" w:rsidRPr="00F4443A" w:rsidRDefault="00F4443A" w:rsidP="00F4443A">
      <w:pPr>
        <w:jc w:val="right"/>
        <w:rPr>
          <w:rFonts w:ascii="Times New Roman" w:eastAsia="Times New Roman" w:hAnsi="Times New Roman" w:cs="Times New Roman"/>
        </w:rPr>
      </w:pPr>
    </w:p>
    <w:p w14:paraId="0AE8A2D1" w14:textId="01396E82" w:rsidR="003C7606" w:rsidRDefault="003C7606" w:rsidP="005515B7"/>
    <w:p w14:paraId="38534208" w14:textId="741262EA" w:rsidR="003C7606" w:rsidRPr="003C7606" w:rsidRDefault="003C7606" w:rsidP="003C7606">
      <w:pPr>
        <w:rPr>
          <w:rFonts w:ascii="Times New Roman" w:eastAsia="Times New Roman" w:hAnsi="Times New Roman" w:cs="Times New Roman"/>
        </w:rPr>
      </w:pPr>
    </w:p>
    <w:p w14:paraId="19BAF38F" w14:textId="425BC926" w:rsidR="003C7606" w:rsidRDefault="003C7606" w:rsidP="005515B7"/>
    <w:sectPr w:rsidR="003C7606" w:rsidSect="00484E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ED501C"/>
    <w:multiLevelType w:val="hybridMultilevel"/>
    <w:tmpl w:val="D306087A"/>
    <w:lvl w:ilvl="0" w:tplc="1580345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2A0"/>
    <w:rsid w:val="00003941"/>
    <w:rsid w:val="00015967"/>
    <w:rsid w:val="00017340"/>
    <w:rsid w:val="000344AE"/>
    <w:rsid w:val="00043923"/>
    <w:rsid w:val="000609EA"/>
    <w:rsid w:val="00072665"/>
    <w:rsid w:val="00083564"/>
    <w:rsid w:val="0009053C"/>
    <w:rsid w:val="000B4A0E"/>
    <w:rsid w:val="000C3F88"/>
    <w:rsid w:val="00102210"/>
    <w:rsid w:val="001061D8"/>
    <w:rsid w:val="00106C72"/>
    <w:rsid w:val="00110D28"/>
    <w:rsid w:val="0016137D"/>
    <w:rsid w:val="00162AA4"/>
    <w:rsid w:val="00166F5A"/>
    <w:rsid w:val="00167B1F"/>
    <w:rsid w:val="0017286D"/>
    <w:rsid w:val="0017645C"/>
    <w:rsid w:val="0017688D"/>
    <w:rsid w:val="00182402"/>
    <w:rsid w:val="001957A8"/>
    <w:rsid w:val="001D7500"/>
    <w:rsid w:val="002324D4"/>
    <w:rsid w:val="0023314C"/>
    <w:rsid w:val="00244291"/>
    <w:rsid w:val="0025559F"/>
    <w:rsid w:val="00263175"/>
    <w:rsid w:val="00264B67"/>
    <w:rsid w:val="002702A0"/>
    <w:rsid w:val="00275740"/>
    <w:rsid w:val="00284A00"/>
    <w:rsid w:val="002B5BE9"/>
    <w:rsid w:val="002C4519"/>
    <w:rsid w:val="002C4647"/>
    <w:rsid w:val="002D19D6"/>
    <w:rsid w:val="002D476A"/>
    <w:rsid w:val="002E18DB"/>
    <w:rsid w:val="0032043D"/>
    <w:rsid w:val="00330CB0"/>
    <w:rsid w:val="003726D5"/>
    <w:rsid w:val="00374531"/>
    <w:rsid w:val="003A00F6"/>
    <w:rsid w:val="003C7606"/>
    <w:rsid w:val="003E22D6"/>
    <w:rsid w:val="003E3363"/>
    <w:rsid w:val="003F192D"/>
    <w:rsid w:val="00427C16"/>
    <w:rsid w:val="00472506"/>
    <w:rsid w:val="00484E33"/>
    <w:rsid w:val="004C11A5"/>
    <w:rsid w:val="004F3DD9"/>
    <w:rsid w:val="00522498"/>
    <w:rsid w:val="005515B7"/>
    <w:rsid w:val="00597C36"/>
    <w:rsid w:val="005A73EA"/>
    <w:rsid w:val="005E0C35"/>
    <w:rsid w:val="00605569"/>
    <w:rsid w:val="006361BA"/>
    <w:rsid w:val="00646123"/>
    <w:rsid w:val="00662724"/>
    <w:rsid w:val="00692985"/>
    <w:rsid w:val="006C34A6"/>
    <w:rsid w:val="006E6F36"/>
    <w:rsid w:val="006F4F16"/>
    <w:rsid w:val="00713D71"/>
    <w:rsid w:val="00741B16"/>
    <w:rsid w:val="00790ABB"/>
    <w:rsid w:val="007A3DF0"/>
    <w:rsid w:val="007A621C"/>
    <w:rsid w:val="007F6DDE"/>
    <w:rsid w:val="008012B5"/>
    <w:rsid w:val="00893411"/>
    <w:rsid w:val="008A7DF0"/>
    <w:rsid w:val="008B24F6"/>
    <w:rsid w:val="008C75D4"/>
    <w:rsid w:val="008D401A"/>
    <w:rsid w:val="008E2763"/>
    <w:rsid w:val="008F347B"/>
    <w:rsid w:val="009204C7"/>
    <w:rsid w:val="009438A3"/>
    <w:rsid w:val="00950192"/>
    <w:rsid w:val="009A3C2F"/>
    <w:rsid w:val="009A5F87"/>
    <w:rsid w:val="009F1A93"/>
    <w:rsid w:val="00A317A3"/>
    <w:rsid w:val="00A35B1B"/>
    <w:rsid w:val="00A65439"/>
    <w:rsid w:val="00A7047C"/>
    <w:rsid w:val="00A736E1"/>
    <w:rsid w:val="00A94CD4"/>
    <w:rsid w:val="00AD2F67"/>
    <w:rsid w:val="00B33626"/>
    <w:rsid w:val="00B6209F"/>
    <w:rsid w:val="00B71F9A"/>
    <w:rsid w:val="00B97B70"/>
    <w:rsid w:val="00BC47E3"/>
    <w:rsid w:val="00BD0571"/>
    <w:rsid w:val="00BF5FDD"/>
    <w:rsid w:val="00C15404"/>
    <w:rsid w:val="00C36969"/>
    <w:rsid w:val="00CC0D38"/>
    <w:rsid w:val="00CC7EED"/>
    <w:rsid w:val="00CD1E90"/>
    <w:rsid w:val="00CF6C4D"/>
    <w:rsid w:val="00D162CF"/>
    <w:rsid w:val="00DB68C3"/>
    <w:rsid w:val="00E165E6"/>
    <w:rsid w:val="00E20519"/>
    <w:rsid w:val="00E21CD8"/>
    <w:rsid w:val="00E222FE"/>
    <w:rsid w:val="00E33C72"/>
    <w:rsid w:val="00E423CB"/>
    <w:rsid w:val="00E601CC"/>
    <w:rsid w:val="00E7683F"/>
    <w:rsid w:val="00F01EEF"/>
    <w:rsid w:val="00F01F0D"/>
    <w:rsid w:val="00F129C7"/>
    <w:rsid w:val="00F141CB"/>
    <w:rsid w:val="00F4443A"/>
    <w:rsid w:val="00F860AA"/>
    <w:rsid w:val="00F9119E"/>
    <w:rsid w:val="00FD3D0E"/>
    <w:rsid w:val="00FD7432"/>
    <w:rsid w:val="00FE3C5A"/>
    <w:rsid w:val="00FF5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434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2A0"/>
    <w:pPr>
      <w:ind w:left="720"/>
      <w:contextualSpacing/>
    </w:pPr>
  </w:style>
  <w:style w:type="character" w:styleId="CommentReference">
    <w:name w:val="annotation reference"/>
    <w:basedOn w:val="DefaultParagraphFont"/>
    <w:uiPriority w:val="99"/>
    <w:semiHidden/>
    <w:unhideWhenUsed/>
    <w:rsid w:val="005515B7"/>
    <w:rPr>
      <w:sz w:val="18"/>
      <w:szCs w:val="18"/>
    </w:rPr>
  </w:style>
  <w:style w:type="paragraph" w:styleId="CommentText">
    <w:name w:val="annotation text"/>
    <w:basedOn w:val="Normal"/>
    <w:link w:val="CommentTextChar"/>
    <w:uiPriority w:val="99"/>
    <w:semiHidden/>
    <w:unhideWhenUsed/>
    <w:rsid w:val="005515B7"/>
  </w:style>
  <w:style w:type="character" w:customStyle="1" w:styleId="CommentTextChar">
    <w:name w:val="Comment Text Char"/>
    <w:basedOn w:val="DefaultParagraphFont"/>
    <w:link w:val="CommentText"/>
    <w:uiPriority w:val="99"/>
    <w:semiHidden/>
    <w:rsid w:val="005515B7"/>
  </w:style>
  <w:style w:type="paragraph" w:styleId="CommentSubject">
    <w:name w:val="annotation subject"/>
    <w:basedOn w:val="CommentText"/>
    <w:next w:val="CommentText"/>
    <w:link w:val="CommentSubjectChar"/>
    <w:uiPriority w:val="99"/>
    <w:semiHidden/>
    <w:unhideWhenUsed/>
    <w:rsid w:val="005515B7"/>
    <w:rPr>
      <w:b/>
      <w:bCs/>
      <w:sz w:val="20"/>
      <w:szCs w:val="20"/>
    </w:rPr>
  </w:style>
  <w:style w:type="character" w:customStyle="1" w:styleId="CommentSubjectChar">
    <w:name w:val="Comment Subject Char"/>
    <w:basedOn w:val="CommentTextChar"/>
    <w:link w:val="CommentSubject"/>
    <w:uiPriority w:val="99"/>
    <w:semiHidden/>
    <w:rsid w:val="005515B7"/>
    <w:rPr>
      <w:b/>
      <w:bCs/>
      <w:sz w:val="20"/>
      <w:szCs w:val="20"/>
    </w:rPr>
  </w:style>
  <w:style w:type="paragraph" w:styleId="BalloonText">
    <w:name w:val="Balloon Text"/>
    <w:basedOn w:val="Normal"/>
    <w:link w:val="BalloonTextChar"/>
    <w:uiPriority w:val="99"/>
    <w:semiHidden/>
    <w:unhideWhenUsed/>
    <w:rsid w:val="005515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515B7"/>
    <w:rPr>
      <w:rFonts w:ascii="Times New Roman" w:hAnsi="Times New Roman" w:cs="Times New Roman"/>
      <w:sz w:val="18"/>
      <w:szCs w:val="18"/>
    </w:rPr>
  </w:style>
  <w:style w:type="character" w:styleId="PlaceholderText">
    <w:name w:val="Placeholder Text"/>
    <w:basedOn w:val="DefaultParagraphFont"/>
    <w:uiPriority w:val="99"/>
    <w:semiHidden/>
    <w:rsid w:val="00AD2F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254775">
      <w:bodyDiv w:val="1"/>
      <w:marLeft w:val="0"/>
      <w:marRight w:val="0"/>
      <w:marTop w:val="0"/>
      <w:marBottom w:val="0"/>
      <w:divBdr>
        <w:top w:val="none" w:sz="0" w:space="0" w:color="auto"/>
        <w:left w:val="none" w:sz="0" w:space="0" w:color="auto"/>
        <w:bottom w:val="none" w:sz="0" w:space="0" w:color="auto"/>
        <w:right w:val="none" w:sz="0" w:space="0" w:color="auto"/>
      </w:divBdr>
    </w:div>
    <w:div w:id="1114640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DCC306A-51F0-8144-A628-871B9A10D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Western Colorado University</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Houston</dc:creator>
  <cp:keywords/>
  <dc:description/>
  <cp:lastModifiedBy>Derek Houston</cp:lastModifiedBy>
  <cp:revision>6</cp:revision>
  <dcterms:created xsi:type="dcterms:W3CDTF">2019-01-27T05:05:00Z</dcterms:created>
  <dcterms:modified xsi:type="dcterms:W3CDTF">2019-08-29T22:12:00Z</dcterms:modified>
</cp:coreProperties>
</file>