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200"/>
        <w:gridCol w:w="4024"/>
      </w:tblGrid>
      <w:tr>
        <w:tc>
          <w:tcPr>
            <w:tcW w:type="dxa" w:w="6200"/>
            <w:tcBorders>
              <w:top w:val="none" w:color="FFFFFF" w:sz="0"/>
              <w:left w:val="none" w:color="FFFFFF" w:sz="0"/>
              <w:bottom w:val="none" w:color="FFFFFF" w:sz="0"/>
              <w:right w:val="none" w:color="FFFFFF" w:sz="0"/>
            </w:tcBorders>
            <w:shd w:fill="1a0a2e" w:val="clear"/>
            <w:tcMar>
              <w:top w:type="dxa" w:w="160"/>
              <w:left w:type="dxa" w:w="200"/>
              <w:bottom w:type="dxa" w:w="160"/>
              <w:right w:type="dxa" w:w="200"/>
            </w:tcMar>
            <w:vAlign w:val="top"/>
          </w:tcPr>
          <w:p>
            <w:pPr>
              <w:spacing w:after="30" w:before="0"/>
            </w:pPr>
            <w:r>
              <w:rPr>
                <w:rFonts w:ascii="Arial" w:cs="Arial" w:eastAsia="Arial" w:hAnsi="Arial"/>
                <w:b/>
                <w:bCs/>
                <w:color w:val="FFFFFF"/>
                <w:spacing w:val="100"/>
                <w:sz w:val="56"/>
                <w:szCs w:val="56"/>
              </w:rPr>
              <w:t xml:space="preserve">SYNERGY</w:t>
            </w:r>
          </w:p>
          <w:p>
            <w:pPr>
              <w:spacing w:after="0" w:before="0"/>
            </w:pPr>
            <w:r>
              <w:rPr>
                <w:rFonts w:ascii="Arial" w:cs="Arial" w:eastAsia="Arial" w:hAnsi="Arial"/>
                <w:color w:val="c9a8ff"/>
                <w:sz w:val="19"/>
                <w:szCs w:val="19"/>
              </w:rPr>
              <w:t xml:space="preserve">The AI-Powered Astrology Dating App</w:t>
            </w:r>
          </w:p>
        </w:tc>
        <w:tc>
          <w:tcPr>
            <w:tcW w:type="dxa" w:w="4024"/>
            <w:tcBorders>
              <w:top w:val="none" w:color="FFFFFF" w:sz="0"/>
              <w:left w:val="none" w:color="FFFFFF" w:sz="0"/>
              <w:bottom w:val="none" w:color="FFFFFF" w:sz="0"/>
              <w:right w:val="none" w:color="FFFFFF" w:sz="0"/>
            </w:tcBorders>
            <w:shd w:fill="1a0a2e" w:val="clear"/>
            <w:tcMar>
              <w:top w:type="dxa" w:w="160"/>
              <w:left w:type="dxa" w:w="200"/>
              <w:bottom w:type="dxa" w:w="160"/>
              <w:right w:type="dxa" w:w="200"/>
            </w:tcMar>
            <w:vAlign w:val="center"/>
          </w:tcPr>
          <w:p>
            <w:pPr>
              <w:spacing w:after="30" w:before="0"/>
              <w:jc w:val="right"/>
            </w:pPr>
            <w:r>
              <w:rPr>
                <w:rFonts w:ascii="Arial" w:cs="Arial" w:eastAsia="Arial" w:hAnsi="Arial"/>
                <w:b/>
                <w:bCs/>
                <w:color w:val="d4a843"/>
                <w:sz w:val="24"/>
                <w:szCs w:val="24"/>
              </w:rPr>
              <w:t xml:space="preserve">Seed Round  ·  £1.8M</w:t>
            </w:r>
          </w:p>
          <w:p>
            <w:pPr>
              <w:spacing w:after="0" w:before="0"/>
              <w:jc w:val="right"/>
            </w:pPr>
            <w:r>
              <w:rPr>
                <w:rFonts w:ascii="Arial" w:cs="Arial" w:eastAsia="Arial" w:hAnsi="Arial"/>
                <w:color w:val="8b6db8"/>
                <w:sz w:val="17"/>
                <w:szCs w:val="17"/>
              </w:rPr>
              <w:t xml:space="preserve">hello@synergy.app  ·  synergy.app</w:t>
            </w:r>
          </w:p>
        </w:tc>
      </w:tr>
    </w:tbl>
    <w:p>
      <w:pPr>
        <w:spacing w:after="80" w:before="120"/>
      </w:pPr>
      <w:r>
        <w:rPr>
          <w:rFonts w:ascii="Arial" w:cs="Arial" w:eastAsia="Arial" w:hAnsi="Arial"/>
          <w:i/>
          <w:iCs/>
          <w:color w:val="7c4dbd"/>
          <w:sz w:val="19"/>
          <w:szCs w:val="19"/>
        </w:rPr>
        <w:t xml:space="preserve">Connecting people through cosmic compatibility — where full birth chart synastry meets modern dating.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880"/>
        <w:gridCol w:w="200"/>
        <w:gridCol w:w="5144"/>
      </w:tblGrid>
      <w:tr>
        <w:tc>
          <w:tcPr>
            <w:tcW w:type="dxa" w:w="488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THE PROBLEM</w:t>
            </w:r>
          </w:p>
          <w:p>
            <w:pPr>
              <w:spacing w:after="55" w:before="0"/>
              <w:jc w:val="left"/>
            </w:pPr>
            <w:r>
              <w:rPr>
                <w:rFonts w:ascii="Arial" w:cs="Arial" w:eastAsia="Arial" w:hAnsi="Arial"/>
                <w:b/>
                <w:bCs/>
                <w:color w:val="1a0a2e"/>
                <w:sz w:val="20"/>
                <w:szCs w:val="20"/>
              </w:rPr>
              <w:t xml:space="preserve">Dating apps are broken.</w:t>
            </w:r>
          </w:p>
          <w:p>
            <w:pPr>
              <w:spacing w:after="70" w:before="0"/>
              <w:jc w:val="left"/>
            </w:pPr>
            <w:r>
              <w:rPr>
                <w:rFonts w:ascii="Arial" w:cs="Arial" w:eastAsia="Arial" w:hAnsi="Arial"/>
                <w:color w:val="64748b"/>
                <w:sz w:val="19"/>
                <w:szCs w:val="19"/>
              </w:rPr>
              <w:t xml:space="preserve">73% of users quit within 3 months. Matching on photos creates hollow connections. No daily reason to return. Conversations die at 'hey'.</w:t>
            </w:r>
          </w:p>
          <w:p>
            <w:pPr>
              <w:spacing w:after="80" w:before="0"/>
              <w:jc w:val="left"/>
            </w:pPr>
            <w:r>
              <w:rPr>
                <w:rFonts w:ascii="Arial" w:cs="Arial" w:eastAsia="Arial" w:hAnsi="Arial"/>
                <w:i/>
                <w:iCs/>
                <w:color w:val="1a0a2e"/>
                <w:sz w:val="19"/>
                <w:szCs w:val="19"/>
              </w:rPr>
              <w:t xml:space="preserve">Meanwhile, 91% of Gen Z engage with astrology content — but nobody has built a dating product that takes it seriously.</w:t>
            </w:r>
          </w:p>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THE SOLUTION</w:t>
            </w:r>
          </w:p>
          <w:p>
            <w:pPr>
              <w:spacing w:after="55" w:before="0"/>
              <w:jc w:val="left"/>
            </w:pPr>
            <w:r>
              <w:rPr>
                <w:rFonts w:ascii="Arial" w:cs="Arial" w:eastAsia="Arial" w:hAnsi="Arial"/>
                <w:b/>
                <w:bCs/>
                <w:color w:val="1a0a2e"/>
                <w:sz w:val="20"/>
                <w:szCs w:val="20"/>
              </w:rPr>
              <w:t xml:space="preserve">Synergy is the first dating app built on full birth chart compatibility.</w:t>
            </w:r>
          </w:p>
          <w:p>
            <w:pPr>
              <w:pStyle w:val="ListParagraph"/>
              <w:numPr>
                <w:ilvl w:val="0"/>
                <w:numId w:val="2"/>
              </w:numPr>
              <w:spacing w:after="35" w:before="35"/>
            </w:pPr>
            <w:r>
              <w:rPr>
                <w:rFonts w:ascii="Arial" w:cs="Arial" w:eastAsia="Arial" w:hAnsi="Arial"/>
                <w:color w:val="64748b"/>
                <w:sz w:val="17"/>
                <w:szCs w:val="17"/>
              </w:rPr>
              <w:t xml:space="preserve">Full synastry matching across 12 planets — not just sun signs</w:t>
            </w:r>
          </w:p>
          <w:p>
            <w:pPr>
              <w:pStyle w:val="ListParagraph"/>
              <w:numPr>
                <w:ilvl w:val="0"/>
                <w:numId w:val="2"/>
              </w:numPr>
              <w:spacing w:after="35" w:before="35"/>
            </w:pPr>
            <w:r>
              <w:rPr>
                <w:rFonts w:ascii="Arial" w:cs="Arial" w:eastAsia="Arial" w:hAnsi="Arial"/>
                <w:color w:val="64748b"/>
                <w:sz w:val="17"/>
                <w:szCs w:val="17"/>
              </w:rPr>
              <w:t xml:space="preserve">Cosmic Match Score™ that shifts daily with planetary transits</w:t>
            </w:r>
          </w:p>
          <w:p>
            <w:pPr>
              <w:pStyle w:val="ListParagraph"/>
              <w:numPr>
                <w:ilvl w:val="0"/>
                <w:numId w:val="2"/>
              </w:numPr>
              <w:spacing w:after="35" w:before="35"/>
            </w:pPr>
            <w:r>
              <w:rPr>
                <w:rFonts w:ascii="Arial" w:cs="Arial" w:eastAsia="Arial" w:hAnsi="Arial"/>
                <w:color w:val="64748b"/>
                <w:sz w:val="17"/>
                <w:szCs w:val="17"/>
              </w:rPr>
              <w:t xml:space="preserve">AI icebreakers built from both users' chart data</w:t>
            </w:r>
          </w:p>
          <w:p>
            <w:pPr>
              <w:pStyle w:val="ListParagraph"/>
              <w:numPr>
                <w:ilvl w:val="0"/>
                <w:numId w:val="2"/>
              </w:numPr>
              <w:spacing w:after="35" w:before="35"/>
            </w:pPr>
            <w:r>
              <w:rPr>
                <w:rFonts w:ascii="Arial" w:cs="Arial" w:eastAsia="Arial" w:hAnsi="Arial"/>
                <w:color w:val="64748b"/>
                <w:sz w:val="17"/>
                <w:szCs w:val="17"/>
              </w:rPr>
              <w:t xml:space="preserve">Ritual engine — new moon events, lunar challenges, daily readings</w:t>
            </w:r>
          </w:p>
          <w:p>
            <w:pPr>
              <w:pStyle w:val="ListParagraph"/>
              <w:numPr>
                <w:ilvl w:val="0"/>
                <w:numId w:val="2"/>
              </w:numPr>
              <w:spacing w:after="35" w:before="35"/>
            </w:pPr>
            <w:r>
              <w:rPr>
                <w:rFonts w:ascii="Arial" w:cs="Arial" w:eastAsia="Arial" w:hAnsi="Arial"/>
                <w:color w:val="64748b"/>
                <w:sz w:val="17"/>
                <w:szCs w:val="17"/>
              </w:rPr>
              <w:t xml:space="preserve">7-step onboarding with animated chart reveal as the first 'aha' moment</w:t>
            </w:r>
          </w:p>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THE MARKET</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220"/>
              <w:gridCol w:w="1220"/>
              <w:gridCol w:w="1220"/>
              <w:gridCol w:w="1220"/>
            </w:tblGrid>
            <w:tr>
              <w:tc>
                <w:tcPr>
                  <w:tcW w:type="dxa" w:w="1220"/>
                  <w:tcBorders>
                    <w:top w:val="single" w:color="ddd6f3" w:sz="3"/>
                    <w:left w:val="single" w:color="ddd6f3" w:sz="3"/>
                    <w:bottom w:val="single" w:color="ddd6f3" w:sz="3"/>
                    <w:right w:val="single" w:color="ddd6f3" w:sz="3"/>
                  </w:tcBorders>
                  <w:shd w:fill="eeedfe" w:val="clear"/>
                  <w:tcMar>
                    <w:top w:type="dxa" w:w="90"/>
                    <w:left w:type="dxa" w:w="80"/>
                    <w:bottom w:type="dxa" w:w="90"/>
                    <w:right w:type="dxa" w:w="80"/>
                  </w:tcMar>
                </w:tcPr>
                <w:p>
                  <w:pPr>
                    <w:spacing w:after="20" w:before="30"/>
                    <w:jc w:val="center"/>
                  </w:pPr>
                  <w:r>
                    <w:rPr>
                      <w:rFonts w:ascii="Arial" w:cs="Arial" w:eastAsia="Arial" w:hAnsi="Arial"/>
                      <w:b/>
                      <w:bCs/>
                      <w:color w:val="7c4dbd"/>
                      <w:sz w:val="36"/>
                      <w:szCs w:val="36"/>
                    </w:rPr>
                    <w:t xml:space="preserve">$9.9B</w:t>
                  </w:r>
                </w:p>
                <w:p>
                  <w:pPr>
                    <w:spacing w:after="40" w:before="0"/>
                    <w:jc w:val="center"/>
                  </w:pPr>
                  <w:r>
                    <w:rPr>
                      <w:rFonts w:ascii="Arial" w:cs="Arial" w:eastAsia="Arial" w:hAnsi="Arial"/>
                      <w:color w:val="64748b"/>
                      <w:sz w:val="15"/>
                      <w:szCs w:val="15"/>
                    </w:rPr>
                    <w:t xml:space="preserve">Dating app
market 2028</w:t>
                  </w:r>
                </w:p>
              </w:tc>
              <w:tc>
                <w:tcPr>
                  <w:tcW w:type="dxa" w:w="1220"/>
                  <w:tcBorders>
                    <w:top w:val="single" w:color="ddd6f3" w:sz="3"/>
                    <w:left w:val="single" w:color="ddd6f3" w:sz="3"/>
                    <w:bottom w:val="single" w:color="ddd6f3" w:sz="3"/>
                    <w:right w:val="single" w:color="ddd6f3" w:sz="3"/>
                  </w:tcBorders>
                  <w:shd w:fill="eeedfe" w:val="clear"/>
                  <w:tcMar>
                    <w:top w:type="dxa" w:w="90"/>
                    <w:left w:type="dxa" w:w="80"/>
                    <w:bottom w:type="dxa" w:w="90"/>
                    <w:right w:type="dxa" w:w="80"/>
                  </w:tcMar>
                </w:tcPr>
                <w:p>
                  <w:pPr>
                    <w:spacing w:after="20" w:before="30"/>
                    <w:jc w:val="center"/>
                  </w:pPr>
                  <w:r>
                    <w:rPr>
                      <w:rFonts w:ascii="Arial" w:cs="Arial" w:eastAsia="Arial" w:hAnsi="Arial"/>
                      <w:b/>
                      <w:bCs/>
                      <w:color w:val="7c4dbd"/>
                      <w:sz w:val="36"/>
                      <w:szCs w:val="36"/>
                    </w:rPr>
                    <w:t xml:space="preserve">91%</w:t>
                  </w:r>
                </w:p>
                <w:p>
                  <w:pPr>
                    <w:spacing w:after="40" w:before="0"/>
                    <w:jc w:val="center"/>
                  </w:pPr>
                  <w:r>
                    <w:rPr>
                      <w:rFonts w:ascii="Arial" w:cs="Arial" w:eastAsia="Arial" w:hAnsi="Arial"/>
                      <w:color w:val="64748b"/>
                      <w:sz w:val="15"/>
                      <w:szCs w:val="15"/>
                    </w:rPr>
                    <w:t xml:space="preserve">Gen Z + astrology
content</w:t>
                  </w:r>
                </w:p>
              </w:tc>
              <w:tc>
                <w:tcPr>
                  <w:tcW w:type="dxa" w:w="1220"/>
                  <w:tcBorders>
                    <w:top w:val="single" w:color="ddd6f3" w:sz="3"/>
                    <w:left w:val="single" w:color="ddd6f3" w:sz="3"/>
                    <w:bottom w:val="single" w:color="ddd6f3" w:sz="3"/>
                    <w:right w:val="single" w:color="ddd6f3" w:sz="3"/>
                  </w:tcBorders>
                  <w:shd w:fill="eeedfe" w:val="clear"/>
                  <w:tcMar>
                    <w:top w:type="dxa" w:w="90"/>
                    <w:left w:type="dxa" w:w="80"/>
                    <w:bottom w:type="dxa" w:w="90"/>
                    <w:right w:type="dxa" w:w="80"/>
                  </w:tcMar>
                </w:tcPr>
                <w:p>
                  <w:pPr>
                    <w:spacing w:after="20" w:before="30"/>
                    <w:jc w:val="center"/>
                  </w:pPr>
                  <w:r>
                    <w:rPr>
                      <w:rFonts w:ascii="Arial" w:cs="Arial" w:eastAsia="Arial" w:hAnsi="Arial"/>
                      <w:b/>
                      <w:bCs/>
                      <w:color w:val="7c4dbd"/>
                      <w:sz w:val="36"/>
                      <w:szCs w:val="36"/>
                    </w:rPr>
                    <w:t xml:space="preserve">£170</w:t>
                  </w:r>
                </w:p>
                <w:p>
                  <w:pPr>
                    <w:spacing w:after="40" w:before="0"/>
                    <w:jc w:val="center"/>
                  </w:pPr>
                  <w:r>
                    <w:rPr>
                      <w:rFonts w:ascii="Arial" w:cs="Arial" w:eastAsia="Arial" w:hAnsi="Arial"/>
                      <w:color w:val="64748b"/>
                      <w:sz w:val="15"/>
                      <w:szCs w:val="15"/>
                    </w:rPr>
                    <w:t xml:space="preserve">LTV per
paid user</w:t>
                  </w:r>
                </w:p>
              </w:tc>
              <w:tc>
                <w:tcPr>
                  <w:tcW w:type="dxa" w:w="1220"/>
                  <w:tcBorders>
                    <w:top w:val="single" w:color="ddd6f3" w:sz="3"/>
                    <w:left w:val="single" w:color="ddd6f3" w:sz="3"/>
                    <w:bottom w:val="single" w:color="ddd6f3" w:sz="3"/>
                    <w:right w:val="single" w:color="ddd6f3" w:sz="3"/>
                  </w:tcBorders>
                  <w:shd w:fill="eeedfe" w:val="clear"/>
                  <w:tcMar>
                    <w:top w:type="dxa" w:w="90"/>
                    <w:left w:type="dxa" w:w="80"/>
                    <w:bottom w:type="dxa" w:w="90"/>
                    <w:right w:type="dxa" w:w="80"/>
                  </w:tcMar>
                </w:tcPr>
                <w:p>
                  <w:pPr>
                    <w:spacing w:after="20" w:before="30"/>
                    <w:jc w:val="center"/>
                  </w:pPr>
                  <w:r>
                    <w:rPr>
                      <w:rFonts w:ascii="Arial" w:cs="Arial" w:eastAsia="Arial" w:hAnsi="Arial"/>
                      <w:b/>
                      <w:bCs/>
                      <w:color w:val="7c4dbd"/>
                      <w:sz w:val="36"/>
                      <w:szCs w:val="36"/>
                    </w:rPr>
                    <w:t xml:space="preserve">53x</w:t>
                  </w:r>
                </w:p>
                <w:p>
                  <w:pPr>
                    <w:spacing w:after="40" w:before="0"/>
                    <w:jc w:val="center"/>
                  </w:pPr>
                  <w:r>
                    <w:rPr>
                      <w:rFonts w:ascii="Arial" w:cs="Arial" w:eastAsia="Arial" w:hAnsi="Arial"/>
                      <w:color w:val="64748b"/>
                      <w:sz w:val="15"/>
                      <w:szCs w:val="15"/>
                    </w:rPr>
                    <w:t xml:space="preserve">LTV/CAC
Year 2</w:t>
                  </w:r>
                </w:p>
              </w:tc>
            </w:tr>
          </w:tbl>
          <w:p>
            <w:pPr>
              <w:spacing w:after="0" w:before="80"/>
            </w:pPr>
          </w:p>
          <w:p>
            <w:pPr>
              <w:spacing w:after="90" w:before="0"/>
              <w:jc w:val="left"/>
            </w:pPr>
            <w:r>
              <w:rPr>
                <w:rFonts w:ascii="Arial" w:cs="Arial" w:eastAsia="Arial" w:hAnsi="Arial"/>
                <w:color w:val="64748b"/>
                <w:sz w:val="19"/>
                <w:szCs w:val="19"/>
              </w:rPr>
              <w:t xml:space="preserve">The intersection of dating ($9.9B) and spirituality/wellness ($6.3B) is entirely unserved. Co-Star has the astrology audience. Tinder has the dating audience. Nobody has both.</w:t>
            </w:r>
          </w:p>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MONETISATION</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626"/>
              <w:gridCol w:w="1626"/>
              <w:gridCol w:w="1626"/>
            </w:tblGrid>
            <w:tr>
              <w:tc>
                <w:tcPr>
                  <w:tcW w:type="dxa" w:w="1626"/>
                  <w:tcBorders>
                    <w:top w:val="single" w:color="ddd6f3" w:sz="3"/>
                    <w:left w:val="single" w:color="ddd6f3" w:sz="3"/>
                    <w:bottom w:val="single" w:color="ddd6f3" w:sz="3"/>
                    <w:right w:val="single" w:color="ddd6f3" w:sz="3"/>
                  </w:tcBorders>
                  <w:shd w:fill="f5f0ff" w:val="clear"/>
                  <w:tcMar>
                    <w:top w:type="dxa" w:w="80"/>
                    <w:left w:type="dxa" w:w="100"/>
                    <w:bottom w:type="dxa" w:w="80"/>
                    <w:right w:type="dxa" w:w="100"/>
                  </w:tcMar>
                </w:tcPr>
                <w:p>
                  <w:pPr>
                    <w:spacing w:after="30" w:before="0"/>
                  </w:pPr>
                  <w:r>
                    <w:rPr>
                      <w:rFonts w:ascii="Arial" w:cs="Arial" w:eastAsia="Arial" w:hAnsi="Arial"/>
                      <w:b/>
                      <w:bCs/>
                      <w:color w:val="7c4dbd"/>
                      <w:sz w:val="18"/>
                      <w:szCs w:val="18"/>
                    </w:rPr>
                    <w:t xml:space="preserve">Stardust</w:t>
                  </w:r>
                </w:p>
                <w:p>
                  <w:pPr>
                    <w:spacing w:after="70" w:before="0"/>
                  </w:pPr>
                  <w:r>
                    <w:rPr>
                      <w:rFonts w:ascii="Arial" w:cs="Arial" w:eastAsia="Arial" w:hAnsi="Arial"/>
                      <w:color w:val="64748b"/>
                      <w:sz w:val="15"/>
                      <w:szCs w:val="15"/>
                    </w:rPr>
                    <w:t xml:space="preserve">Free · £0/mo</w:t>
                  </w:r>
                </w:p>
                <w:p>
                  <w:pPr>
                    <w:pStyle w:val="ListParagraph"/>
                    <w:numPr>
                      <w:ilvl w:val="0"/>
                      <w:numId w:val="2"/>
                    </w:numPr>
                    <w:spacing w:after="18" w:before="18"/>
                  </w:pPr>
                  <w:r>
                    <w:rPr>
                      <w:rFonts w:ascii="Arial" w:cs="Arial" w:eastAsia="Arial" w:hAnsi="Arial"/>
                      <w:color w:val="64748b"/>
                      <w:sz w:val="16"/>
                      <w:szCs w:val="16"/>
                    </w:rPr>
                    <w:t xml:space="preserve">Sun sign matching</w:t>
                  </w:r>
                </w:p>
                <w:p>
                  <w:pPr>
                    <w:pStyle w:val="ListParagraph"/>
                    <w:numPr>
                      <w:ilvl w:val="0"/>
                      <w:numId w:val="2"/>
                    </w:numPr>
                    <w:spacing w:after="18" w:before="18"/>
                  </w:pPr>
                  <w:r>
                    <w:rPr>
                      <w:rFonts w:ascii="Arial" w:cs="Arial" w:eastAsia="Arial" w:hAnsi="Arial"/>
                      <w:color w:val="64748b"/>
                      <w:sz w:val="16"/>
                      <w:szCs w:val="16"/>
                    </w:rPr>
                    <w:t xml:space="preserve">5 daily swipes</w:t>
                  </w:r>
                </w:p>
                <w:p>
                  <w:pPr>
                    <w:pStyle w:val="ListParagraph"/>
                    <w:numPr>
                      <w:ilvl w:val="0"/>
                      <w:numId w:val="2"/>
                    </w:numPr>
                    <w:spacing w:after="18" w:before="18"/>
                  </w:pPr>
                  <w:r>
                    <w:rPr>
                      <w:rFonts w:ascii="Arial" w:cs="Arial" w:eastAsia="Arial" w:hAnsi="Arial"/>
                      <w:color w:val="64748b"/>
                      <w:sz w:val="16"/>
                      <w:szCs w:val="16"/>
                    </w:rPr>
                    <w:t xml:space="preserve">Daily horoscope</w:t>
                  </w:r>
                </w:p>
                <w:p>
                  <w:pPr>
                    <w:pStyle w:val="ListParagraph"/>
                    <w:numPr>
                      <w:ilvl w:val="0"/>
                      <w:numId w:val="2"/>
                    </w:numPr>
                    <w:spacing w:after="18" w:before="18"/>
                  </w:pPr>
                  <w:r>
                    <w:rPr>
                      <w:rFonts w:ascii="Arial" w:cs="Arial" w:eastAsia="Arial" w:hAnsi="Arial"/>
                      <w:color w:val="64748b"/>
                      <w:sz w:val="16"/>
                      <w:szCs w:val="16"/>
                    </w:rPr>
                    <w:t xml:space="preserve">Basic birth chart</w:t>
                  </w:r>
                </w:p>
              </w:tc>
              <w:tc>
                <w:tcPr>
                  <w:tcW w:type="dxa" w:w="1626"/>
                  <w:tcBorders>
                    <w:top w:val="single" w:color="ddd6f3" w:sz="3"/>
                    <w:left w:val="single" w:color="ddd6f3" w:sz="3"/>
                    <w:bottom w:val="single" w:color="ddd6f3" w:sz="3"/>
                    <w:right w:val="single" w:color="ddd6f3" w:sz="3"/>
                  </w:tcBorders>
                  <w:shd w:fill="eeedfe" w:val="clear"/>
                  <w:tcMar>
                    <w:top w:type="dxa" w:w="80"/>
                    <w:left w:type="dxa" w:w="100"/>
                    <w:bottom w:type="dxa" w:w="80"/>
                    <w:right w:type="dxa" w:w="100"/>
                  </w:tcMar>
                </w:tcPr>
                <w:p>
                  <w:pPr>
                    <w:spacing w:after="30" w:before="0"/>
                  </w:pPr>
                  <w:r>
                    <w:rPr>
                      <w:rFonts w:ascii="Arial" w:cs="Arial" w:eastAsia="Arial" w:hAnsi="Arial"/>
                      <w:b/>
                      <w:bCs/>
                      <w:color w:val="7c4dbd"/>
                      <w:sz w:val="18"/>
                      <w:szCs w:val="18"/>
                    </w:rPr>
                    <w:t xml:space="preserve">Cosmic ★</w:t>
                  </w:r>
                </w:p>
                <w:p>
                  <w:pPr>
                    <w:spacing w:after="70" w:before="0"/>
                  </w:pPr>
                  <w:r>
                    <w:rPr>
                      <w:rFonts w:ascii="Arial" w:cs="Arial" w:eastAsia="Arial" w:hAnsi="Arial"/>
                      <w:color w:val="64748b"/>
                      <w:sz w:val="15"/>
                      <w:szCs w:val="15"/>
                    </w:rPr>
                    <w:t xml:space="preserve">Most popular · £14.99/mo</w:t>
                  </w:r>
                </w:p>
                <w:p>
                  <w:pPr>
                    <w:pStyle w:val="ListParagraph"/>
                    <w:numPr>
                      <w:ilvl w:val="0"/>
                      <w:numId w:val="2"/>
                    </w:numPr>
                    <w:spacing w:after="18" w:before="18"/>
                  </w:pPr>
                  <w:r>
                    <w:rPr>
                      <w:rFonts w:ascii="Arial" w:cs="Arial" w:eastAsia="Arial" w:hAnsi="Arial"/>
                      <w:color w:val="64748b"/>
                      <w:sz w:val="16"/>
                      <w:szCs w:val="16"/>
                    </w:rPr>
                    <w:t xml:space="preserve">Full synastry</w:t>
                  </w:r>
                </w:p>
                <w:p>
                  <w:pPr>
                    <w:pStyle w:val="ListParagraph"/>
                    <w:numPr>
                      <w:ilvl w:val="0"/>
                      <w:numId w:val="2"/>
                    </w:numPr>
                    <w:spacing w:after="18" w:before="18"/>
                  </w:pPr>
                  <w:r>
                    <w:rPr>
                      <w:rFonts w:ascii="Arial" w:cs="Arial" w:eastAsia="Arial" w:hAnsi="Arial"/>
                      <w:color w:val="64748b"/>
                      <w:sz w:val="16"/>
                      <w:szCs w:val="16"/>
                    </w:rPr>
                    <w:t xml:space="preserve">Unlimited swipes</w:t>
                  </w:r>
                </w:p>
                <w:p>
                  <w:pPr>
                    <w:pStyle w:val="ListParagraph"/>
                    <w:numPr>
                      <w:ilvl w:val="0"/>
                      <w:numId w:val="2"/>
                    </w:numPr>
                    <w:spacing w:after="18" w:before="18"/>
                  </w:pPr>
                  <w:r>
                    <w:rPr>
                      <w:rFonts w:ascii="Arial" w:cs="Arial" w:eastAsia="Arial" w:hAnsi="Arial"/>
                      <w:color w:val="64748b"/>
                      <w:sz w:val="16"/>
                      <w:szCs w:val="16"/>
                    </w:rPr>
                    <w:t xml:space="preserve">Transit scores</w:t>
                  </w:r>
                </w:p>
                <w:p>
                  <w:pPr>
                    <w:pStyle w:val="ListParagraph"/>
                    <w:numPr>
                      <w:ilvl w:val="0"/>
                      <w:numId w:val="2"/>
                    </w:numPr>
                    <w:spacing w:after="18" w:before="18"/>
                  </w:pPr>
                  <w:r>
                    <w:rPr>
                      <w:rFonts w:ascii="Arial" w:cs="Arial" w:eastAsia="Arial" w:hAnsi="Arial"/>
                      <w:color w:val="64748b"/>
                      <w:sz w:val="16"/>
                      <w:szCs w:val="16"/>
                    </w:rPr>
                    <w:t xml:space="preserve">AI icebreakers</w:t>
                  </w:r>
                </w:p>
              </w:tc>
              <w:tc>
                <w:tcPr>
                  <w:tcW w:type="dxa" w:w="1626"/>
                  <w:tcBorders>
                    <w:top w:val="single" w:color="ddd6f3" w:sz="3"/>
                    <w:left w:val="single" w:color="ddd6f3" w:sz="3"/>
                    <w:bottom w:val="single" w:color="ddd6f3" w:sz="3"/>
                    <w:right w:val="single" w:color="ddd6f3" w:sz="3"/>
                  </w:tcBorders>
                  <w:shd w:fill="f5f0ff" w:val="clear"/>
                  <w:tcMar>
                    <w:top w:type="dxa" w:w="80"/>
                    <w:left w:type="dxa" w:w="100"/>
                    <w:bottom w:type="dxa" w:w="80"/>
                    <w:right w:type="dxa" w:w="100"/>
                  </w:tcMar>
                </w:tcPr>
                <w:p>
                  <w:pPr>
                    <w:spacing w:after="30" w:before="0"/>
                  </w:pPr>
                  <w:r>
                    <w:rPr>
                      <w:rFonts w:ascii="Arial" w:cs="Arial" w:eastAsia="Arial" w:hAnsi="Arial"/>
                      <w:b/>
                      <w:bCs/>
                      <w:color w:val="d4a843"/>
                      <w:sz w:val="18"/>
                      <w:szCs w:val="18"/>
                    </w:rPr>
                    <w:t xml:space="preserve">Oracle</w:t>
                  </w:r>
                </w:p>
                <w:p>
                  <w:pPr>
                    <w:spacing w:after="70" w:before="0"/>
                  </w:pPr>
                  <w:r>
                    <w:rPr>
                      <w:rFonts w:ascii="Arial" w:cs="Arial" w:eastAsia="Arial" w:hAnsi="Arial"/>
                      <w:color w:val="64748b"/>
                      <w:sz w:val="15"/>
                      <w:szCs w:val="15"/>
                    </w:rPr>
                    <w:t xml:space="preserve">Premium · £34.99/mo</w:t>
                  </w:r>
                </w:p>
                <w:p>
                  <w:pPr>
                    <w:pStyle w:val="ListParagraph"/>
                    <w:numPr>
                      <w:ilvl w:val="0"/>
                      <w:numId w:val="2"/>
                    </w:numPr>
                    <w:spacing w:after="18" w:before="18"/>
                  </w:pPr>
                  <w:r>
                    <w:rPr>
                      <w:rFonts w:ascii="Arial" w:cs="Arial" w:eastAsia="Arial" w:hAnsi="Arial"/>
                      <w:color w:val="64748b"/>
                      <w:sz w:val="16"/>
                      <w:szCs w:val="16"/>
                    </w:rPr>
                    <w:t xml:space="preserve">Everything Cosmic</w:t>
                  </w:r>
                </w:p>
                <w:p>
                  <w:pPr>
                    <w:pStyle w:val="ListParagraph"/>
                    <w:numPr>
                      <w:ilvl w:val="0"/>
                      <w:numId w:val="2"/>
                    </w:numPr>
                    <w:spacing w:after="18" w:before="18"/>
                  </w:pPr>
                  <w:r>
                    <w:rPr>
                      <w:rFonts w:ascii="Arial" w:cs="Arial" w:eastAsia="Arial" w:hAnsi="Arial"/>
                      <w:color w:val="64748b"/>
                      <w:sz w:val="16"/>
                      <w:szCs w:val="16"/>
                    </w:rPr>
                    <w:t xml:space="preserve">Live astrologer</w:t>
                  </w:r>
                </w:p>
                <w:p>
                  <w:pPr>
                    <w:pStyle w:val="ListParagraph"/>
                    <w:numPr>
                      <w:ilvl w:val="0"/>
                      <w:numId w:val="2"/>
                    </w:numPr>
                    <w:spacing w:after="18" w:before="18"/>
                  </w:pPr>
                  <w:r>
                    <w:rPr>
                      <w:rFonts w:ascii="Arial" w:cs="Arial" w:eastAsia="Arial" w:hAnsi="Arial"/>
                      <w:color w:val="64748b"/>
                      <w:sz w:val="16"/>
                      <w:szCs w:val="16"/>
                    </w:rPr>
                    <w:t xml:space="preserve">Annual forecast</w:t>
                  </w:r>
                </w:p>
                <w:p>
                  <w:pPr>
                    <w:pStyle w:val="ListParagraph"/>
                    <w:numPr>
                      <w:ilvl w:val="0"/>
                      <w:numId w:val="2"/>
                    </w:numPr>
                    <w:spacing w:after="18" w:before="18"/>
                  </w:pPr>
                  <w:r>
                    <w:rPr>
                      <w:rFonts w:ascii="Arial" w:cs="Arial" w:eastAsia="Arial" w:hAnsi="Arial"/>
                      <w:color w:val="64748b"/>
                      <w:sz w:val="16"/>
                      <w:szCs w:val="16"/>
                    </w:rPr>
                    <w:t xml:space="preserve">Vault</w:t>
                  </w:r>
                </w:p>
              </w:tc>
            </w:tr>
          </w:tbl>
          <w:p>
            <w:pPr>
              <w:spacing w:after="55" w:before="75"/>
            </w:pPr>
          </w:p>
          <w:p>
            <w:pPr>
              <w:spacing w:after="70" w:before="0"/>
              <w:jc w:val="left"/>
            </w:pPr>
            <w:r>
              <w:rPr>
                <w:rFonts w:ascii="Arial" w:cs="Arial" w:eastAsia="Arial" w:hAnsi="Arial"/>
                <w:i/>
                <w:iCs/>
                <w:color w:val="64748b"/>
                <w:sz w:val="18"/>
                <w:szCs w:val="18"/>
              </w:rPr>
              <w:t xml:space="preserve">Additional revenue: synastry reports (£9.99), astrologer sessions (£29), brand partnerships.</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144"/>
            <w:tcBorders>
              <w:top w:val="none" w:color="FFFFFF" w:sz="0"/>
              <w:left w:val="none" w:color="FFFFFF" w:sz="0"/>
              <w:bottom w:val="none" w:color="FFFFFF" w:sz="0"/>
              <w:right w:val="none" w:color="FFFFFF" w:sz="0"/>
            </w:tcBorders>
            <w:tcMar>
              <w:top w:type="dxa" w:w="0"/>
              <w:left w:type="dxa" w:w="120"/>
              <w:bottom w:type="dxa" w:w="0"/>
              <w:right w:type="dxa" w:w="0"/>
            </w:tcMar>
            <w:vAlign w:val="top"/>
          </w:tcPr>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FINANCIAL PROJECTIONS</w:t>
            </w:r>
          </w:p>
          <w:tbl>
            <w:tblPr>
              <w:tblW w:type="dxa" w:w="5144"/>
              <w:tblBorders>
                <w:top w:val="single" w:color="auto" w:sz="4"/>
                <w:left w:val="single" w:color="auto" w:sz="4"/>
                <w:bottom w:val="single" w:color="auto" w:sz="4"/>
                <w:right w:val="single" w:color="auto" w:sz="4"/>
                <w:insideH w:val="single" w:color="auto" w:sz="4"/>
                <w:insideV w:val="single" w:color="auto" w:sz="4"/>
              </w:tblBorders>
            </w:tblPr>
            <w:tblGrid>
              <w:gridCol w:w="1760"/>
              <w:gridCol w:w="1128"/>
              <w:gridCol w:w="1128"/>
              <w:gridCol w:w="1128"/>
            </w:tblGrid>
            <w:tr>
              <w:tc>
                <w:tcPr>
                  <w:tcW w:type="dxa" w:w="1760"/>
                  <w:tcBorders>
                    <w:top w:val="none" w:color="FFFFFF" w:sz="0"/>
                    <w:left w:val="none" w:color="FFFFFF" w:sz="0"/>
                    <w:bottom w:val="none" w:color="FFFFFF" w:sz="0"/>
                    <w:right w:val="none" w:color="FFFFFF" w:sz="0"/>
                  </w:tcBorders>
                  <w:shd w:fill="1a0a2e" w:val="clear"/>
                  <w:tcMar>
                    <w:top w:type="dxa" w:w="70"/>
                    <w:left w:type="dxa" w:w="100"/>
                    <w:bottom w:type="dxa" w:w="70"/>
                    <w:right w:type="dxa" w:w="100"/>
                  </w:tcMar>
                </w:tcPr>
                <w:p>
                  <w:pPr>
                    <w:jc w:val="left"/>
                  </w:pPr>
                  <w:r>
                    <w:rPr>
                      <w:rFonts w:ascii="Arial" w:cs="Arial" w:eastAsia="Arial" w:hAnsi="Arial"/>
                      <w:b/>
                      <w:bCs/>
                      <w:color w:val="FFFFFF"/>
                      <w:sz w:val="17"/>
                      <w:szCs w:val="17"/>
                    </w:rPr>
                    <w:t xml:space="preserve"/>
                  </w:r>
                </w:p>
              </w:tc>
              <w:tc>
                <w:tcPr>
                  <w:tcW w:type="dxa" w:w="1128"/>
                  <w:tcBorders>
                    <w:top w:val="none" w:color="FFFFFF" w:sz="0"/>
                    <w:left w:val="none" w:color="FFFFFF" w:sz="0"/>
                    <w:bottom w:val="none" w:color="FFFFFF" w:sz="0"/>
                    <w:right w:val="none" w:color="FFFFFF" w:sz="0"/>
                  </w:tcBorders>
                  <w:shd w:fill="1a0a2e" w:val="clear"/>
                  <w:tcMar>
                    <w:top w:type="dxa" w:w="70"/>
                    <w:left w:type="dxa" w:w="100"/>
                    <w:bottom w:type="dxa" w:w="70"/>
                    <w:right w:type="dxa" w:w="100"/>
                  </w:tcMar>
                </w:tcPr>
                <w:p>
                  <w:pPr>
                    <w:jc w:val="right"/>
                  </w:pPr>
                  <w:r>
                    <w:rPr>
                      <w:rFonts w:ascii="Arial" w:cs="Arial" w:eastAsia="Arial" w:hAnsi="Arial"/>
                      <w:b/>
                      <w:bCs/>
                      <w:color w:val="FFFFFF"/>
                      <w:sz w:val="17"/>
                      <w:szCs w:val="17"/>
                    </w:rPr>
                    <w:t xml:space="preserve">Year 1</w:t>
                  </w:r>
                </w:p>
              </w:tc>
              <w:tc>
                <w:tcPr>
                  <w:tcW w:type="dxa" w:w="1128"/>
                  <w:tcBorders>
                    <w:top w:val="none" w:color="FFFFFF" w:sz="0"/>
                    <w:left w:val="none" w:color="FFFFFF" w:sz="0"/>
                    <w:bottom w:val="none" w:color="FFFFFF" w:sz="0"/>
                    <w:right w:val="none" w:color="FFFFFF" w:sz="0"/>
                  </w:tcBorders>
                  <w:shd w:fill="1a0a2e" w:val="clear"/>
                  <w:tcMar>
                    <w:top w:type="dxa" w:w="70"/>
                    <w:left w:type="dxa" w:w="100"/>
                    <w:bottom w:type="dxa" w:w="70"/>
                    <w:right w:type="dxa" w:w="100"/>
                  </w:tcMar>
                </w:tcPr>
                <w:p>
                  <w:pPr>
                    <w:jc w:val="right"/>
                  </w:pPr>
                  <w:r>
                    <w:rPr>
                      <w:rFonts w:ascii="Arial" w:cs="Arial" w:eastAsia="Arial" w:hAnsi="Arial"/>
                      <w:b/>
                      <w:bCs/>
                      <w:color w:val="FFFFFF"/>
                      <w:sz w:val="17"/>
                      <w:szCs w:val="17"/>
                    </w:rPr>
                    <w:t xml:space="preserve">Year 2</w:t>
                  </w:r>
                </w:p>
              </w:tc>
              <w:tc>
                <w:tcPr>
                  <w:tcW w:type="dxa" w:w="1128"/>
                  <w:tcBorders>
                    <w:top w:val="none" w:color="FFFFFF" w:sz="0"/>
                    <w:left w:val="none" w:color="FFFFFF" w:sz="0"/>
                    <w:bottom w:val="none" w:color="FFFFFF" w:sz="0"/>
                    <w:right w:val="none" w:color="FFFFFF" w:sz="0"/>
                  </w:tcBorders>
                  <w:shd w:fill="1a0a2e" w:val="clear"/>
                  <w:tcMar>
                    <w:top w:type="dxa" w:w="70"/>
                    <w:left w:type="dxa" w:w="100"/>
                    <w:bottom w:type="dxa" w:w="70"/>
                    <w:right w:type="dxa" w:w="100"/>
                  </w:tcMar>
                </w:tcPr>
                <w:p>
                  <w:pPr>
                    <w:jc w:val="right"/>
                  </w:pPr>
                  <w:r>
                    <w:rPr>
                      <w:rFonts w:ascii="Arial" w:cs="Arial" w:eastAsia="Arial" w:hAnsi="Arial"/>
                      <w:b/>
                      <w:bCs/>
                      <w:color w:val="FFFFFF"/>
                      <w:sz w:val="17"/>
                      <w:szCs w:val="17"/>
                    </w:rPr>
                    <w:t xml:space="preserve">Year 3</w:t>
                  </w:r>
                </w:p>
              </w:tc>
            </w:tr>
            <w:tr>
              <w:tc>
                <w:tcPr>
                  <w:tcW w:type="dxa" w:w="1760"/>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left"/>
                  </w:pPr>
                  <w:r>
                    <w:rPr>
                      <w:rFonts w:ascii="Arial" w:cs="Arial" w:eastAsia="Arial" w:hAnsi="Arial"/>
                      <w:b/>
                      <w:bCs/>
                      <w:color w:val="1a0a2e"/>
                      <w:sz w:val="17"/>
                      <w:szCs w:val="17"/>
                    </w:rPr>
                    <w:t xml:space="preserve">Total users</w:t>
                  </w:r>
                </w:p>
              </w:tc>
              <w:tc>
                <w:tcPr>
                  <w:tcW w:type="dxa" w:w="1128"/>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28,000</w:t>
                  </w:r>
                </w:p>
              </w:tc>
              <w:tc>
                <w:tcPr>
                  <w:tcW w:type="dxa" w:w="1128"/>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140,000</w:t>
                  </w:r>
                </w:p>
              </w:tc>
              <w:tc>
                <w:tcPr>
                  <w:tcW w:type="dxa" w:w="1128"/>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520,000</w:t>
                  </w:r>
                </w:p>
              </w:tc>
            </w:tr>
            <w:tr>
              <w:tc>
                <w:tcPr>
                  <w:tcW w:type="dxa" w:w="1760"/>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1a0a2e"/>
                      <w:sz w:val="17"/>
                      <w:szCs w:val="17"/>
                    </w:rPr>
                    <w:t xml:space="preserve">Paid conversion</w:t>
                  </w:r>
                </w:p>
              </w:tc>
              <w:tc>
                <w:tcPr>
                  <w:tcW w:type="dxa" w:w="1128"/>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18%</w:t>
                  </w:r>
                </w:p>
              </w:tc>
              <w:tc>
                <w:tcPr>
                  <w:tcW w:type="dxa" w:w="1128"/>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22%</w:t>
                  </w:r>
                </w:p>
              </w:tc>
              <w:tc>
                <w:tcPr>
                  <w:tcW w:type="dxa" w:w="1128"/>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26%</w:t>
                  </w:r>
                </w:p>
              </w:tc>
            </w:tr>
            <w:tr>
              <w:tc>
                <w:tcPr>
                  <w:tcW w:type="dxa" w:w="1760"/>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left"/>
                  </w:pPr>
                  <w:r>
                    <w:rPr>
                      <w:rFonts w:ascii="Arial" w:cs="Arial" w:eastAsia="Arial" w:hAnsi="Arial"/>
                      <w:b/>
                      <w:bCs/>
                      <w:color w:val="1a0a2e"/>
                      <w:sz w:val="17"/>
                      <w:szCs w:val="17"/>
                    </w:rPr>
                    <w:t xml:space="preserve">Total revenue</w:t>
                  </w:r>
                </w:p>
              </w:tc>
              <w:tc>
                <w:tcPr>
                  <w:tcW w:type="dxa" w:w="1128"/>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£840K</w:t>
                  </w:r>
                </w:p>
              </w:tc>
              <w:tc>
                <w:tcPr>
                  <w:tcW w:type="dxa" w:w="1128"/>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£5.18M</w:t>
                  </w:r>
                </w:p>
              </w:tc>
              <w:tc>
                <w:tcPr>
                  <w:tcW w:type="dxa" w:w="1128"/>
                  <w:tcBorders>
                    <w:top w:val="single" w:color="eee8ff" w:sz="2"/>
                    <w:left w:val="none" w:color="FFFFFF" w:sz="0"/>
                    <w:bottom w:val="single" w:color="eee8ff" w:sz="2"/>
                    <w:right w:val="none" w:color="FFFFFF" w:sz="0"/>
                  </w:tcBorders>
                  <w:shd w:fill="faf8ff" w:val="clear"/>
                  <w:tcMar>
                    <w:top w:type="dxa" w:w="60"/>
                    <w:left w:type="dxa" w:w="100"/>
                    <w:bottom w:type="dxa" w:w="60"/>
                    <w:right w:type="dxa" w:w="100"/>
                  </w:tcMar>
                </w:tcPr>
                <w:p>
                  <w:pPr>
                    <w:jc w:val="right"/>
                  </w:pPr>
                  <w:r>
                    <w:rPr>
                      <w:rFonts w:ascii="Arial" w:cs="Arial" w:eastAsia="Arial" w:hAnsi="Arial"/>
                      <w:b w:val="false"/>
                      <w:bCs w:val="false"/>
                      <w:color w:val="64748b"/>
                      <w:sz w:val="17"/>
                      <w:szCs w:val="17"/>
                    </w:rPr>
                    <w:t xml:space="preserve">£22.9M</w:t>
                  </w:r>
                </w:p>
              </w:tc>
            </w:tr>
            <w:tr>
              <w:tc>
                <w:tcPr>
                  <w:tcW w:type="dxa" w:w="1760"/>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7c4dbd"/>
                      <w:sz w:val="17"/>
                      <w:szCs w:val="17"/>
                    </w:rPr>
                    <w:t xml:space="preserve">EBITDA</w:t>
                  </w:r>
                </w:p>
              </w:tc>
              <w:tc>
                <w:tcPr>
                  <w:tcW w:type="dxa" w:w="1128"/>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7c4dbd"/>
                      <w:sz w:val="17"/>
                      <w:szCs w:val="17"/>
                    </w:rPr>
                    <w:t xml:space="preserve">(£632K)</w:t>
                  </w:r>
                </w:p>
              </w:tc>
              <w:tc>
                <w:tcPr>
                  <w:tcW w:type="dxa" w:w="1128"/>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7c4dbd"/>
                      <w:sz w:val="17"/>
                      <w:szCs w:val="17"/>
                    </w:rPr>
                    <w:t xml:space="preserve">£880K</w:t>
                  </w:r>
                </w:p>
              </w:tc>
              <w:tc>
                <w:tcPr>
                  <w:tcW w:type="dxa" w:w="1128"/>
                  <w:tcBorders>
                    <w:top w:val="single" w:color="eee8ff" w:sz="2"/>
                    <w:left w:val="none" w:color="FFFFFF" w:sz="0"/>
                    <w:bottom w:val="single" w:color="eee8ff" w:sz="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7c4dbd"/>
                      <w:sz w:val="17"/>
                      <w:szCs w:val="17"/>
                    </w:rPr>
                    <w:t xml:space="preserve">£6.1M</w:t>
                  </w:r>
                </w:p>
              </w:tc>
            </w:tr>
          </w:tbl>
          <w:p>
            <w:pPr>
              <w:spacing w:after="0" w:before="70"/>
            </w:pPr>
          </w:p>
          <w:p>
            <w:pPr>
              <w:spacing w:after="90" w:before="0"/>
              <w:jc w:val="left"/>
            </w:pPr>
            <w:r>
              <w:rPr>
                <w:rFonts w:ascii="Arial" w:cs="Arial" w:eastAsia="Arial" w:hAnsi="Arial"/>
                <w:b/>
                <w:bCs/>
                <w:color w:val="7c4dbd"/>
                <w:sz w:val="18"/>
                <w:szCs w:val="18"/>
              </w:rPr>
              <w:t xml:space="preserve">£170 LTV  ·  £3.20 CAC  ·  53x LTV/CAC by Year 2  ·  14-month avg tenure</w:t>
            </w:r>
          </w:p>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GO-TO-MARKET</w:t>
            </w:r>
          </w:p>
          <w:p>
            <w:pPr>
              <w:spacing w:after="60" w:before="0"/>
              <w:jc w:val="left"/>
            </w:pPr>
            <w:r>
              <w:rPr>
                <w:rFonts w:ascii="Arial" w:cs="Arial" w:eastAsia="Arial" w:hAnsi="Arial"/>
                <w:b/>
                <w:bCs/>
                <w:color w:val="1a0a2e"/>
                <w:sz w:val="19"/>
                <w:szCs w:val="19"/>
              </w:rPr>
              <w:t xml:space="preserve">Phase 1 (M1–6):  </w:t>
            </w:r>
            <w:r>
              <w:rPr>
                <w:rFonts w:ascii="Arial" w:cs="Arial" w:eastAsia="Arial" w:hAnsi="Arial"/>
                <w:color w:val="64748b"/>
                <w:sz w:val="19"/>
                <w:szCs w:val="19"/>
              </w:rPr>
              <w:t xml:space="preserve">London beta. 15–20 astrology influencers. Referral waitlist: 'invite 3 friends to unlock your chart reading'.</w:t>
            </w:r>
          </w:p>
          <w:p>
            <w:pPr>
              <w:spacing w:after="60" w:before="0"/>
              <w:jc w:val="left"/>
            </w:pPr>
            <w:r>
              <w:rPr>
                <w:rFonts w:ascii="Arial" w:cs="Arial" w:eastAsia="Arial" w:hAnsi="Arial"/>
                <w:b/>
                <w:bCs/>
                <w:color w:val="1a0a2e"/>
                <w:sz w:val="19"/>
                <w:szCs w:val="19"/>
              </w:rPr>
              <w:t xml:space="preserve">Phase 2 (M7–12):  </w:t>
            </w:r>
            <w:r>
              <w:rPr>
                <w:rFonts w:ascii="Arial" w:cs="Arial" w:eastAsia="Arial" w:hAnsi="Arial"/>
                <w:color w:val="64748b"/>
                <w:sz w:val="19"/>
                <w:szCs w:val="19"/>
              </w:rPr>
              <w:t xml:space="preserve">Ritual engine live. Paid UA on TikTok/Instagram. App Store optimisation.</w:t>
            </w:r>
          </w:p>
          <w:p>
            <w:pPr>
              <w:spacing w:after="90" w:before="0"/>
              <w:jc w:val="left"/>
            </w:pPr>
            <w:r>
              <w:rPr>
                <w:rFonts w:ascii="Arial" w:cs="Arial" w:eastAsia="Arial" w:hAnsi="Arial"/>
                <w:b/>
                <w:bCs/>
                <w:color w:val="1a0a2e"/>
                <w:sz w:val="19"/>
                <w:szCs w:val="19"/>
              </w:rPr>
              <w:t xml:space="preserve">Phase 3 (Year 2):  </w:t>
            </w:r>
            <w:r>
              <w:rPr>
                <w:rFonts w:ascii="Arial" w:cs="Arial" w:eastAsia="Arial" w:hAnsi="Arial"/>
                <w:color w:val="64748b"/>
                <w:sz w:val="19"/>
                <w:szCs w:val="19"/>
              </w:rPr>
              <w:t xml:space="preserve">Expand to Manchester, Dublin, NYC, LA. Astrologer marketplace. Series A ready.</w:t>
            </w:r>
          </w:p>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THE ASK — £1.8M SEED</w:t>
            </w:r>
          </w:p>
          <w:tbl>
            <w:tblPr>
              <w:tblW w:type="dxa" w:w="5144"/>
              <w:tblBorders>
                <w:top w:val="single" w:color="auto" w:sz="4"/>
                <w:left w:val="single" w:color="auto" w:sz="4"/>
                <w:bottom w:val="single" w:color="auto" w:sz="4"/>
                <w:right w:val="single" w:color="auto" w:sz="4"/>
                <w:insideH w:val="single" w:color="auto" w:sz="4"/>
                <w:insideV w:val="single" w:color="auto" w:sz="4"/>
              </w:tblBorders>
            </w:tblPr>
            <w:tblGrid>
              <w:gridCol w:w="3000"/>
              <w:gridCol w:w="1072"/>
              <w:gridCol w:w="1072"/>
            </w:tblGrid>
            <w:tr>
              <w:tc>
                <w:tcPr>
                  <w:tcW w:type="dxa" w:w="3000"/>
                  <w:tcBorders>
                    <w:top w:val="single" w:color="ddd6f3" w:sz="3"/>
                    <w:left w:val="none" w:color="FFFFFF" w:sz="0"/>
                    <w:bottom w:val="single" w:color="ddd6f3" w:sz="3"/>
                    <w:right w:val="none" w:color="FFFFFF" w:sz="0"/>
                  </w:tcBorders>
                  <w:tcMar>
                    <w:top w:type="dxa" w:w="60"/>
                    <w:left w:type="dxa" w:w="0"/>
                    <w:bottom w:type="dxa" w:w="60"/>
                    <w:right w:type="dxa" w:w="80"/>
                  </w:tcMar>
                </w:tcPr>
                <w:p>
                  <w:r>
                    <w:rPr>
                      <w:rFonts w:ascii="Arial" w:cs="Arial" w:eastAsia="Arial" w:hAnsi="Arial"/>
                      <w:color w:val="1a0a2e"/>
                      <w:sz w:val="17"/>
                      <w:szCs w:val="17"/>
                    </w:rPr>
                    <w:t xml:space="preserve">Product &amp; Engineering</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b/>
                      <w:bCs/>
                      <w:color w:val="7c4dbd"/>
                      <w:sz w:val="17"/>
                      <w:szCs w:val="17"/>
                    </w:rPr>
                    <w:t xml:space="preserve">£810K</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color w:val="64748b"/>
                      <w:sz w:val="17"/>
                      <w:szCs w:val="17"/>
                    </w:rPr>
                    <w:t xml:space="preserve">45%</w:t>
                  </w:r>
                </w:p>
              </w:tc>
            </w:tr>
            <w:tr>
              <w:tc>
                <w:tcPr>
                  <w:tcW w:type="dxa" w:w="3000"/>
                  <w:tcBorders>
                    <w:top w:val="single" w:color="ddd6f3" w:sz="3"/>
                    <w:left w:val="none" w:color="FFFFFF" w:sz="0"/>
                    <w:bottom w:val="single" w:color="ddd6f3" w:sz="3"/>
                    <w:right w:val="none" w:color="FFFFFF" w:sz="0"/>
                  </w:tcBorders>
                  <w:tcMar>
                    <w:top w:type="dxa" w:w="60"/>
                    <w:left w:type="dxa" w:w="0"/>
                    <w:bottom w:type="dxa" w:w="60"/>
                    <w:right w:type="dxa" w:w="80"/>
                  </w:tcMar>
                </w:tcPr>
                <w:p>
                  <w:r>
                    <w:rPr>
                      <w:rFonts w:ascii="Arial" w:cs="Arial" w:eastAsia="Arial" w:hAnsi="Arial"/>
                      <w:color w:val="1a0a2e"/>
                      <w:sz w:val="17"/>
                      <w:szCs w:val="17"/>
                    </w:rPr>
                    <w:t xml:space="preserve">Marketing &amp; Community</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b/>
                      <w:bCs/>
                      <w:color w:val="7c4dbd"/>
                      <w:sz w:val="17"/>
                      <w:szCs w:val="17"/>
                    </w:rPr>
                    <w:t xml:space="preserve">£540K</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color w:val="64748b"/>
                      <w:sz w:val="17"/>
                      <w:szCs w:val="17"/>
                    </w:rPr>
                    <w:t xml:space="preserve">30%</w:t>
                  </w:r>
                </w:p>
              </w:tc>
            </w:tr>
            <w:tr>
              <w:tc>
                <w:tcPr>
                  <w:tcW w:type="dxa" w:w="3000"/>
                  <w:tcBorders>
                    <w:top w:val="single" w:color="ddd6f3" w:sz="3"/>
                    <w:left w:val="none" w:color="FFFFFF" w:sz="0"/>
                    <w:bottom w:val="single" w:color="ddd6f3" w:sz="3"/>
                    <w:right w:val="none" w:color="FFFFFF" w:sz="0"/>
                  </w:tcBorders>
                  <w:tcMar>
                    <w:top w:type="dxa" w:w="60"/>
                    <w:left w:type="dxa" w:w="0"/>
                    <w:bottom w:type="dxa" w:w="60"/>
                    <w:right w:type="dxa" w:w="80"/>
                  </w:tcMar>
                </w:tcPr>
                <w:p>
                  <w:r>
                    <w:rPr>
                      <w:rFonts w:ascii="Arial" w:cs="Arial" w:eastAsia="Arial" w:hAnsi="Arial"/>
                      <w:color w:val="1a0a2e"/>
                      <w:sz w:val="17"/>
                      <w:szCs w:val="17"/>
                    </w:rPr>
                    <w:t xml:space="preserve">Operations &amp; Legal</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b/>
                      <w:bCs/>
                      <w:color w:val="7c4dbd"/>
                      <w:sz w:val="17"/>
                      <w:szCs w:val="17"/>
                    </w:rPr>
                    <w:t xml:space="preserve">£270K</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color w:val="64748b"/>
                      <w:sz w:val="17"/>
                      <w:szCs w:val="17"/>
                    </w:rPr>
                    <w:t xml:space="preserve">15%</w:t>
                  </w:r>
                </w:p>
              </w:tc>
            </w:tr>
            <w:tr>
              <w:tc>
                <w:tcPr>
                  <w:tcW w:type="dxa" w:w="3000"/>
                  <w:tcBorders>
                    <w:top w:val="single" w:color="ddd6f3" w:sz="3"/>
                    <w:left w:val="none" w:color="FFFFFF" w:sz="0"/>
                    <w:bottom w:val="single" w:color="ddd6f3" w:sz="3"/>
                    <w:right w:val="none" w:color="FFFFFF" w:sz="0"/>
                  </w:tcBorders>
                  <w:tcMar>
                    <w:top w:type="dxa" w:w="60"/>
                    <w:left w:type="dxa" w:w="0"/>
                    <w:bottom w:type="dxa" w:w="60"/>
                    <w:right w:type="dxa" w:w="80"/>
                  </w:tcMar>
                </w:tcPr>
                <w:p>
                  <w:r>
                    <w:rPr>
                      <w:rFonts w:ascii="Arial" w:cs="Arial" w:eastAsia="Arial" w:hAnsi="Arial"/>
                      <w:color w:val="1a0a2e"/>
                      <w:sz w:val="17"/>
                      <w:szCs w:val="17"/>
                    </w:rPr>
                    <w:t xml:space="preserve">Reserve / Runway</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b/>
                      <w:bCs/>
                      <w:color w:val="7c4dbd"/>
                      <w:sz w:val="17"/>
                      <w:szCs w:val="17"/>
                    </w:rPr>
                    <w:t xml:space="preserve">£180K</w:t>
                  </w:r>
                </w:p>
              </w:tc>
              <w:tc>
                <w:tcPr>
                  <w:tcW w:type="dxa" w:w="1072"/>
                  <w:tcBorders>
                    <w:top w:val="single" w:color="ddd6f3" w:sz="3"/>
                    <w:left w:val="none" w:color="FFFFFF" w:sz="0"/>
                    <w:bottom w:val="single" w:color="ddd6f3" w:sz="3"/>
                    <w:right w:val="none" w:color="FFFFFF" w:sz="0"/>
                  </w:tcBorders>
                  <w:tcMar>
                    <w:top w:type="dxa" w:w="60"/>
                    <w:left w:type="dxa" w:w="0"/>
                    <w:bottom w:type="dxa" w:w="60"/>
                    <w:right w:type="dxa" w:w="0"/>
                  </w:tcMar>
                </w:tcPr>
                <w:p>
                  <w:pPr>
                    <w:jc w:val="right"/>
                  </w:pPr>
                  <w:r>
                    <w:rPr>
                      <w:rFonts w:ascii="Arial" w:cs="Arial" w:eastAsia="Arial" w:hAnsi="Arial"/>
                      <w:color w:val="64748b"/>
                      <w:sz w:val="17"/>
                      <w:szCs w:val="17"/>
                    </w:rPr>
                    <w:t xml:space="preserve">10%</w:t>
                  </w:r>
                </w:p>
              </w:tc>
            </w:tr>
          </w:tbl>
          <w:p>
            <w:pPr>
              <w:spacing w:after="0" w:before="90"/>
            </w:pPr>
          </w:p>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18-MONTH MILESTONES</w:t>
            </w:r>
          </w:p>
          <w:p>
            <w:pPr>
              <w:spacing w:after="45" w:before="0"/>
              <w:jc w:val="left"/>
            </w:pPr>
            <w:r>
              <w:rPr>
                <w:rFonts w:ascii="Arial" w:cs="Arial" w:eastAsia="Arial" w:hAnsi="Arial"/>
                <w:b/>
                <w:bCs/>
                <w:color w:val="7c4dbd"/>
                <w:sz w:val="17"/>
                <w:szCs w:val="17"/>
              </w:rPr>
              <w:t xml:space="preserve">Q2 2026  </w:t>
            </w:r>
            <w:r>
              <w:rPr>
                <w:rFonts w:ascii="Arial" w:cs="Arial" w:eastAsia="Arial" w:hAnsi="Arial"/>
                <w:color w:val="64748b"/>
                <w:sz w:val="17"/>
                <w:szCs w:val="17"/>
              </w:rPr>
              <w:t xml:space="preserve">Beta launch, London. Influencer partnerships activated.</w:t>
            </w:r>
          </w:p>
          <w:p>
            <w:pPr>
              <w:spacing w:after="45" w:before="0"/>
              <w:jc w:val="left"/>
            </w:pPr>
            <w:r>
              <w:rPr>
                <w:rFonts w:ascii="Arial" w:cs="Arial" w:eastAsia="Arial" w:hAnsi="Arial"/>
                <w:b/>
                <w:bCs/>
                <w:color w:val="7c4dbd"/>
                <w:sz w:val="17"/>
                <w:szCs w:val="17"/>
              </w:rPr>
              <w:t xml:space="preserve">Q3 2026  </w:t>
            </w:r>
            <w:r>
              <w:rPr>
                <w:rFonts w:ascii="Arial" w:cs="Arial" w:eastAsia="Arial" w:hAnsi="Arial"/>
                <w:color w:val="64748b"/>
                <w:sz w:val="17"/>
                <w:szCs w:val="17"/>
              </w:rPr>
              <w:t xml:space="preserve">10K users. Ritual engine live. First brand partnership.</w:t>
            </w:r>
          </w:p>
          <w:p>
            <w:pPr>
              <w:spacing w:after="45" w:before="0"/>
              <w:jc w:val="left"/>
            </w:pPr>
            <w:r>
              <w:rPr>
                <w:rFonts w:ascii="Arial" w:cs="Arial" w:eastAsia="Arial" w:hAnsi="Arial"/>
                <w:b/>
                <w:bCs/>
                <w:color w:val="7c4dbd"/>
                <w:sz w:val="17"/>
                <w:szCs w:val="17"/>
              </w:rPr>
              <w:t xml:space="preserve">Q4 2026  </w:t>
            </w:r>
            <w:r>
              <w:rPr>
                <w:rFonts w:ascii="Arial" w:cs="Arial" w:eastAsia="Arial" w:hAnsi="Arial"/>
                <w:color w:val="64748b"/>
                <w:sz w:val="17"/>
                <w:szCs w:val="17"/>
              </w:rPr>
              <w:t xml:space="preserve">28K users. Cosmic sub live. £840K ARR run rate.</w:t>
            </w:r>
          </w:p>
          <w:p>
            <w:pPr>
              <w:spacing w:after="45" w:before="0"/>
              <w:jc w:val="left"/>
            </w:pPr>
            <w:r>
              <w:rPr>
                <w:rFonts w:ascii="Arial" w:cs="Arial" w:eastAsia="Arial" w:hAnsi="Arial"/>
                <w:b/>
                <w:bCs/>
                <w:color w:val="7c4dbd"/>
                <w:sz w:val="17"/>
                <w:szCs w:val="17"/>
              </w:rPr>
              <w:t xml:space="preserve">Q1 2027  </w:t>
            </w:r>
            <w:r>
              <w:rPr>
                <w:rFonts w:ascii="Arial" w:cs="Arial" w:eastAsia="Arial" w:hAnsi="Arial"/>
                <w:color w:val="64748b"/>
                <w:sz w:val="17"/>
                <w:szCs w:val="17"/>
              </w:rPr>
              <w:t xml:space="preserve">3 new cities. Oracle tier launched.</w:t>
            </w:r>
          </w:p>
          <w:p>
            <w:pPr>
              <w:spacing w:after="45" w:before="0"/>
              <w:jc w:val="left"/>
            </w:pPr>
            <w:r>
              <w:rPr>
                <w:rFonts w:ascii="Arial" w:cs="Arial" w:eastAsia="Arial" w:hAnsi="Arial"/>
                <w:b/>
                <w:bCs/>
                <w:color w:val="7c4dbd"/>
                <w:sz w:val="17"/>
                <w:szCs w:val="17"/>
              </w:rPr>
              <w:t xml:space="preserve">Q2 2027  </w:t>
            </w:r>
            <w:r>
              <w:rPr>
                <w:rFonts w:ascii="Arial" w:cs="Arial" w:eastAsia="Arial" w:hAnsi="Arial"/>
                <w:color w:val="64748b"/>
                <w:sz w:val="17"/>
                <w:szCs w:val="17"/>
              </w:rPr>
              <w:t xml:space="preserve">80K users. Series A ready. £5M ARR trajectory.</w:t>
            </w:r>
          </w:p>
          <w:p>
            <w:pPr>
              <w:pBdr>
                <w:top w:val="none" w:color="FFFFFF" w:sz="0"/>
                <w:bottom w:val="single" w:color="7c4dbd" w:sz="6" w:space="2"/>
                <w:left w:val="none" w:color="FFFFFF" w:sz="0"/>
                <w:right w:val="none" w:color="FFFFFF" w:sz="0"/>
              </w:pBdr>
              <w:spacing w:after="70" w:before="150"/>
            </w:pPr>
            <w:r>
              <w:rPr>
                <w:rFonts w:ascii="Arial" w:cs="Arial" w:eastAsia="Arial" w:hAnsi="Arial"/>
                <w:b/>
                <w:bCs/>
                <w:color w:val="7c4dbd"/>
                <w:spacing w:val="60"/>
                <w:sz w:val="17"/>
                <w:szCs w:val="17"/>
              </w:rPr>
              <w:t xml:space="preserve">WHY NOW · WHY US</w:t>
            </w:r>
          </w:p>
          <w:p>
            <w:pPr>
              <w:spacing w:after="70" w:before="0"/>
              <w:jc w:val="left"/>
            </w:pPr>
            <w:r>
              <w:rPr>
                <w:rFonts w:ascii="Arial" w:cs="Arial" w:eastAsia="Arial" w:hAnsi="Arial"/>
                <w:color w:val="64748b"/>
                <w:sz w:val="19"/>
                <w:szCs w:val="19"/>
              </w:rPr>
              <w:t xml:space="preserve">The astrology-native Gen Z cohort is entering peak dating age (22–28) right now. TikTok has made birth chart fluency mainstream. AI makes personalised synastry scalable for the first time. The window to own this category is 18–24 months.</w:t>
            </w:r>
          </w:p>
        </w:tc>
      </w:tr>
    </w:tbl>
    <w:p>
      <w:pPr>
        <w:pBdr>
          <w:top w:val="none" w:color="FFFFFF" w:sz="0"/>
          <w:bottom w:val="single" w:color="7c4dbd" w:sz="6" w:space="2"/>
          <w:left w:val="none" w:color="FFFFFF" w:sz="0"/>
          <w:right w:val="none" w:color="FFFFFF" w:sz="0"/>
        </w:pBdr>
        <w:spacing w:after="0" w:before="140"/>
      </w:pPr>
      <w:r>
        <w:rPr>
          <w:rFonts w:ascii="Arial" w:cs="Arial" w:eastAsia="Arial" w:hAnsi="Arial"/>
          <w:i/>
          <w:iCs/>
          <w:color w:val="64748b"/>
          <w:sz w:val="16"/>
          <w:szCs w:val="16"/>
        </w:rPr>
        <w:t xml:space="preserve">SYNERGY  ·  hello@synergy.app  ·  synergy.app  ·  Confidential — for investor use only</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2026-04-08T23:31:02.148Z</dcterms:created>
  <dcterms:modified xsi:type="dcterms:W3CDTF">2026-04-08T23:31:02.149Z</dcterms:modified>
</cp:coreProperties>
</file>

<file path=docProps/custom.xml><?xml version="1.0" encoding="utf-8"?>
<Properties xmlns="http://schemas.openxmlformats.org/officeDocument/2006/custom-properties" xmlns:vt="http://schemas.openxmlformats.org/officeDocument/2006/docPropsVTypes"/>
</file>