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CE9AF" w14:textId="77777777" w:rsidR="00792322" w:rsidRPr="003015D7" w:rsidRDefault="00000000" w:rsidP="003015D7">
      <w:pPr>
        <w:pStyle w:val="Title"/>
        <w:rPr>
          <w:rFonts w:ascii="Arial" w:hAnsi="Arial" w:cs="Arial"/>
          <w:color w:val="auto"/>
          <w:sz w:val="22"/>
          <w:szCs w:val="22"/>
        </w:rPr>
      </w:pPr>
      <w:r w:rsidRPr="003015D7">
        <w:rPr>
          <w:rFonts w:ascii="Arial" w:hAnsi="Arial" w:cs="Arial"/>
          <w:color w:val="auto"/>
          <w:sz w:val="22"/>
          <w:szCs w:val="22"/>
        </w:rPr>
        <w:t>An ecological investigation of county-level migration as a mechanism for place-based health</w:t>
      </w:r>
    </w:p>
    <w:p w14:paraId="455DAC0D" w14:textId="77777777" w:rsidR="00792322" w:rsidRPr="003015D7" w:rsidRDefault="00000000" w:rsidP="003015D7">
      <w:pPr>
        <w:pStyle w:val="Subtitle"/>
        <w:rPr>
          <w:rFonts w:ascii="Arial" w:hAnsi="Arial" w:cs="Arial"/>
          <w:color w:val="auto"/>
          <w:sz w:val="22"/>
          <w:szCs w:val="22"/>
        </w:rPr>
      </w:pPr>
      <w:r w:rsidRPr="003015D7">
        <w:rPr>
          <w:rFonts w:ascii="Arial" w:hAnsi="Arial" w:cs="Arial"/>
          <w:color w:val="auto"/>
          <w:sz w:val="22"/>
          <w:szCs w:val="22"/>
        </w:rPr>
        <w:t>Epidemiology Preliminary B Exam</w:t>
      </w:r>
    </w:p>
    <w:p w14:paraId="359E4185" w14:textId="77777777" w:rsidR="00792322" w:rsidRPr="003015D7" w:rsidRDefault="00000000" w:rsidP="003015D7">
      <w:pPr>
        <w:pStyle w:val="Author"/>
        <w:rPr>
          <w:rFonts w:ascii="Arial" w:hAnsi="Arial" w:cs="Arial"/>
          <w:sz w:val="22"/>
          <w:szCs w:val="22"/>
        </w:rPr>
      </w:pPr>
      <w:r w:rsidRPr="003015D7">
        <w:rPr>
          <w:rFonts w:ascii="Arial" w:hAnsi="Arial" w:cs="Arial"/>
          <w:sz w:val="22"/>
          <w:szCs w:val="22"/>
        </w:rPr>
        <w:t>Hannah Olson-Williams</w:t>
      </w:r>
    </w:p>
    <w:p w14:paraId="13445A25" w14:textId="77777777" w:rsidR="00792322" w:rsidRPr="003015D7" w:rsidRDefault="00000000" w:rsidP="003015D7">
      <w:pPr>
        <w:pStyle w:val="Date"/>
        <w:rPr>
          <w:rFonts w:ascii="Arial" w:hAnsi="Arial" w:cs="Arial"/>
          <w:sz w:val="22"/>
          <w:szCs w:val="22"/>
        </w:rPr>
      </w:pPr>
      <w:r w:rsidRPr="003015D7">
        <w:rPr>
          <w:rFonts w:ascii="Arial" w:hAnsi="Arial" w:cs="Arial"/>
          <w:sz w:val="22"/>
          <w:szCs w:val="22"/>
        </w:rPr>
        <w:t>2023-08-01</w:t>
      </w:r>
    </w:p>
    <w:p w14:paraId="4042F437" w14:textId="77777777" w:rsidR="00792322" w:rsidRPr="003015D7" w:rsidRDefault="00000000" w:rsidP="003015D7">
      <w:pPr>
        <w:pStyle w:val="FirstParagraph"/>
        <w:rPr>
          <w:rFonts w:ascii="Arial" w:hAnsi="Arial" w:cs="Arial"/>
          <w:sz w:val="22"/>
          <w:szCs w:val="22"/>
        </w:rPr>
      </w:pPr>
      <w:r w:rsidRPr="003015D7">
        <w:rPr>
          <w:rFonts w:ascii="Arial" w:hAnsi="Arial" w:cs="Arial"/>
          <w:sz w:val="22"/>
          <w:szCs w:val="22"/>
        </w:rPr>
        <w:t>Although the relationship between place and health is well studied and measured, typical place-based measures of health are static, representing a single point in time without accounting for movement or mobility. Among the well-established understanding that place influences health is the understanding that place differentially impacts some groups of people more than others. What remains unknown is to what extent population migration explains place-based health and health disparities. Thus, there is a critical need to measure the degree to which county-level patterns in health factors and outcomes can be attributed to county-level patterns in mobility. Without such knowledge, we are unable to fully capture the complexities of county-level health, limiting our ability to inform local policy making.</w:t>
      </w:r>
    </w:p>
    <w:p w14:paraId="639FB35A" w14:textId="56BE199A"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Our overarching goal is to advance our understanding of the mechanisms by which mobility may be related to place-based health disparities so that local decision-makers may account for patterns in mobility when creating policy towards improved health for all people in all places. The overall objective of this thesis is to both quantify and devise techniques for quantifying the relationship between county-level mobility and county-level health. Our central hypothesis is that poor county-level health factors and outcomes are associated with extremely high and extremely low rates of county-level mobility. We base this hypothesis on Lee’s theory of migration which indicates that migration is often bimodal - often the most and least advantaged individuals </w:t>
      </w:r>
      <w:r w:rsidR="003015D7" w:rsidRPr="003015D7">
        <w:rPr>
          <w:rFonts w:ascii="Arial" w:hAnsi="Arial" w:cs="Arial"/>
          <w:sz w:val="22"/>
          <w:szCs w:val="22"/>
        </w:rPr>
        <w:t>relocate (</w:t>
      </w:r>
      <w:r w:rsidRPr="003015D7">
        <w:rPr>
          <w:rFonts w:ascii="Arial" w:hAnsi="Arial" w:cs="Arial"/>
          <w:sz w:val="22"/>
          <w:szCs w:val="22"/>
        </w:rPr>
        <w:t>Everett S. Lee 1966). We suspect that these bimodal patterns may manifest differently in educational attainment and rural-urban subgroups. Therefore, the rationale for this project is that understanding educational attainment and rural-urban mobility patterns is a necessary first step towards understanding education and urbanicity-related health disparities.</w:t>
      </w:r>
    </w:p>
    <w:p w14:paraId="00B06794" w14:textId="6AC4F0BB" w:rsidR="00792322" w:rsidRPr="003015D7" w:rsidRDefault="00000000" w:rsidP="003015D7">
      <w:pPr>
        <w:pStyle w:val="BodyText"/>
        <w:rPr>
          <w:rFonts w:ascii="Arial" w:hAnsi="Arial" w:cs="Arial"/>
          <w:sz w:val="22"/>
          <w:szCs w:val="22"/>
        </w:rPr>
      </w:pPr>
      <w:r w:rsidRPr="003015D7">
        <w:rPr>
          <w:rFonts w:ascii="Arial" w:hAnsi="Arial" w:cs="Arial"/>
          <w:b/>
          <w:bCs/>
          <w:sz w:val="22"/>
          <w:szCs w:val="22"/>
          <w:u w:val="single"/>
        </w:rPr>
        <w:t>Aim 1:</w:t>
      </w:r>
      <w:r w:rsidRPr="003015D7">
        <w:rPr>
          <w:rFonts w:ascii="Arial" w:hAnsi="Arial" w:cs="Arial"/>
          <w:sz w:val="22"/>
          <w:szCs w:val="22"/>
          <w:u w:val="single"/>
        </w:rPr>
        <w:t xml:space="preserve"> Quantify the associations between place and self-reported mental health at the county level</w:t>
      </w:r>
      <w:r w:rsidRPr="003015D7">
        <w:rPr>
          <w:rFonts w:ascii="Arial" w:hAnsi="Arial" w:cs="Arial"/>
          <w:sz w:val="22"/>
          <w:szCs w:val="22"/>
        </w:rPr>
        <w:t xml:space="preserve">. </w:t>
      </w:r>
      <w:r w:rsidRPr="003015D7">
        <w:rPr>
          <w:rFonts w:ascii="Arial" w:hAnsi="Arial" w:cs="Arial"/>
          <w:b/>
          <w:bCs/>
          <w:sz w:val="22"/>
          <w:szCs w:val="22"/>
        </w:rPr>
        <w:t>Hypothesis 1A:</w:t>
      </w:r>
      <w:r w:rsidRPr="003015D7">
        <w:rPr>
          <w:rFonts w:ascii="Arial" w:hAnsi="Arial" w:cs="Arial"/>
          <w:sz w:val="22"/>
          <w:szCs w:val="22"/>
        </w:rPr>
        <w:t xml:space="preserve"> County-level averages of poor mental helath days are related to urbanicity. </w:t>
      </w:r>
      <w:r w:rsidRPr="003015D7">
        <w:rPr>
          <w:rFonts w:ascii="Arial" w:hAnsi="Arial" w:cs="Arial"/>
          <w:b/>
          <w:bCs/>
          <w:sz w:val="22"/>
          <w:szCs w:val="22"/>
        </w:rPr>
        <w:t>Hypothesis 1B:</w:t>
      </w:r>
      <w:r w:rsidRPr="003015D7">
        <w:rPr>
          <w:rFonts w:ascii="Arial" w:hAnsi="Arial" w:cs="Arial"/>
          <w:sz w:val="22"/>
          <w:szCs w:val="22"/>
        </w:rPr>
        <w:t xml:space="preserve"> This relationship can be explained by differences in factors linked to the built environment (</w:t>
      </w:r>
      <w:r w:rsidR="003015D7" w:rsidRPr="003015D7">
        <w:rPr>
          <w:rFonts w:ascii="Arial" w:hAnsi="Arial" w:cs="Arial"/>
          <w:sz w:val="22"/>
          <w:szCs w:val="22"/>
        </w:rPr>
        <w:t>e.g.,</w:t>
      </w:r>
      <w:r w:rsidRPr="003015D7">
        <w:rPr>
          <w:rFonts w:ascii="Arial" w:hAnsi="Arial" w:cs="Arial"/>
          <w:sz w:val="22"/>
          <w:szCs w:val="22"/>
        </w:rPr>
        <w:t xml:space="preserve"> access to exercise, mental health providers, air pollution, violent crime, and severe housing problems). </w:t>
      </w:r>
      <w:r w:rsidRPr="003015D7">
        <w:rPr>
          <w:rFonts w:ascii="Arial" w:hAnsi="Arial" w:cs="Arial"/>
          <w:b/>
          <w:bCs/>
          <w:sz w:val="22"/>
          <w:szCs w:val="22"/>
        </w:rPr>
        <w:t>Hypothesis 1C:</w:t>
      </w:r>
      <w:r w:rsidRPr="003015D7">
        <w:rPr>
          <w:rFonts w:ascii="Arial" w:hAnsi="Arial" w:cs="Arial"/>
          <w:sz w:val="22"/>
          <w:szCs w:val="22"/>
        </w:rPr>
        <w:t xml:space="preserve"> The way in which factors linked to the built environment explain the connection between urbanicity and mental health varies between the most rural and the most urban counties.</w:t>
      </w:r>
    </w:p>
    <w:p w14:paraId="0A82511E" w14:textId="59ADAE76" w:rsidR="00792322" w:rsidRPr="003015D7" w:rsidRDefault="00000000" w:rsidP="003015D7">
      <w:pPr>
        <w:pStyle w:val="BodyText"/>
        <w:rPr>
          <w:rFonts w:ascii="Arial" w:hAnsi="Arial" w:cs="Arial"/>
          <w:sz w:val="22"/>
          <w:szCs w:val="22"/>
        </w:rPr>
      </w:pPr>
      <w:r w:rsidRPr="003015D7">
        <w:rPr>
          <w:rFonts w:ascii="Arial" w:hAnsi="Arial" w:cs="Arial"/>
          <w:b/>
          <w:bCs/>
          <w:sz w:val="22"/>
          <w:szCs w:val="22"/>
          <w:u w:val="single"/>
        </w:rPr>
        <w:t>Aim 2:</w:t>
      </w:r>
      <w:r w:rsidRPr="003015D7">
        <w:rPr>
          <w:rFonts w:ascii="Arial" w:hAnsi="Arial" w:cs="Arial"/>
          <w:sz w:val="22"/>
          <w:szCs w:val="22"/>
          <w:u w:val="single"/>
        </w:rPr>
        <w:t xml:space="preserve"> Explore how county-level migration can enhance our capacity to understand and explain county-level health</w:t>
      </w:r>
      <w:r w:rsidRPr="003015D7">
        <w:rPr>
          <w:rFonts w:ascii="Arial" w:hAnsi="Arial" w:cs="Arial"/>
          <w:sz w:val="22"/>
          <w:szCs w:val="22"/>
        </w:rPr>
        <w:t xml:space="preserve">. </w:t>
      </w:r>
      <w:r w:rsidRPr="003015D7">
        <w:rPr>
          <w:rFonts w:ascii="Arial" w:hAnsi="Arial" w:cs="Arial"/>
          <w:b/>
          <w:bCs/>
          <w:sz w:val="22"/>
          <w:szCs w:val="22"/>
        </w:rPr>
        <w:t>Hypothesis 2A:</w:t>
      </w:r>
      <w:r w:rsidRPr="003015D7">
        <w:rPr>
          <w:rFonts w:ascii="Arial" w:hAnsi="Arial" w:cs="Arial"/>
          <w:sz w:val="22"/>
          <w:szCs w:val="22"/>
        </w:rPr>
        <w:t xml:space="preserve"> County-to-county migration patterns improve the explainability of autoregressive models of county-level mortality. </w:t>
      </w:r>
      <w:r w:rsidRPr="003015D7">
        <w:rPr>
          <w:rFonts w:ascii="Arial" w:hAnsi="Arial" w:cs="Arial"/>
          <w:b/>
          <w:bCs/>
          <w:sz w:val="22"/>
          <w:szCs w:val="22"/>
        </w:rPr>
        <w:t>Hypothesis 2B:</w:t>
      </w:r>
      <w:r w:rsidRPr="003015D7">
        <w:rPr>
          <w:rFonts w:ascii="Arial" w:hAnsi="Arial" w:cs="Arial"/>
          <w:sz w:val="22"/>
          <w:szCs w:val="22"/>
        </w:rPr>
        <w:t xml:space="preserve"> The role that intercounty migration plays in county-level mortality differs significantly between rural and urban counties. </w:t>
      </w:r>
      <w:r w:rsidRPr="003015D7">
        <w:rPr>
          <w:rFonts w:ascii="Arial" w:hAnsi="Arial" w:cs="Arial"/>
          <w:b/>
          <w:bCs/>
          <w:sz w:val="22"/>
          <w:szCs w:val="22"/>
        </w:rPr>
        <w:t>Hypothesis 2C:</w:t>
      </w:r>
      <w:r w:rsidRPr="003015D7">
        <w:rPr>
          <w:rFonts w:ascii="Arial" w:hAnsi="Arial" w:cs="Arial"/>
          <w:sz w:val="22"/>
          <w:szCs w:val="22"/>
        </w:rPr>
        <w:t xml:space="preserve"> </w:t>
      </w:r>
      <w:r w:rsidR="003015D7" w:rsidRPr="003015D7">
        <w:rPr>
          <w:rFonts w:ascii="Arial" w:hAnsi="Arial" w:cs="Arial"/>
          <w:sz w:val="22"/>
          <w:szCs w:val="22"/>
        </w:rPr>
        <w:t>Considering</w:t>
      </w:r>
      <w:r w:rsidRPr="003015D7">
        <w:rPr>
          <w:rFonts w:ascii="Arial" w:hAnsi="Arial" w:cs="Arial"/>
          <w:sz w:val="22"/>
          <w:szCs w:val="22"/>
        </w:rPr>
        <w:t xml:space="preserve"> bias in migration patterns improves our ability to explain county-level mortality as well as the differential role that migration plays in urban versus rural counties.</w:t>
      </w:r>
    </w:p>
    <w:p w14:paraId="446E8FCA" w14:textId="77777777" w:rsidR="00792322" w:rsidRPr="003015D7" w:rsidRDefault="00000000" w:rsidP="003015D7">
      <w:pPr>
        <w:pStyle w:val="BodyText"/>
        <w:rPr>
          <w:rFonts w:ascii="Arial" w:hAnsi="Arial" w:cs="Arial"/>
          <w:sz w:val="22"/>
          <w:szCs w:val="22"/>
        </w:rPr>
      </w:pPr>
      <w:r w:rsidRPr="003015D7">
        <w:rPr>
          <w:rFonts w:ascii="Arial" w:hAnsi="Arial" w:cs="Arial"/>
          <w:b/>
          <w:bCs/>
          <w:sz w:val="22"/>
          <w:szCs w:val="22"/>
          <w:u w:val="single"/>
        </w:rPr>
        <w:t>Aim 3:</w:t>
      </w:r>
      <w:r w:rsidRPr="003015D7">
        <w:rPr>
          <w:rFonts w:ascii="Arial" w:hAnsi="Arial" w:cs="Arial"/>
          <w:sz w:val="22"/>
          <w:szCs w:val="22"/>
          <w:u w:val="single"/>
        </w:rPr>
        <w:t xml:space="preserve"> Identify counties, time periods, and education groups that experience anomalous county-to-county migration patterns.</w:t>
      </w:r>
      <w:r w:rsidRPr="003015D7">
        <w:rPr>
          <w:rFonts w:ascii="Arial" w:hAnsi="Arial" w:cs="Arial"/>
          <w:sz w:val="22"/>
          <w:szCs w:val="22"/>
        </w:rPr>
        <w:t xml:space="preserve"> </w:t>
      </w:r>
      <w:r w:rsidRPr="003015D7">
        <w:rPr>
          <w:rFonts w:ascii="Arial" w:hAnsi="Arial" w:cs="Arial"/>
          <w:b/>
          <w:bCs/>
          <w:sz w:val="22"/>
          <w:szCs w:val="22"/>
        </w:rPr>
        <w:t>Hypothesis 3A:</w:t>
      </w:r>
      <w:r w:rsidRPr="003015D7">
        <w:rPr>
          <w:rFonts w:ascii="Arial" w:hAnsi="Arial" w:cs="Arial"/>
          <w:sz w:val="22"/>
          <w:szCs w:val="22"/>
        </w:rPr>
        <w:t xml:space="preserve"> The highest rank components of our tensor of population mobility (</w:t>
      </w:r>
      <w:proofErr w:type="gramStart"/>
      <w:r w:rsidRPr="003015D7">
        <w:rPr>
          <w:rFonts w:ascii="Arial" w:hAnsi="Arial" w:cs="Arial"/>
          <w:sz w:val="22"/>
          <w:szCs w:val="22"/>
        </w:rPr>
        <w:t>ie</w:t>
      </w:r>
      <w:proofErr w:type="gramEnd"/>
      <w:r w:rsidRPr="003015D7">
        <w:rPr>
          <w:rFonts w:ascii="Arial" w:hAnsi="Arial" w:cs="Arial"/>
          <w:sz w:val="22"/>
          <w:szCs w:val="22"/>
        </w:rPr>
        <w:t xml:space="preserve"> components that are not part of the core migration system) will be among migrants with less than high school education. </w:t>
      </w:r>
      <w:r w:rsidRPr="003015D7">
        <w:rPr>
          <w:rFonts w:ascii="Arial" w:hAnsi="Arial" w:cs="Arial"/>
          <w:b/>
          <w:bCs/>
          <w:sz w:val="22"/>
          <w:szCs w:val="22"/>
        </w:rPr>
        <w:t>Hypothesis 3B:</w:t>
      </w:r>
      <w:r w:rsidRPr="003015D7">
        <w:rPr>
          <w:rFonts w:ascii="Arial" w:hAnsi="Arial" w:cs="Arial"/>
          <w:sz w:val="22"/>
          <w:szCs w:val="22"/>
        </w:rPr>
        <w:t xml:space="preserve"> The average health of counties not in the core migration system is significantly different from the average health of counties in the core migration system. (Data manipulation and analysis for this aim has not yet been started. We plan to preregister our study plan with OSF before we begin our analyses.)</w:t>
      </w:r>
    </w:p>
    <w:p w14:paraId="608F1DF2"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At the conclusion of this work, we will be able to better characterize and measure the relationship between population mobility and population health. We will have established rural-urban differences in health at a single time point, established rural-urban differences in health as they relate to mobility, and investigated outliers in the relationship between mobility and health. These findings will illuminate the mechanisms by which population health evolves alongside population changes due to migration. By recognizing the patterns in </w:t>
      </w:r>
      <w:r w:rsidRPr="003015D7">
        <w:rPr>
          <w:rFonts w:ascii="Arial" w:hAnsi="Arial" w:cs="Arial"/>
          <w:sz w:val="22"/>
          <w:szCs w:val="22"/>
        </w:rPr>
        <w:lastRenderedPageBreak/>
        <w:t>county-level mobility and its relation to county health, local decision-makers can effectively shape policies for improving health outcomes.</w:t>
      </w:r>
    </w:p>
    <w:p w14:paraId="6D7CC219" w14:textId="77777777" w:rsidR="00792322" w:rsidRPr="003015D7" w:rsidRDefault="00000000" w:rsidP="003015D7">
      <w:pPr>
        <w:pStyle w:val="BodyText"/>
        <w:rPr>
          <w:rFonts w:ascii="Arial" w:hAnsi="Arial" w:cs="Arial"/>
          <w:sz w:val="22"/>
          <w:szCs w:val="22"/>
        </w:rPr>
      </w:pPr>
      <w:r w:rsidRPr="003015D7">
        <w:rPr>
          <w:rFonts w:ascii="Arial" w:hAnsi="Arial" w:cs="Arial"/>
          <w:b/>
          <w:bCs/>
          <w:sz w:val="22"/>
          <w:szCs w:val="22"/>
          <w:u w:val="single"/>
        </w:rPr>
        <w:t>Background and Significance</w:t>
      </w:r>
    </w:p>
    <w:p w14:paraId="662F3C94"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Much of physical and mental health is place-based. There are well-established relationships between the built-environment and health outcomes. However, less is understood about how changes in place can affect health. Changes in place can occur both </w:t>
      </w:r>
      <w:r w:rsidRPr="003015D7">
        <w:rPr>
          <w:rFonts w:ascii="Arial" w:hAnsi="Arial" w:cs="Arial"/>
          <w:i/>
          <w:iCs/>
          <w:sz w:val="22"/>
          <w:szCs w:val="22"/>
        </w:rPr>
        <w:t>to</w:t>
      </w:r>
      <w:r w:rsidRPr="003015D7">
        <w:rPr>
          <w:rFonts w:ascii="Arial" w:hAnsi="Arial" w:cs="Arial"/>
          <w:sz w:val="22"/>
          <w:szCs w:val="22"/>
        </w:rPr>
        <w:t xml:space="preserve"> and </w:t>
      </w:r>
      <w:r w:rsidRPr="003015D7">
        <w:rPr>
          <w:rFonts w:ascii="Arial" w:hAnsi="Arial" w:cs="Arial"/>
          <w:i/>
          <w:iCs/>
          <w:sz w:val="22"/>
          <w:szCs w:val="22"/>
        </w:rPr>
        <w:t>by</w:t>
      </w:r>
      <w:r w:rsidRPr="003015D7">
        <w:rPr>
          <w:rFonts w:ascii="Arial" w:hAnsi="Arial" w:cs="Arial"/>
          <w:sz w:val="22"/>
          <w:szCs w:val="22"/>
        </w:rPr>
        <w:t xml:space="preserve"> people: when individuals relocate, not only do they experience a change in place, but they take their sociodemographic identities, income, health, employment, and education with them. As a result, the population, culture, and health of the place they are leaving and the place they are arriving changes, if only slightly. In aggregate, these migration-related changes could potentially change the health of the </w:t>
      </w:r>
      <w:proofErr w:type="gramStart"/>
      <w:r w:rsidRPr="003015D7">
        <w:rPr>
          <w:rFonts w:ascii="Arial" w:hAnsi="Arial" w:cs="Arial"/>
          <w:sz w:val="22"/>
          <w:szCs w:val="22"/>
        </w:rPr>
        <w:t>population as a whole</w:t>
      </w:r>
      <w:proofErr w:type="gramEnd"/>
      <w:r w:rsidRPr="003015D7">
        <w:rPr>
          <w:rFonts w:ascii="Arial" w:hAnsi="Arial" w:cs="Arial"/>
          <w:sz w:val="22"/>
          <w:szCs w:val="22"/>
        </w:rPr>
        <w:t>. In this proposal, we aim to measure the effects of migration on county-level measures of health. First, we study place-based determinants of mental health through the lens of urbanicity at a single time point. Then we assess the selection of migrants into and out of counties based on the health of each destination over time. Finally, we use a data science dimension reduction technique to determine which destinations, time periods, and demographic groups experience the most and least migration on average.</w:t>
      </w:r>
    </w:p>
    <w:p w14:paraId="3D33F194" w14:textId="7B41572E"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As individuals move from one place to another, the resources in their counties of origin and destination change. Therefore, the relationship between health and place can be viewed as “mutually reinforcing and </w:t>
      </w:r>
      <w:r w:rsidR="003015D7" w:rsidRPr="003015D7">
        <w:rPr>
          <w:rFonts w:ascii="Arial" w:hAnsi="Arial" w:cs="Arial"/>
          <w:sz w:val="22"/>
          <w:szCs w:val="22"/>
        </w:rPr>
        <w:t>reciprocal” (</w:t>
      </w:r>
      <w:r w:rsidRPr="003015D7">
        <w:rPr>
          <w:rFonts w:ascii="Arial" w:hAnsi="Arial" w:cs="Arial"/>
          <w:sz w:val="22"/>
          <w:szCs w:val="22"/>
        </w:rPr>
        <w:t xml:space="preserve">Cummins et al. 2007). For instance, when individuals relocate, they bring their social connections with </w:t>
      </w:r>
      <w:r w:rsidR="003015D7" w:rsidRPr="003015D7">
        <w:rPr>
          <w:rFonts w:ascii="Arial" w:hAnsi="Arial" w:cs="Arial"/>
          <w:sz w:val="22"/>
          <w:szCs w:val="22"/>
        </w:rPr>
        <w:t>them (</w:t>
      </w:r>
      <w:r w:rsidRPr="003015D7">
        <w:rPr>
          <w:rFonts w:ascii="Arial" w:hAnsi="Arial" w:cs="Arial"/>
          <w:sz w:val="22"/>
          <w:szCs w:val="22"/>
        </w:rPr>
        <w:t xml:space="preserve">Hein de Haas 2010a). These social connections might lead to greater migration and more people (resources) in the future which could lead to better health outcomes on average and increased “pull” of the destination. The idea that migration can be self-perpetuating has been explored many times in the </w:t>
      </w:r>
      <w:r w:rsidR="003015D7" w:rsidRPr="003015D7">
        <w:rPr>
          <w:rFonts w:ascii="Arial" w:hAnsi="Arial" w:cs="Arial"/>
          <w:sz w:val="22"/>
          <w:szCs w:val="22"/>
        </w:rPr>
        <w:t>past (</w:t>
      </w:r>
      <w:r w:rsidRPr="003015D7">
        <w:rPr>
          <w:rFonts w:ascii="Arial" w:hAnsi="Arial" w:cs="Arial"/>
          <w:sz w:val="22"/>
          <w:szCs w:val="22"/>
        </w:rPr>
        <w:t>Hein de Haas 2010b; H. de Haas 2021) mostly to describe “pull” factors – factors that make a location more desirable after migration has occurred. The perceived average health of a community may be one of these “pull” factors.</w:t>
      </w:r>
    </w:p>
    <w:p w14:paraId="0CC77F41"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Previous research has found that the health of migrants often differs from the average health of their origin and the average health of their destination. For instance, relocation from rural areas to urban areas has been associated with increased risk of CVD in some populations.(Miranda, Gilman, and Smeeth 2011) Similarly, relocation to high-income countries has been associated with adverse cardiovascular health effects.(Agyemang and Born 2019) Several studies have found that rates of CVD are higher among migrants than among their peers who did not migrate.(Agyemang and Born 2022) For instance, a study of people who migrated to the US from Japan found that Japanese migrants to California had age-adjusted prevalence rates of CVD that were more than twice as high as their peers who migrated to Hawaii or did not migrate at all.(Marmot et al. 1975) This suggests that the average health of migratory populations becomes more similar to the average health of their destination than that of their origin, possibly because migrants take on the diets, habits, and other health factors of the place to which they relocate. Another possible explanation is that people who migrated from Japan to California were “pushed” to California while people who migrated from Japan to Hawaii were “pulled” to Hawaii.  </w:t>
      </w:r>
    </w:p>
    <w:p w14:paraId="5C6994D6" w14:textId="0DF5F19F" w:rsidR="00792322" w:rsidRPr="003015D7" w:rsidRDefault="00000000" w:rsidP="003015D7">
      <w:pPr>
        <w:pStyle w:val="BodyText"/>
        <w:rPr>
          <w:rFonts w:ascii="Arial" w:hAnsi="Arial" w:cs="Arial"/>
          <w:sz w:val="22"/>
          <w:szCs w:val="22"/>
        </w:rPr>
      </w:pPr>
      <w:r w:rsidRPr="003015D7">
        <w:rPr>
          <w:rFonts w:ascii="Arial" w:hAnsi="Arial" w:cs="Arial"/>
          <w:sz w:val="22"/>
          <w:szCs w:val="22"/>
        </w:rPr>
        <w:t>Income inequality has been found to be associated with poor health among some populations</w:t>
      </w:r>
      <w:r w:rsidR="003015D7">
        <w:rPr>
          <w:rFonts w:ascii="Arial" w:hAnsi="Arial" w:cs="Arial"/>
          <w:sz w:val="22"/>
          <w:szCs w:val="22"/>
        </w:rPr>
        <w:t xml:space="preserve"> </w:t>
      </w:r>
      <w:r w:rsidRPr="003015D7">
        <w:rPr>
          <w:rFonts w:ascii="Arial" w:hAnsi="Arial" w:cs="Arial"/>
          <w:sz w:val="22"/>
          <w:szCs w:val="22"/>
        </w:rPr>
        <w:t>(Zimmerman 2006)</w:t>
      </w:r>
      <w:r w:rsidR="003015D7">
        <w:rPr>
          <w:rFonts w:ascii="Arial" w:hAnsi="Arial" w:cs="Arial"/>
          <w:sz w:val="22"/>
          <w:szCs w:val="22"/>
        </w:rPr>
        <w:t>.</w:t>
      </w:r>
      <w:r w:rsidRPr="003015D7">
        <w:rPr>
          <w:rFonts w:ascii="Arial" w:hAnsi="Arial" w:cs="Arial"/>
          <w:sz w:val="22"/>
          <w:szCs w:val="22"/>
        </w:rPr>
        <w:t xml:space="preserve"> Populations that experience high levels of income inequality may also experience declining rates of migration, as shown by Cooke 2013</w:t>
      </w:r>
      <w:r w:rsidR="003015D7">
        <w:rPr>
          <w:rFonts w:ascii="Arial" w:hAnsi="Arial" w:cs="Arial"/>
          <w:sz w:val="22"/>
          <w:szCs w:val="22"/>
        </w:rPr>
        <w:t xml:space="preserve"> </w:t>
      </w:r>
      <w:r w:rsidRPr="003015D7">
        <w:rPr>
          <w:rFonts w:ascii="Arial" w:hAnsi="Arial" w:cs="Arial"/>
          <w:sz w:val="22"/>
          <w:szCs w:val="22"/>
        </w:rPr>
        <w:t>(Cooke 2013)</w:t>
      </w:r>
      <w:r w:rsidR="003015D7">
        <w:rPr>
          <w:rFonts w:ascii="Arial" w:hAnsi="Arial" w:cs="Arial"/>
          <w:sz w:val="22"/>
          <w:szCs w:val="22"/>
        </w:rPr>
        <w:t>.</w:t>
      </w:r>
      <w:r w:rsidRPr="003015D7">
        <w:rPr>
          <w:rFonts w:ascii="Arial" w:hAnsi="Arial" w:cs="Arial"/>
          <w:sz w:val="22"/>
          <w:szCs w:val="22"/>
        </w:rPr>
        <w:t xml:space="preserve"> Therefore, the effects of migration on health may be mediated by income inequality. Additionally, Lee’s theory of migration suggests that regions with high levels of diversity are more likely to experience high rates of migration since migration is associated with imbalance between the origin and the destination and since diverse groups of people typically gravitate towards individuals like themselves</w:t>
      </w:r>
      <w:r w:rsidR="003015D7">
        <w:rPr>
          <w:rFonts w:ascii="Arial" w:hAnsi="Arial" w:cs="Arial"/>
          <w:sz w:val="22"/>
          <w:szCs w:val="22"/>
        </w:rPr>
        <w:t xml:space="preserve"> </w:t>
      </w:r>
      <w:r w:rsidRPr="003015D7">
        <w:rPr>
          <w:rFonts w:ascii="Arial" w:hAnsi="Arial" w:cs="Arial"/>
          <w:sz w:val="22"/>
          <w:szCs w:val="22"/>
        </w:rPr>
        <w:t>(Everett S. Lee 1966)</w:t>
      </w:r>
      <w:r w:rsidR="003015D7">
        <w:rPr>
          <w:rFonts w:ascii="Arial" w:hAnsi="Arial" w:cs="Arial"/>
          <w:sz w:val="22"/>
          <w:szCs w:val="22"/>
        </w:rPr>
        <w:t>.</w:t>
      </w:r>
      <w:r w:rsidRPr="003015D7">
        <w:rPr>
          <w:rFonts w:ascii="Arial" w:hAnsi="Arial" w:cs="Arial"/>
          <w:sz w:val="22"/>
          <w:szCs w:val="22"/>
        </w:rPr>
        <w:t xml:space="preserve"> Therefore, though perceived health may operate as a “pull” factor, not all people in a community are likely to experience improved health.  </w:t>
      </w:r>
    </w:p>
    <w:p w14:paraId="597FC6BC" w14:textId="2009DA4C"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There are many potential mechanisms by which urbanicity and the movement between urban centers could impact health. One might expect worse health in urban areas considering that limited access to green space (Tsai et al. 2018), concentration of populations marginalized from resources, crowded living conditions, and air </w:t>
      </w:r>
      <w:r w:rsidR="003015D7" w:rsidRPr="003015D7">
        <w:rPr>
          <w:rFonts w:ascii="Arial" w:hAnsi="Arial" w:cs="Arial"/>
          <w:sz w:val="22"/>
          <w:szCs w:val="22"/>
        </w:rPr>
        <w:t>pollution (</w:t>
      </w:r>
      <w:r w:rsidRPr="003015D7">
        <w:rPr>
          <w:rFonts w:ascii="Arial" w:hAnsi="Arial" w:cs="Arial"/>
          <w:sz w:val="22"/>
          <w:szCs w:val="22"/>
        </w:rPr>
        <w:t xml:space="preserve">Ha 2017) are associated with negative health outcomes. On the other hand, urban populations are also more likely to have access to health care, more likely to participate in social organizations which offer psycho-social support (T.-C. Yang 2019), and more likely to have educational and financial opportunities (Ha and Shao 2019), all of which are associated with positive health outcomes. A recently published paper </w:t>
      </w:r>
      <w:r w:rsidRPr="003015D7">
        <w:rPr>
          <w:rFonts w:ascii="Arial" w:hAnsi="Arial" w:cs="Arial"/>
          <w:sz w:val="22"/>
          <w:szCs w:val="22"/>
        </w:rPr>
        <w:lastRenderedPageBreak/>
        <w:t>assessing quality of life in Finland found higher rates of high quality of life in rural areas but not after controlling for perceived loneliness (Weckroth et al. 2022). Another study found that people in urban areas have higher prevalence of both depression and anxiety despite having lower prevalence of other risk factors (Zijlema et al. 2015). Disentangling the contribution of each of these potential mechanisms has important public health implications by pointing to possible solutions (e.g., increase access) for improving health. Relating urbanicity to health in the US, however, requires confronting several challenges. Urbanicity is a complex phenomenon, and its effects are impossible to isolate completely. There are many potential variables that confound the relationship between urbanicity and health. Most notably, counties that differ in urbanicity will also differ in the sociodemographic makeup of their population in terms of distributions of racial identity, age, income, and education. Even controlling for observed sociodemographic differences, there may still be </w:t>
      </w:r>
      <w:r w:rsidRPr="003015D7">
        <w:rPr>
          <w:rFonts w:ascii="Arial" w:hAnsi="Arial" w:cs="Arial"/>
          <w:i/>
          <w:iCs/>
          <w:sz w:val="22"/>
          <w:szCs w:val="22"/>
        </w:rPr>
        <w:t>unobserved</w:t>
      </w:r>
      <w:r w:rsidRPr="003015D7">
        <w:rPr>
          <w:rFonts w:ascii="Arial" w:hAnsi="Arial" w:cs="Arial"/>
          <w:sz w:val="22"/>
          <w:szCs w:val="22"/>
        </w:rPr>
        <w:t> confounding variables. For example, some people may choose to live in urban places and others in rural environments. These choices could be influenced by the past and present sociocultural context of each community which affects who feels welcomed into which communities. Factors such as personality and familial ties play large roles in both health and choice of living location (Chan 1977). Thus, analyses and conclusions must be carefully crafted to account for the complexity of where people live and why.</w:t>
      </w:r>
    </w:p>
    <w:p w14:paraId="15F7F0D8"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According to Lee’s theory of migration (Everett S. Lee 1966), migration is selective, meaning that the individuals who migrate are not a random sample of the population of the origin. Migration occurs in response to a “push” or a “pull” – migrants are “pushed” to leave an origin and “pulled” to a destination. “Pull” factors are more often associated with positive selection; migrants who are “pulled” to a destination due to perceived benefits are more likely to have high income or education status. Contrarily, migrants who are “pushed” to leave an origin are likely to have faced hardship in some form. In some cases, this is a negatively selected group including individuals who have lost jobs or suffered from climate change events; in other cases, an entire population may be “pushed” to migrate due to war or famine. Migration is often bimodal in that only the most advantaged and the least advantaged individuals relocate. This logic could be extended to the health distribution of migrants: only the most and least healthy individuals migrate. According to Norman and colleagues, migrants who move from more resource depleted regions to less resource depleted regions have better health on average than the population in their destination while migrants who move from less depleted regions to more depleted regions have worse health on average than the population in their destination (Norman, Boyle, and Rees 2005). Additionally, when the barriers between origin and destination are particularly high, migrants are often healthier on average than the people living in their destination, either because they have been selected through the migration process or because unhealthy people are less likely to choose to move when the barriers are high (Halliday and Kimmitt 2008). Without understanding the individual decisions or circumstances that lead to migration, we cannot assess whether changes in health are the result of a “push” or a “pull.” Disentangling the directionality of changes in health versus changes in migration is one challenge of using county-level data.</w:t>
      </w:r>
    </w:p>
    <w:p w14:paraId="63DF3A13" w14:textId="04DB62AF"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Since we propose an ecological study using county-level data, we can only adjust for county-level differences and cannot attempt to measure individual-level differences. County-level data can be useful to understand how place is related to average health. </w:t>
      </w:r>
      <w:proofErr w:type="gramStart"/>
      <w:r w:rsidRPr="003015D7">
        <w:rPr>
          <w:rFonts w:ascii="Arial" w:hAnsi="Arial" w:cs="Arial"/>
          <w:sz w:val="22"/>
          <w:szCs w:val="22"/>
        </w:rPr>
        <w:t>In particular, county-level</w:t>
      </w:r>
      <w:proofErr w:type="gramEnd"/>
      <w:r w:rsidRPr="003015D7">
        <w:rPr>
          <w:rFonts w:ascii="Arial" w:hAnsi="Arial" w:cs="Arial"/>
          <w:sz w:val="22"/>
          <w:szCs w:val="22"/>
        </w:rPr>
        <w:t xml:space="preserve"> analyses may be useful in informing local policies to raise the </w:t>
      </w:r>
      <w:r w:rsidRPr="003015D7">
        <w:rPr>
          <w:rFonts w:ascii="Arial" w:hAnsi="Arial" w:cs="Arial"/>
          <w:i/>
          <w:iCs/>
          <w:sz w:val="22"/>
          <w:szCs w:val="22"/>
        </w:rPr>
        <w:t>average</w:t>
      </w:r>
      <w:r w:rsidRPr="003015D7">
        <w:rPr>
          <w:rFonts w:ascii="Arial" w:hAnsi="Arial" w:cs="Arial"/>
          <w:sz w:val="22"/>
          <w:szCs w:val="22"/>
        </w:rPr>
        <w:t xml:space="preserve"> health of a county, and county-level sociodemographic analyses may be useful in informing local policies to reduce disparities within a county – thus, county-level analyses are useful in addressing both of the primary goals of population health: increasing the health of the population overall and reducing health disparities (Kindig 2017). As we have seen during the COVID pandemic, local public health departments, school boards, and faith-based organizations have the power to make decisions which affect public health at an “average” level. County-level analyses may help local decision-makers understand the patterns and processes of their communities. Additionally, because we use a dataset which contains all 3142 US counties, rural counties are better represented than urban counties despite having smaller total population. We use county-level data because that is what is available, but also because we cannot know exactly which individuals are in each county at time 0 and at time 1, creating treatment and outcome groups that differ at the individual-level, but not at the county-level. </w:t>
      </w:r>
      <w:r w:rsidR="003015D7" w:rsidRPr="003015D7">
        <w:rPr>
          <w:rFonts w:ascii="Arial" w:hAnsi="Arial" w:cs="Arial"/>
          <w:sz w:val="22"/>
          <w:szCs w:val="22"/>
        </w:rPr>
        <w:t>Of course,</w:t>
      </w:r>
      <w:r w:rsidRPr="003015D7">
        <w:rPr>
          <w:rFonts w:ascii="Arial" w:hAnsi="Arial" w:cs="Arial"/>
          <w:sz w:val="22"/>
          <w:szCs w:val="22"/>
        </w:rPr>
        <w:t xml:space="preserve"> there is information lost when using group-level data, and the downsides of such an ecological study design have been enumerated many times previously (GREENLAND and MORGENSTERN 1989); however, by studying county-level data, we can draw attention to environmental county-level health factors - factors that are likely to have different effects when comparing individuals but may remain largely constant when comparing groups or counties. </w:t>
      </w:r>
    </w:p>
    <w:p w14:paraId="05C3E02B" w14:textId="77777777" w:rsidR="00792322" w:rsidRPr="003015D7" w:rsidRDefault="00000000" w:rsidP="003015D7">
      <w:pPr>
        <w:pStyle w:val="BodyText"/>
        <w:rPr>
          <w:rFonts w:ascii="Arial" w:hAnsi="Arial" w:cs="Arial"/>
          <w:sz w:val="22"/>
          <w:szCs w:val="22"/>
        </w:rPr>
      </w:pPr>
      <w:r w:rsidRPr="003015D7">
        <w:rPr>
          <w:rFonts w:ascii="Arial" w:hAnsi="Arial" w:cs="Arial"/>
          <w:b/>
          <w:bCs/>
          <w:sz w:val="22"/>
          <w:szCs w:val="22"/>
          <w:u w:val="single"/>
        </w:rPr>
        <w:t>Innovation</w:t>
      </w:r>
    </w:p>
    <w:p w14:paraId="467B8F5D"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lastRenderedPageBreak/>
        <w:t xml:space="preserve">The relationship between place and health has been studied many times before. However, many existing studies measure the effects of place on health at a single point in time, without accounting for interconnectedness via migration. Additionally, though time-series forecasting of county-level mortality rates has been done many times previously, our </w:t>
      </w:r>
      <w:r w:rsidRPr="003015D7">
        <w:rPr>
          <w:rFonts w:ascii="Arial" w:hAnsi="Arial" w:cs="Arial"/>
          <w:i/>
          <w:iCs/>
          <w:sz w:val="22"/>
          <w:szCs w:val="22"/>
        </w:rPr>
        <w:t>migrationally</w:t>
      </w:r>
      <w:r w:rsidRPr="003015D7">
        <w:rPr>
          <w:rFonts w:ascii="Arial" w:hAnsi="Arial" w:cs="Arial"/>
          <w:sz w:val="22"/>
          <w:szCs w:val="22"/>
        </w:rPr>
        <w:t xml:space="preserve"> autoregressive model (which accounts for county-to-county migration) is unique – many existing models account for spatial correlation between counties but do not account for migration between counties. There are many dimensions of migration: time, space, age, neighborhood, health, income, etc. In our third aim, tensor factorization allows us to assess each dimension of migration separately. Tensor factorization has been used to study migration using the IRS migration flow dataset, but to our knowledge, it has not yet been used to assess sociodemographic dimensions of migration. Our application of tensor factorization will allow us to create a better picture of who migrates, when they migrate, and where they migrate on average within the US which we can then use to study the relative effect of migration on county-level health.</w:t>
      </w:r>
    </w:p>
    <w:p w14:paraId="0D37B00A" w14:textId="77777777" w:rsidR="00792322" w:rsidRPr="003015D7" w:rsidRDefault="00000000" w:rsidP="003015D7">
      <w:pPr>
        <w:pStyle w:val="BodyText"/>
        <w:rPr>
          <w:rFonts w:ascii="Arial" w:hAnsi="Arial" w:cs="Arial"/>
          <w:sz w:val="22"/>
          <w:szCs w:val="22"/>
        </w:rPr>
      </w:pPr>
      <w:r w:rsidRPr="003015D7">
        <w:rPr>
          <w:rFonts w:ascii="Arial" w:hAnsi="Arial" w:cs="Arial"/>
          <w:b/>
          <w:bCs/>
          <w:sz w:val="22"/>
          <w:szCs w:val="22"/>
          <w:u w:val="single"/>
        </w:rPr>
        <w:t>Approach</w:t>
      </w:r>
    </w:p>
    <w:p w14:paraId="2C692D86" w14:textId="59101DC1" w:rsidR="00792322" w:rsidRPr="003015D7" w:rsidRDefault="00000000" w:rsidP="003015D7">
      <w:pPr>
        <w:pStyle w:val="BodyText"/>
        <w:rPr>
          <w:rFonts w:ascii="Arial" w:hAnsi="Arial" w:cs="Arial"/>
          <w:sz w:val="22"/>
          <w:szCs w:val="22"/>
        </w:rPr>
      </w:pPr>
      <w:r w:rsidRPr="003015D7">
        <w:rPr>
          <w:rFonts w:ascii="Arial" w:hAnsi="Arial" w:cs="Arial"/>
          <w:b/>
          <w:bCs/>
          <w:sz w:val="22"/>
          <w:szCs w:val="22"/>
          <w:u w:val="single"/>
        </w:rPr>
        <w:t>Aim 1:</w:t>
      </w:r>
      <w:r w:rsidRPr="003015D7">
        <w:rPr>
          <w:rFonts w:ascii="Arial" w:hAnsi="Arial" w:cs="Arial"/>
          <w:sz w:val="22"/>
          <w:szCs w:val="22"/>
          <w:u w:val="single"/>
        </w:rPr>
        <w:t xml:space="preserve"> Quantify the associations of place and self-reported mental health at the county level.</w:t>
      </w:r>
      <w:r w:rsidRPr="003015D7">
        <w:rPr>
          <w:rFonts w:ascii="Arial" w:hAnsi="Arial" w:cs="Arial"/>
          <w:sz w:val="22"/>
          <w:szCs w:val="22"/>
        </w:rPr>
        <w:t xml:space="preserve"> </w:t>
      </w:r>
      <w:r w:rsidRPr="003015D7">
        <w:rPr>
          <w:rFonts w:ascii="Arial" w:hAnsi="Arial" w:cs="Arial"/>
          <w:b/>
          <w:bCs/>
          <w:sz w:val="22"/>
          <w:szCs w:val="22"/>
        </w:rPr>
        <w:t>Hypothesis 1A:</w:t>
      </w:r>
      <w:r w:rsidRPr="003015D7">
        <w:rPr>
          <w:rFonts w:ascii="Arial" w:hAnsi="Arial" w:cs="Arial"/>
          <w:sz w:val="22"/>
          <w:szCs w:val="22"/>
        </w:rPr>
        <w:t xml:space="preserve"> County-level averages in poor mental health days are related to urbanicity after accounting for county-level demographic differences. </w:t>
      </w:r>
      <w:r w:rsidRPr="003015D7">
        <w:rPr>
          <w:rFonts w:ascii="Arial" w:hAnsi="Arial" w:cs="Arial"/>
          <w:b/>
          <w:bCs/>
          <w:sz w:val="22"/>
          <w:szCs w:val="22"/>
        </w:rPr>
        <w:t>Hypothesis 1B:</w:t>
      </w:r>
      <w:r w:rsidRPr="003015D7">
        <w:rPr>
          <w:rFonts w:ascii="Arial" w:hAnsi="Arial" w:cs="Arial"/>
          <w:sz w:val="22"/>
          <w:szCs w:val="22"/>
        </w:rPr>
        <w:t xml:space="preserve"> This relationship can be explained by differences in factors linked to the built environment (</w:t>
      </w:r>
      <w:r w:rsidR="003015D7" w:rsidRPr="003015D7">
        <w:rPr>
          <w:rFonts w:ascii="Arial" w:hAnsi="Arial" w:cs="Arial"/>
          <w:sz w:val="22"/>
          <w:szCs w:val="22"/>
        </w:rPr>
        <w:t>e.g.,</w:t>
      </w:r>
      <w:r w:rsidRPr="003015D7">
        <w:rPr>
          <w:rFonts w:ascii="Arial" w:hAnsi="Arial" w:cs="Arial"/>
          <w:sz w:val="22"/>
          <w:szCs w:val="22"/>
        </w:rPr>
        <w:t xml:space="preserve"> access to exercise, mental health providers, air pollution, violent crime, and severe housing problems). </w:t>
      </w:r>
      <w:r w:rsidRPr="003015D7">
        <w:rPr>
          <w:rFonts w:ascii="Arial" w:hAnsi="Arial" w:cs="Arial"/>
          <w:b/>
          <w:bCs/>
          <w:sz w:val="22"/>
          <w:szCs w:val="22"/>
        </w:rPr>
        <w:t>Hypothesis 1C:</w:t>
      </w:r>
      <w:r w:rsidRPr="003015D7">
        <w:rPr>
          <w:rFonts w:ascii="Arial" w:hAnsi="Arial" w:cs="Arial"/>
          <w:sz w:val="22"/>
          <w:szCs w:val="22"/>
        </w:rPr>
        <w:t xml:space="preserve"> The way in which factors linked to the bulit environment explain the connection between urbanicity and mental health varies between the most rural and the the most urban counties.</w:t>
      </w:r>
    </w:p>
    <w:p w14:paraId="5A0448DE" w14:textId="77777777" w:rsidR="00792322" w:rsidRPr="003015D7" w:rsidRDefault="00000000" w:rsidP="003015D7">
      <w:pPr>
        <w:pStyle w:val="BodyText"/>
        <w:rPr>
          <w:rFonts w:ascii="Arial" w:hAnsi="Arial" w:cs="Arial"/>
          <w:sz w:val="22"/>
          <w:szCs w:val="22"/>
        </w:rPr>
      </w:pPr>
      <w:r w:rsidRPr="003015D7">
        <w:rPr>
          <w:rFonts w:ascii="Arial" w:hAnsi="Arial" w:cs="Arial"/>
          <w:b/>
          <w:bCs/>
          <w:i/>
          <w:iCs/>
          <w:sz w:val="22"/>
          <w:szCs w:val="22"/>
        </w:rPr>
        <w:t>Note:</w:t>
      </w:r>
      <w:r w:rsidRPr="003015D7">
        <w:rPr>
          <w:rFonts w:ascii="Arial" w:hAnsi="Arial" w:cs="Arial"/>
          <w:sz w:val="22"/>
          <w:szCs w:val="22"/>
        </w:rPr>
        <w:t xml:space="preserve"> This aim is complete. Olson-Williams, H.E., Grey, S.T., and Cochran, A.L. have published a manuscript titled “Ecological Study of Urbanicity and Self-reported Poor Mental Health Days Across US Counties” in the Community Mental Health Journal. Below we provide a brief overview of this aim, but please refer to the published paper </w:t>
      </w:r>
      <w:hyperlink r:id="rId7">
        <w:r w:rsidRPr="003015D7">
          <w:rPr>
            <w:rStyle w:val="Hyperlink"/>
            <w:rFonts w:ascii="Arial" w:hAnsi="Arial" w:cs="Arial"/>
            <w:color w:val="auto"/>
            <w:sz w:val="22"/>
            <w:szCs w:val="22"/>
          </w:rPr>
          <w:t>here</w:t>
        </w:r>
      </w:hyperlink>
      <w:r w:rsidRPr="003015D7">
        <w:rPr>
          <w:rFonts w:ascii="Arial" w:hAnsi="Arial" w:cs="Arial"/>
          <w:sz w:val="22"/>
          <w:szCs w:val="22"/>
        </w:rPr>
        <w:t xml:space="preserve"> for full details.</w:t>
      </w:r>
    </w:p>
    <w:p w14:paraId="716C48A8"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Data</w:t>
      </w:r>
      <w:r w:rsidRPr="003015D7">
        <w:rPr>
          <w:rFonts w:ascii="Arial" w:hAnsi="Arial" w:cs="Arial"/>
          <w:sz w:val="22"/>
          <w:szCs w:val="22"/>
        </w:rPr>
        <w:t>: Data on US counties was provided by the University of Wisconsin’s County Health Rankings and Roadmaps (CHRR). CHRR collects and aggregates publicly available data at the county-level. Therefore, this is an ecological study, and the unit of analysis for this paper is a county. We analyzed the 2021 CHRR dataset for all 3142 US counties for which data is available.</w:t>
      </w:r>
    </w:p>
    <w:p w14:paraId="622C5754"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The</w:t>
      </w:r>
      <w:r w:rsidRPr="003015D7">
        <w:rPr>
          <w:rFonts w:ascii="Arial" w:hAnsi="Arial" w:cs="Arial"/>
          <w:sz w:val="22"/>
          <w:szCs w:val="22"/>
        </w:rPr>
        <w:t xml:space="preserve"> </w:t>
      </w:r>
      <w:r w:rsidRPr="003015D7">
        <w:rPr>
          <w:rFonts w:ascii="Arial" w:hAnsi="Arial" w:cs="Arial"/>
          <w:sz w:val="22"/>
          <w:szCs w:val="22"/>
          <w:u w:val="single"/>
        </w:rPr>
        <w:t>outcome of interest is poor mental health days</w:t>
      </w:r>
      <w:r w:rsidRPr="003015D7">
        <w:rPr>
          <w:rFonts w:ascii="Arial" w:hAnsi="Arial" w:cs="Arial"/>
          <w:sz w:val="22"/>
          <w:szCs w:val="22"/>
        </w:rPr>
        <w:t>, an age-adjusted average number of mentally unhealthy days reported in the past 30 days. This is a self-reported variable collected by the BRFSS. The most recent available data represents 2018. We chose to use this measure of self-reported health because BRFSS is the largest continuously conducted health survey system in the world (“CDC - about BRFSS” 2019), and BRFSS county-level estimates span all 3142 US counties. These estimates are well-validated and commonly used (Pierannunzi, Hu, and Balluz 2013).</w:t>
      </w:r>
    </w:p>
    <w:p w14:paraId="5A1F2CEC" w14:textId="06C90A4C"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The exposure of interest is urbanicity.</w:t>
      </w:r>
      <w:r w:rsidRPr="003015D7">
        <w:rPr>
          <w:rFonts w:ascii="Arial" w:hAnsi="Arial" w:cs="Arial"/>
          <w:sz w:val="22"/>
          <w:szCs w:val="22"/>
        </w:rPr>
        <w:t xml:space="preserve"> Each county in the dataset has been assigned an urbanicity category based on the 2013 National Center for Health Statistics (NCHS) Urban–Rural Classification Scheme for </w:t>
      </w:r>
      <w:r w:rsidR="003015D7" w:rsidRPr="003015D7">
        <w:rPr>
          <w:rFonts w:ascii="Arial" w:hAnsi="Arial" w:cs="Arial"/>
          <w:sz w:val="22"/>
          <w:szCs w:val="22"/>
        </w:rPr>
        <w:t>Counties (</w:t>
      </w:r>
      <w:r w:rsidRPr="003015D7">
        <w:rPr>
          <w:rFonts w:ascii="Arial" w:hAnsi="Arial" w:cs="Arial"/>
          <w:sz w:val="22"/>
          <w:szCs w:val="22"/>
        </w:rPr>
        <w:t xml:space="preserve">Rothwell, </w:t>
      </w:r>
      <w:proofErr w:type="spellStart"/>
      <w:r w:rsidRPr="003015D7">
        <w:rPr>
          <w:rFonts w:ascii="Arial" w:hAnsi="Arial" w:cs="Arial"/>
          <w:sz w:val="22"/>
          <w:szCs w:val="22"/>
        </w:rPr>
        <w:t>Madans</w:t>
      </w:r>
      <w:proofErr w:type="spellEnd"/>
      <w:r w:rsidRPr="003015D7">
        <w:rPr>
          <w:rFonts w:ascii="Arial" w:hAnsi="Arial" w:cs="Arial"/>
          <w:sz w:val="22"/>
          <w:szCs w:val="22"/>
        </w:rPr>
        <w:t xml:space="preserve">, and </w:t>
      </w:r>
      <w:proofErr w:type="spellStart"/>
      <w:r w:rsidRPr="003015D7">
        <w:rPr>
          <w:rFonts w:ascii="Arial" w:hAnsi="Arial" w:cs="Arial"/>
          <w:sz w:val="22"/>
          <w:szCs w:val="22"/>
        </w:rPr>
        <w:t>Arispe</w:t>
      </w:r>
      <w:proofErr w:type="spellEnd"/>
      <w:r w:rsidRPr="003015D7">
        <w:rPr>
          <w:rFonts w:ascii="Arial" w:hAnsi="Arial" w:cs="Arial"/>
          <w:sz w:val="22"/>
          <w:szCs w:val="22"/>
        </w:rPr>
        <w:t>, n.d.). The NCHS urban–rural classification scheme relies on information such as population density as well as proximity to the largest city within a metropolitan statistical area. The six categories are as follows: large central metro (n = 68), large fringe metro (n = 368), medium metro (n = 372), small metro (n = 357), micropolitan (n = 641), and noncore (n = 1335). It is worth noting that the four “Metro” categories contain 85% of the total US population.</w:t>
      </w:r>
    </w:p>
    <w:p w14:paraId="790B39CA"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Controls were variables that might confound the relationship between urbanicity and mental health.</w:t>
      </w:r>
      <w:r w:rsidRPr="003015D7">
        <w:rPr>
          <w:rFonts w:ascii="Arial" w:hAnsi="Arial" w:cs="Arial"/>
          <w:sz w:val="22"/>
          <w:szCs w:val="22"/>
        </w:rPr>
        <w:t xml:space="preserve"> Broadly, the sociodemographic makeup of a county varies with urbanicity and is expected to also influence mental health of persons living in the county. The first variable we controlled for is median household income: the income level at which half of households in the county earn more, to measure the typical income in a county. We controlled for median household income, since higher income allows county residents to enjoy greater access to mental health care, which may be positively related to mental health (Grembowski et al. 2002). For similar reasons, we also controlled for education (Chevalier and Feinstein 2006). Thus, the second control variable was some college: the percentage of adults ages 25–44 with some post-secondary education. The third control variable was percent over 65: the percentage of the population that are over age 65, since age is associated with decreased rates of self-reported poor mental health (“NIMH » Mental Illness,” n.d.). Another </w:t>
      </w:r>
      <w:r w:rsidRPr="003015D7">
        <w:rPr>
          <w:rFonts w:ascii="Arial" w:hAnsi="Arial" w:cs="Arial"/>
          <w:sz w:val="22"/>
          <w:szCs w:val="22"/>
        </w:rPr>
        <w:lastRenderedPageBreak/>
        <w:t>control variable was US state. We added a control variable for state to account for potential state-level effects since our outcome variable comes from BRFSS which uses state-level sampling methods.</w:t>
      </w:r>
    </w:p>
    <w:p w14:paraId="3EB4F557"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We also controlled for race/ethnicity since self-reported mental health differs by race/ethnicity. For example, during the pre-vaccine COVID-19 pandemic, adults identifying as Hispanic had 20% to 400% greater odds of experiencing poor mental health than adults identifying as non-Hispanic (H. Lee and Singh 2021). Additionally, people who identify as Black are historically more likely to report lower levels of life satisfaction than people identifying as white (Hughes and Thomas 1998). Therefore, we controlled for the variables Percent Black: the percentage of the population that is non-Hispanic Black or African American, and Percent Hispanic: the percentage of the population that is Hispanic.</w:t>
      </w:r>
    </w:p>
    <w:p w14:paraId="3F34E74B"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There were eight potential mediators of interest.</w:t>
      </w:r>
      <w:r w:rsidRPr="003015D7">
        <w:rPr>
          <w:rFonts w:ascii="Arial" w:hAnsi="Arial" w:cs="Arial"/>
          <w:sz w:val="22"/>
          <w:szCs w:val="22"/>
        </w:rPr>
        <w:t xml:space="preserve"> Social associations </w:t>
      </w:r>
      <w:proofErr w:type="gramStart"/>
      <w:r w:rsidRPr="003015D7">
        <w:rPr>
          <w:rFonts w:ascii="Arial" w:hAnsi="Arial" w:cs="Arial"/>
          <w:sz w:val="22"/>
          <w:szCs w:val="22"/>
        </w:rPr>
        <w:t>is</w:t>
      </w:r>
      <w:proofErr w:type="gramEnd"/>
      <w:r w:rsidRPr="003015D7">
        <w:rPr>
          <w:rFonts w:ascii="Arial" w:hAnsi="Arial" w:cs="Arial"/>
          <w:sz w:val="22"/>
          <w:szCs w:val="22"/>
        </w:rPr>
        <w:t xml:space="preserve"> the number of membership associations in a county per 10,000 population. Access to exercise is the percentage of the population with adequate access to locations for physical activity. Food environment index is calculated as a ratio of the percent of each county’s population experiencing limited access to healthy foods to the percent of each county’s population experiencing food insecurity. The percent of the population experiencing limited access to health foods is calculated as a function of poverty and distance to a grocery store while food insecurity is a modeled estimate from the Core Food Insecurity Model (“Map the Meal Gap Data | Feeding America,” n.d.). Mental health providers </w:t>
      </w:r>
      <w:proofErr w:type="gramStart"/>
      <w:r w:rsidRPr="003015D7">
        <w:rPr>
          <w:rFonts w:ascii="Arial" w:hAnsi="Arial" w:cs="Arial"/>
          <w:sz w:val="22"/>
          <w:szCs w:val="22"/>
        </w:rPr>
        <w:t>is</w:t>
      </w:r>
      <w:proofErr w:type="gramEnd"/>
      <w:r w:rsidRPr="003015D7">
        <w:rPr>
          <w:rFonts w:ascii="Arial" w:hAnsi="Arial" w:cs="Arial"/>
          <w:sz w:val="22"/>
          <w:szCs w:val="22"/>
        </w:rPr>
        <w:t xml:space="preserve"> the ratio of population to mental health providers. Air pollution is the average daily density of fine particulate matter in micrograms per cubic meter. Violent crime is the number of reported violent crime offenses per 100,000 population. Severe housing cost burden is the percentage of households that spend 50% or more of their income on housing. Income inequality is the ratio of household income at the 80th percentile to income at the 20th percentile.</w:t>
      </w:r>
    </w:p>
    <w:tbl>
      <w:tblPr>
        <w:tblStyle w:val="Table"/>
        <w:tblW w:w="5000" w:type="pct"/>
        <w:tblLook w:val="0000" w:firstRow="0" w:lastRow="0" w:firstColumn="0" w:lastColumn="0" w:noHBand="0" w:noVBand="0"/>
      </w:tblPr>
      <w:tblGrid>
        <w:gridCol w:w="11016"/>
      </w:tblGrid>
      <w:tr w:rsidR="003015D7" w:rsidRPr="003015D7" w14:paraId="03F8A99C" w14:textId="77777777">
        <w:tc>
          <w:tcPr>
            <w:tcW w:w="0" w:type="auto"/>
          </w:tcPr>
          <w:p w14:paraId="6B99F62B" w14:textId="77777777" w:rsidR="00792322" w:rsidRPr="003015D7" w:rsidRDefault="00000000" w:rsidP="003015D7">
            <w:pPr>
              <w:jc w:val="center"/>
              <w:rPr>
                <w:rFonts w:ascii="Arial" w:hAnsi="Arial" w:cs="Arial"/>
                <w:sz w:val="22"/>
                <w:szCs w:val="22"/>
              </w:rPr>
            </w:pPr>
            <w:r w:rsidRPr="003015D7">
              <w:rPr>
                <w:rFonts w:ascii="Arial" w:hAnsi="Arial" w:cs="Arial"/>
                <w:noProof/>
                <w:sz w:val="22"/>
                <w:szCs w:val="22"/>
              </w:rPr>
              <w:drawing>
                <wp:inline distT="0" distB="0" distL="0" distR="0" wp14:anchorId="13237553" wp14:editId="5258B64F">
                  <wp:extent cx="5334000" cy="1309413"/>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images/urbtable1.png"/>
                          <pic:cNvPicPr>
                            <a:picLocks noChangeAspect="1" noChangeArrowheads="1"/>
                          </pic:cNvPicPr>
                        </pic:nvPicPr>
                        <pic:blipFill>
                          <a:blip r:embed="rId8"/>
                          <a:stretch>
                            <a:fillRect/>
                          </a:stretch>
                        </pic:blipFill>
                        <pic:spPr bwMode="auto">
                          <a:xfrm>
                            <a:off x="0" y="0"/>
                            <a:ext cx="5334000" cy="1309413"/>
                          </a:xfrm>
                          <a:prstGeom prst="rect">
                            <a:avLst/>
                          </a:prstGeom>
                          <a:noFill/>
                          <a:ln w="9525">
                            <a:noFill/>
                            <a:headEnd/>
                            <a:tailEnd/>
                          </a:ln>
                        </pic:spPr>
                      </pic:pic>
                    </a:graphicData>
                  </a:graphic>
                </wp:inline>
              </w:drawing>
            </w:r>
          </w:p>
          <w:p w14:paraId="0C85CC3B" w14:textId="77777777" w:rsidR="00792322" w:rsidRPr="003015D7" w:rsidRDefault="00000000" w:rsidP="003015D7">
            <w:pPr>
              <w:pStyle w:val="ImageCaption"/>
              <w:spacing w:before="200"/>
              <w:rPr>
                <w:rFonts w:ascii="Arial" w:hAnsi="Arial" w:cs="Arial"/>
                <w:sz w:val="22"/>
                <w:szCs w:val="22"/>
              </w:rPr>
            </w:pPr>
            <w:r w:rsidRPr="003015D7">
              <w:rPr>
                <w:rFonts w:ascii="Arial" w:hAnsi="Arial" w:cs="Arial"/>
                <w:sz w:val="22"/>
                <w:szCs w:val="22"/>
              </w:rPr>
              <w:t>Table 1: Mean (SD) characteristics of US counties by urbanicity category</w:t>
            </w:r>
          </w:p>
        </w:tc>
      </w:tr>
    </w:tbl>
    <w:p w14:paraId="758F85A8" w14:textId="6D62A21E" w:rsidR="00792322" w:rsidRPr="003015D7" w:rsidRDefault="00000000" w:rsidP="003015D7">
      <w:pPr>
        <w:pStyle w:val="BodyText"/>
        <w:rPr>
          <w:rFonts w:ascii="Arial" w:hAnsi="Arial" w:cs="Arial"/>
          <w:sz w:val="22"/>
          <w:szCs w:val="22"/>
        </w:rPr>
      </w:pPr>
      <w:r w:rsidRPr="003015D7">
        <w:rPr>
          <w:rFonts w:ascii="Arial" w:hAnsi="Arial" w:cs="Arial"/>
          <w:b/>
          <w:bCs/>
          <w:sz w:val="22"/>
          <w:szCs w:val="22"/>
          <w:u w:val="single"/>
        </w:rPr>
        <w:t>Approach:</w:t>
      </w:r>
      <w:r w:rsidRPr="003015D7">
        <w:rPr>
          <w:rFonts w:ascii="Arial" w:hAnsi="Arial" w:cs="Arial"/>
          <w:sz w:val="22"/>
          <w:szCs w:val="22"/>
        </w:rPr>
        <w:t xml:space="preserve"> We estimated the relationship between urbanicity and average poor mental health days using mixed effects linear regression models. For simplicity, we built models that compare counties from one urbanicity category at a time against small metro counties. Hence, five comparisons were made: large central metro, large fringe metro, medium metro, micropolitan, and noncore vs. small metro. Each linear regression model included poor mental health days as the dependent variable and urbanicity as the independent variable. State was included as a random effect to accommodate within-state correlation and variation due to state differences in BRFSS approaches. Models were fit with and without adjustments for the control variables. Control variables were accounted for using inverse probability weighting (IPW). IPW entails weighting each county by the multiplicative inverse of the propensity scores, i.e., the probability of belonging to the county’s urbanicity category conditional on the confounding variables (i.e., education, income, age, percent Black, and percent Hispanic). This approach was used as opposed to including control variables directly in the model to avoid issues with misspecification of their influence in the linear regression model. Propensity scores needed for IPW were calculated from a logistic regression model for each urbanicity comparison. Hence, five logistic regression models were fit. Small metro was chosen as the reference category to avoid propensity scores near 0 or 1, since small metro is one of the middle urban categories. By contrast, an urban category at one extreme (e.g., large central metro) would lead to propensities close to 0 or 1 when compared to the other extreme (</w:t>
      </w:r>
      <w:r w:rsidR="008145C3" w:rsidRPr="003015D7">
        <w:rPr>
          <w:rFonts w:ascii="Arial" w:hAnsi="Arial" w:cs="Arial"/>
          <w:sz w:val="22"/>
          <w:szCs w:val="22"/>
        </w:rPr>
        <w:t>e.g.,</w:t>
      </w:r>
      <w:r w:rsidRPr="003015D7">
        <w:rPr>
          <w:rFonts w:ascii="Arial" w:hAnsi="Arial" w:cs="Arial"/>
          <w:sz w:val="22"/>
          <w:szCs w:val="22"/>
        </w:rPr>
        <w:t xml:space="preserve"> noncore). Education, income, percent Black, percent Hispanic, and age are treated as independent variables in each logistic regression model. Considering that education and income have a strong relationship to mental health (Araya et al. 2003) and vary greatly across counties, an interaction term between income and education is included in the logistic regression model. In addition, natural cubic splines with three degrees of freedom each were used for education and household income. To validate this choice of model, other models were considered and compared to our model based on Akaike Information Criteria (AIC). We examined eight </w:t>
      </w:r>
      <w:r w:rsidRPr="003015D7">
        <w:rPr>
          <w:rFonts w:ascii="Arial" w:hAnsi="Arial" w:cs="Arial"/>
          <w:sz w:val="22"/>
          <w:szCs w:val="22"/>
        </w:rPr>
        <w:lastRenderedPageBreak/>
        <w:t>potential mediators using a combination of inverse probability weighting and random effects to account for potential confounders of the urban-mental health relationship. Mediation analysis was conducted in two steps</w:t>
      </w:r>
      <w:r w:rsidR="003015D7">
        <w:rPr>
          <w:rFonts w:ascii="Arial" w:hAnsi="Arial" w:cs="Arial"/>
          <w:sz w:val="22"/>
          <w:szCs w:val="22"/>
        </w:rPr>
        <w:t xml:space="preserve"> </w:t>
      </w:r>
      <w:r w:rsidRPr="003015D7">
        <w:rPr>
          <w:rFonts w:ascii="Arial" w:hAnsi="Arial" w:cs="Arial"/>
          <w:sz w:val="22"/>
          <w:szCs w:val="22"/>
        </w:rPr>
        <w:t xml:space="preserve">(Imai, </w:t>
      </w:r>
      <w:proofErr w:type="spellStart"/>
      <w:r w:rsidRPr="003015D7">
        <w:rPr>
          <w:rFonts w:ascii="Arial" w:hAnsi="Arial" w:cs="Arial"/>
          <w:sz w:val="22"/>
          <w:szCs w:val="22"/>
        </w:rPr>
        <w:t>Keele</w:t>
      </w:r>
      <w:proofErr w:type="spellEnd"/>
      <w:r w:rsidRPr="003015D7">
        <w:rPr>
          <w:rFonts w:ascii="Arial" w:hAnsi="Arial" w:cs="Arial"/>
          <w:sz w:val="22"/>
          <w:szCs w:val="22"/>
        </w:rPr>
        <w:t>, and Tingley 2010; VanderWeele and Vansteelandt 2014)</w:t>
      </w:r>
      <w:r w:rsidR="003015D7">
        <w:rPr>
          <w:rFonts w:ascii="Arial" w:hAnsi="Arial" w:cs="Arial"/>
          <w:sz w:val="22"/>
          <w:szCs w:val="22"/>
        </w:rPr>
        <w:t>.</w:t>
      </w:r>
      <w:r w:rsidRPr="003015D7">
        <w:rPr>
          <w:rFonts w:ascii="Arial" w:hAnsi="Arial" w:cs="Arial"/>
          <w:sz w:val="22"/>
          <w:szCs w:val="22"/>
        </w:rPr>
        <w:t xml:space="preserve"> First, we built a linear regression model for each urbanicity comparison relating potential mediators and urbanicity to poor mental health. These models included the eight mediators as independent variables but were otherwise identical to models from our primary analysis: poor mental health days was the dependent variable, urbanicity was an independent variable, state was a random effect, and IPW was used to adjust for control variables. Second, we built a linear regression model for each urbanicity comparison and each potential mediator. In this case, the potential mediator was the outcome variable, urbanicity was the independent variable, state was a random effect, and IPW was used to adjust for control variables. </w:t>
      </w:r>
    </w:p>
    <w:p w14:paraId="1E0782E2" w14:textId="77777777" w:rsidR="00792322" w:rsidRPr="003015D7" w:rsidRDefault="00000000" w:rsidP="003015D7">
      <w:pPr>
        <w:pStyle w:val="BodyText"/>
        <w:rPr>
          <w:rFonts w:ascii="Arial" w:hAnsi="Arial" w:cs="Arial"/>
          <w:sz w:val="22"/>
          <w:szCs w:val="22"/>
        </w:rPr>
      </w:pPr>
      <w:r w:rsidRPr="003015D7">
        <w:rPr>
          <w:rFonts w:ascii="Arial" w:hAnsi="Arial" w:cs="Arial"/>
          <w:b/>
          <w:bCs/>
          <w:sz w:val="22"/>
          <w:szCs w:val="22"/>
          <w:u w:val="single"/>
        </w:rPr>
        <w:t>Results and future directions</w:t>
      </w:r>
      <w:r w:rsidRPr="003015D7">
        <w:rPr>
          <w:rFonts w:ascii="Arial" w:hAnsi="Arial" w:cs="Arial"/>
          <w:b/>
          <w:bCs/>
          <w:sz w:val="22"/>
          <w:szCs w:val="22"/>
        </w:rPr>
        <w:t>:</w:t>
      </w:r>
      <w:r w:rsidRPr="003015D7">
        <w:rPr>
          <w:rFonts w:ascii="Arial" w:hAnsi="Arial" w:cs="Arial"/>
          <w:sz w:val="22"/>
          <w:szCs w:val="22"/>
        </w:rPr>
        <w:t xml:space="preserve"> Controlling for state, age, income, education, and race/ethnicity, large central metro counties reported 0.24 fewer average poor mental health days than small metro counties (</w:t>
      </w:r>
      <w:r w:rsidRPr="003015D7">
        <w:rPr>
          <w:rFonts w:ascii="Arial" w:hAnsi="Arial" w:cs="Arial"/>
          <w:i/>
          <w:iCs/>
          <w:sz w:val="22"/>
          <w:szCs w:val="22"/>
        </w:rPr>
        <w:t>t</w:t>
      </w:r>
      <w:r w:rsidRPr="003015D7">
        <w:rPr>
          <w:rFonts w:ascii="Arial" w:hAnsi="Arial" w:cs="Arial"/>
          <w:sz w:val="22"/>
          <w:szCs w:val="22"/>
        </w:rPr>
        <w:t> = − 5.78, </w:t>
      </w:r>
      <w:r w:rsidRPr="003015D7">
        <w:rPr>
          <w:rFonts w:ascii="Arial" w:hAnsi="Arial" w:cs="Arial"/>
          <w:i/>
          <w:iCs/>
          <w:sz w:val="22"/>
          <w:szCs w:val="22"/>
        </w:rPr>
        <w:t>df</w:t>
      </w:r>
      <w:r w:rsidRPr="003015D7">
        <w:rPr>
          <w:rFonts w:ascii="Arial" w:hAnsi="Arial" w:cs="Arial"/>
          <w:sz w:val="22"/>
          <w:szCs w:val="22"/>
        </w:rPr>
        <w:t> = 423, </w:t>
      </w:r>
      <w:r w:rsidRPr="003015D7">
        <w:rPr>
          <w:rFonts w:ascii="Arial" w:hAnsi="Arial" w:cs="Arial"/>
          <w:i/>
          <w:iCs/>
          <w:sz w:val="22"/>
          <w:szCs w:val="22"/>
        </w:rPr>
        <w:t>p</w:t>
      </w:r>
      <w:r w:rsidRPr="003015D7">
        <w:rPr>
          <w:rFonts w:ascii="Arial" w:hAnsi="Arial" w:cs="Arial"/>
          <w:sz w:val="22"/>
          <w:szCs w:val="22"/>
        </w:rPr>
        <w:t> &lt; .001). Noncore counties had 0.07 more average poor mental health days than small metro counties (</w:t>
      </w:r>
      <w:r w:rsidRPr="003015D7">
        <w:rPr>
          <w:rFonts w:ascii="Arial" w:hAnsi="Arial" w:cs="Arial"/>
          <w:i/>
          <w:iCs/>
          <w:sz w:val="22"/>
          <w:szCs w:val="22"/>
        </w:rPr>
        <w:t>t</w:t>
      </w:r>
      <w:r w:rsidRPr="003015D7">
        <w:rPr>
          <w:rFonts w:ascii="Arial" w:hAnsi="Arial" w:cs="Arial"/>
          <w:sz w:val="22"/>
          <w:szCs w:val="22"/>
        </w:rPr>
        <w:t> = 3.06, </w:t>
      </w:r>
      <w:r w:rsidRPr="003015D7">
        <w:rPr>
          <w:rFonts w:ascii="Arial" w:hAnsi="Arial" w:cs="Arial"/>
          <w:i/>
          <w:iCs/>
          <w:sz w:val="22"/>
          <w:szCs w:val="22"/>
        </w:rPr>
        <w:t>df</w:t>
      </w:r>
      <w:r w:rsidRPr="003015D7">
        <w:rPr>
          <w:rFonts w:ascii="Arial" w:hAnsi="Arial" w:cs="Arial"/>
          <w:sz w:val="22"/>
          <w:szCs w:val="22"/>
        </w:rPr>
        <w:t> = 1690, p = 0.002). Better mental health in large central metro counties was partly mediated by differences in the built environment, such as better food environments. Poorer mental health in noncore counties was not mediated by considered mediators. Our findings shed light on contemporary questions about mental health in the US. Is mental health better or worse in urban areas than rural areas? There are arguments on both sides: urban areas have greater access to resources like mental health providers and social associations, but rural areas have less violent crime or income inequality and greater access to green spaces. Finding that urban counties are associated with better, not worse, mental health is contrary to what would be expected based on what we know from different countries and earlier time periods. For example, a study published in 2000 of urban–rural mental health differences in Great Britain found that individuals living in urban centers had higher rates of three indicators of poor mental health (Paykel et al. 2000), and a 2007 study of Chinese migrant workers found that workers living in urban areas had worse mental health than workers in rural areas (J. Li and Rose 2017). Thus, there appear to be unique factors at play when it comes to mental health in contemporary US. In our next two aims, we use migration as a possible explanation for these US-specific differences in the relationship between place and health.</w:t>
      </w:r>
    </w:p>
    <w:p w14:paraId="2134CD87" w14:textId="77777777" w:rsidR="00792322" w:rsidRPr="003015D7" w:rsidRDefault="00000000" w:rsidP="003015D7">
      <w:pPr>
        <w:rPr>
          <w:rFonts w:ascii="Arial" w:hAnsi="Arial" w:cs="Arial"/>
          <w:sz w:val="22"/>
          <w:szCs w:val="22"/>
        </w:rPr>
      </w:pPr>
      <w:r w:rsidRPr="003015D7">
        <w:rPr>
          <w:rFonts w:ascii="Arial" w:hAnsi="Arial" w:cs="Arial"/>
          <w:sz w:val="22"/>
          <w:szCs w:val="22"/>
        </w:rPr>
        <w:pict w14:anchorId="3056E7A4">
          <v:rect id="_x0000_i1025" style="width:0;height:1.5pt" o:hralign="center" o:hrstd="t" o:hr="t"/>
        </w:pict>
      </w:r>
    </w:p>
    <w:p w14:paraId="01BD7B14" w14:textId="0B6CB197" w:rsidR="00792322" w:rsidRPr="003015D7" w:rsidRDefault="00000000" w:rsidP="003015D7">
      <w:pPr>
        <w:pStyle w:val="FirstParagraph"/>
        <w:rPr>
          <w:rFonts w:ascii="Arial" w:hAnsi="Arial" w:cs="Arial"/>
          <w:sz w:val="22"/>
          <w:szCs w:val="22"/>
        </w:rPr>
      </w:pPr>
      <w:r w:rsidRPr="003015D7">
        <w:rPr>
          <w:rFonts w:ascii="Arial" w:hAnsi="Arial" w:cs="Arial"/>
          <w:b/>
          <w:bCs/>
          <w:sz w:val="22"/>
          <w:szCs w:val="22"/>
          <w:u w:val="single"/>
        </w:rPr>
        <w:t>Aim 2:</w:t>
      </w:r>
      <w:r w:rsidRPr="003015D7">
        <w:rPr>
          <w:rFonts w:ascii="Arial" w:hAnsi="Arial" w:cs="Arial"/>
          <w:sz w:val="22"/>
          <w:szCs w:val="22"/>
          <w:u w:val="single"/>
        </w:rPr>
        <w:t xml:space="preserve"> Explore how county-level migraiton can enhance our capacity to understand and explain county-level health.</w:t>
      </w:r>
      <w:r w:rsidRPr="003015D7">
        <w:rPr>
          <w:rFonts w:ascii="Arial" w:hAnsi="Arial" w:cs="Arial"/>
          <w:sz w:val="22"/>
          <w:szCs w:val="22"/>
        </w:rPr>
        <w:t xml:space="preserve"> </w:t>
      </w:r>
      <w:r w:rsidRPr="003015D7">
        <w:rPr>
          <w:rFonts w:ascii="Arial" w:hAnsi="Arial" w:cs="Arial"/>
          <w:b/>
          <w:bCs/>
          <w:sz w:val="22"/>
          <w:szCs w:val="22"/>
        </w:rPr>
        <w:t>Hypothesis 2A:</w:t>
      </w:r>
      <w:r w:rsidRPr="003015D7">
        <w:rPr>
          <w:rFonts w:ascii="Arial" w:hAnsi="Arial" w:cs="Arial"/>
          <w:sz w:val="22"/>
          <w:szCs w:val="22"/>
        </w:rPr>
        <w:t xml:space="preserve"> County-to-county migration patterns improve the explainability of autoregressive models of county-level mortality. </w:t>
      </w:r>
      <w:r w:rsidRPr="003015D7">
        <w:rPr>
          <w:rFonts w:ascii="Arial" w:hAnsi="Arial" w:cs="Arial"/>
          <w:b/>
          <w:bCs/>
          <w:sz w:val="22"/>
          <w:szCs w:val="22"/>
        </w:rPr>
        <w:t>Hypothesis 2B:</w:t>
      </w:r>
      <w:r w:rsidRPr="003015D7">
        <w:rPr>
          <w:rFonts w:ascii="Arial" w:hAnsi="Arial" w:cs="Arial"/>
          <w:sz w:val="22"/>
          <w:szCs w:val="22"/>
        </w:rPr>
        <w:t xml:space="preserve"> The role that intercounty migration plays in county-level mortality differs significantly between rural and urban counties. </w:t>
      </w:r>
      <w:r w:rsidRPr="003015D7">
        <w:rPr>
          <w:rFonts w:ascii="Arial" w:hAnsi="Arial" w:cs="Arial"/>
          <w:b/>
          <w:bCs/>
          <w:sz w:val="22"/>
          <w:szCs w:val="22"/>
        </w:rPr>
        <w:t>Hypothesis 2C:</w:t>
      </w:r>
      <w:r w:rsidRPr="003015D7">
        <w:rPr>
          <w:rFonts w:ascii="Arial" w:hAnsi="Arial" w:cs="Arial"/>
          <w:sz w:val="22"/>
          <w:szCs w:val="22"/>
        </w:rPr>
        <w:t xml:space="preserve"> </w:t>
      </w:r>
      <w:r w:rsidR="003015D7" w:rsidRPr="003015D7">
        <w:rPr>
          <w:rFonts w:ascii="Arial" w:hAnsi="Arial" w:cs="Arial"/>
          <w:sz w:val="22"/>
          <w:szCs w:val="22"/>
        </w:rPr>
        <w:t>Considering</w:t>
      </w:r>
      <w:r w:rsidRPr="003015D7">
        <w:rPr>
          <w:rFonts w:ascii="Arial" w:hAnsi="Arial" w:cs="Arial"/>
          <w:sz w:val="22"/>
          <w:szCs w:val="22"/>
        </w:rPr>
        <w:t xml:space="preserve"> bias in migration patterns improves our ability to explain county-level mortality as well as the differential role that migration plays in urban versus rural counties.</w:t>
      </w:r>
    </w:p>
    <w:p w14:paraId="5D27693C" w14:textId="7F228416"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Data:</w:t>
      </w:r>
      <w:r w:rsidRPr="003015D7">
        <w:rPr>
          <w:rFonts w:ascii="Arial" w:hAnsi="Arial" w:cs="Arial"/>
          <w:sz w:val="22"/>
          <w:szCs w:val="22"/>
        </w:rPr>
        <w:t xml:space="preserve"> We use county-level estimates of age-adjusted mortality available through CDC </w:t>
      </w:r>
      <w:r w:rsidR="003015D7" w:rsidRPr="003015D7">
        <w:rPr>
          <w:rFonts w:ascii="Arial" w:hAnsi="Arial" w:cs="Arial"/>
          <w:sz w:val="22"/>
          <w:szCs w:val="22"/>
        </w:rPr>
        <w:t>WONDER (</w:t>
      </w:r>
      <w:r w:rsidRPr="003015D7">
        <w:rPr>
          <w:rFonts w:ascii="Arial" w:hAnsi="Arial" w:cs="Arial"/>
          <w:sz w:val="22"/>
          <w:szCs w:val="22"/>
        </w:rPr>
        <w:t xml:space="preserve">“CDC WONDER,” n.d.) joined with IRS county-to-county migration flow </w:t>
      </w:r>
      <w:r w:rsidR="008145C3" w:rsidRPr="003015D7">
        <w:rPr>
          <w:rFonts w:ascii="Arial" w:hAnsi="Arial" w:cs="Arial"/>
          <w:sz w:val="22"/>
          <w:szCs w:val="22"/>
        </w:rPr>
        <w:t>data (</w:t>
      </w:r>
      <w:r w:rsidRPr="003015D7">
        <w:rPr>
          <w:rFonts w:ascii="Arial" w:hAnsi="Arial" w:cs="Arial"/>
          <w:sz w:val="22"/>
          <w:szCs w:val="22"/>
        </w:rPr>
        <w:t>“SOI Tax Stats - Migration Data | Internal Revenue Service,” n.d.).</w:t>
      </w:r>
    </w:p>
    <w:p w14:paraId="4BFCFAC4" w14:textId="5C28D9C9"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The outcome of interest is county-level age adjusted mortality representing the years 2011 through 2019.</w:t>
      </w:r>
      <w:r w:rsidRPr="003015D7">
        <w:rPr>
          <w:rFonts w:ascii="Arial" w:hAnsi="Arial" w:cs="Arial"/>
          <w:sz w:val="22"/>
          <w:szCs w:val="22"/>
        </w:rPr>
        <w:t xml:space="preserve"> Mortality rates are commonly used as a gold standard when comparing various dimensions of health across counties since death has a clear and common definition</w:t>
      </w:r>
      <w:r w:rsidR="003015D7">
        <w:rPr>
          <w:rFonts w:ascii="Arial" w:hAnsi="Arial" w:cs="Arial"/>
          <w:sz w:val="22"/>
          <w:szCs w:val="22"/>
        </w:rPr>
        <w:t xml:space="preserve"> </w:t>
      </w:r>
      <w:r w:rsidRPr="003015D7">
        <w:rPr>
          <w:rFonts w:ascii="Arial" w:hAnsi="Arial" w:cs="Arial"/>
          <w:sz w:val="22"/>
          <w:szCs w:val="22"/>
        </w:rPr>
        <w:t>(</w:t>
      </w:r>
      <w:proofErr w:type="spellStart"/>
      <w:r w:rsidR="003015D7" w:rsidRPr="003015D7">
        <w:rPr>
          <w:rFonts w:ascii="Arial" w:hAnsi="Arial" w:cs="Arial"/>
          <w:sz w:val="22"/>
          <w:szCs w:val="22"/>
        </w:rPr>
        <w:t>Miilunpalo</w:t>
      </w:r>
      <w:proofErr w:type="spellEnd"/>
      <w:r w:rsidR="003015D7" w:rsidRPr="003015D7">
        <w:rPr>
          <w:rFonts w:ascii="Arial" w:hAnsi="Arial" w:cs="Arial"/>
          <w:sz w:val="22"/>
          <w:szCs w:val="22"/>
        </w:rPr>
        <w:t xml:space="preserve"> </w:t>
      </w:r>
      <w:r w:rsidRPr="003015D7">
        <w:rPr>
          <w:rFonts w:ascii="Arial" w:hAnsi="Arial" w:cs="Arial"/>
          <w:sz w:val="22"/>
          <w:szCs w:val="22"/>
        </w:rPr>
        <w:t>1997; Olson-Williams 2023; Jylhä 2009). Additionally, mortality has important policy and health equity implications and can be used to assess which individuals or groups are likely to live longest and which individuals or groups may be most in need of additional care. We excluded the year 2020 from our analyses because across the US, the median county-level mortality rate rose from 713.2 per 100,000 in 2019 to 828.5 per 100,000 in 2020. This unprecedented change in mortality is difficult to model since the onset of the pandemic is unrelated to other factors included in our model.</w:t>
      </w:r>
    </w:p>
    <w:p w14:paraId="432D051F" w14:textId="5315D513"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The primary explanatory factor of interest is county-level IRS migration flow from 2011 through 2019.</w:t>
      </w:r>
      <w:r w:rsidRPr="003015D7">
        <w:rPr>
          <w:rFonts w:ascii="Arial" w:hAnsi="Arial" w:cs="Arial"/>
          <w:sz w:val="22"/>
          <w:szCs w:val="22"/>
        </w:rPr>
        <w:t xml:space="preserve"> In 2011, the IRS changed their methods to produce migration estimates based on a full year of income tax filings rather than a partial year. Prior to 2011, migration estimates represented between 95 and 98 percent of total annual income tax filings and excluded income taxes filed after September of each calendar </w:t>
      </w:r>
      <w:r w:rsidR="003015D7" w:rsidRPr="003015D7">
        <w:rPr>
          <w:rFonts w:ascii="Arial" w:hAnsi="Arial" w:cs="Arial"/>
          <w:sz w:val="22"/>
          <w:szCs w:val="22"/>
        </w:rPr>
        <w:t>year (</w:t>
      </w:r>
      <w:r w:rsidRPr="003015D7">
        <w:rPr>
          <w:rFonts w:ascii="Arial" w:hAnsi="Arial" w:cs="Arial"/>
          <w:sz w:val="22"/>
          <w:szCs w:val="22"/>
        </w:rPr>
        <w:t xml:space="preserve">Pierce 2015); estimates after 2011 include all annual income tax filings collected for each year. Therefore, we have chosen only to include data after the 2011 change in IRS methodology. We have chosen to use IRS rather than ACS </w:t>
      </w:r>
      <w:r w:rsidRPr="003015D7">
        <w:rPr>
          <w:rFonts w:ascii="Arial" w:hAnsi="Arial" w:cs="Arial"/>
          <w:sz w:val="22"/>
          <w:szCs w:val="22"/>
        </w:rPr>
        <w:lastRenderedPageBreak/>
        <w:t xml:space="preserve">estimates of migration for this aim because ACS does not publish single year estimates of migration (only </w:t>
      </w:r>
      <w:r w:rsidR="003015D7" w:rsidRPr="003015D7">
        <w:rPr>
          <w:rFonts w:ascii="Arial" w:hAnsi="Arial" w:cs="Arial"/>
          <w:sz w:val="22"/>
          <w:szCs w:val="22"/>
        </w:rPr>
        <w:t>five-year</w:t>
      </w:r>
      <w:r w:rsidRPr="003015D7">
        <w:rPr>
          <w:rFonts w:ascii="Arial" w:hAnsi="Arial" w:cs="Arial"/>
          <w:sz w:val="22"/>
          <w:szCs w:val="22"/>
        </w:rPr>
        <w:t xml:space="preserve"> estimates), and in this aim, we have chosen to emphasize the temporal aspects of migration, necessitating the use of IRS single year estimates.</w:t>
      </w:r>
    </w:p>
    <w:p w14:paraId="312A60E3" w14:textId="1E479C62"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A secondary explanatory factor of interest is urbanicity. To measure urbanicity, we assign each county an urbanicity category based on the 2013 National Center for Health Statistics (NCHS) Urban–Rural Classification Scheme for </w:t>
      </w:r>
      <w:r w:rsidR="003015D7" w:rsidRPr="003015D7">
        <w:rPr>
          <w:rFonts w:ascii="Arial" w:hAnsi="Arial" w:cs="Arial"/>
          <w:sz w:val="22"/>
          <w:szCs w:val="22"/>
        </w:rPr>
        <w:t>Counties (</w:t>
      </w:r>
      <w:r w:rsidRPr="003015D7">
        <w:rPr>
          <w:rFonts w:ascii="Arial" w:hAnsi="Arial" w:cs="Arial"/>
          <w:sz w:val="22"/>
          <w:szCs w:val="22"/>
        </w:rPr>
        <w:t xml:space="preserve">Rothwell, </w:t>
      </w:r>
      <w:proofErr w:type="spellStart"/>
      <w:r w:rsidRPr="003015D7">
        <w:rPr>
          <w:rFonts w:ascii="Arial" w:hAnsi="Arial" w:cs="Arial"/>
          <w:sz w:val="22"/>
          <w:szCs w:val="22"/>
        </w:rPr>
        <w:t>Madans</w:t>
      </w:r>
      <w:proofErr w:type="spellEnd"/>
      <w:r w:rsidRPr="003015D7">
        <w:rPr>
          <w:rFonts w:ascii="Arial" w:hAnsi="Arial" w:cs="Arial"/>
          <w:sz w:val="22"/>
          <w:szCs w:val="22"/>
        </w:rPr>
        <w:t xml:space="preserve">, and </w:t>
      </w:r>
      <w:proofErr w:type="spellStart"/>
      <w:r w:rsidRPr="003015D7">
        <w:rPr>
          <w:rFonts w:ascii="Arial" w:hAnsi="Arial" w:cs="Arial"/>
          <w:sz w:val="22"/>
          <w:szCs w:val="22"/>
        </w:rPr>
        <w:t>Arispe</w:t>
      </w:r>
      <w:proofErr w:type="spellEnd"/>
      <w:r w:rsidRPr="003015D7">
        <w:rPr>
          <w:rFonts w:ascii="Arial" w:hAnsi="Arial" w:cs="Arial"/>
          <w:sz w:val="22"/>
          <w:szCs w:val="22"/>
        </w:rPr>
        <w:t xml:space="preserve">, n.d.). These are the same urbanicity codes that were used in Aim 1. </w:t>
      </w:r>
      <w:proofErr w:type="gramStart"/>
      <w:r w:rsidRPr="003015D7">
        <w:rPr>
          <w:rFonts w:ascii="Arial" w:hAnsi="Arial" w:cs="Arial"/>
          <w:sz w:val="22"/>
          <w:szCs w:val="22"/>
        </w:rPr>
        <w:t>In an effort to</w:t>
      </w:r>
      <w:proofErr w:type="gramEnd"/>
      <w:r w:rsidRPr="003015D7">
        <w:rPr>
          <w:rFonts w:ascii="Arial" w:hAnsi="Arial" w:cs="Arial"/>
          <w:sz w:val="22"/>
          <w:szCs w:val="22"/>
        </w:rPr>
        <w:t xml:space="preserve"> improve statistical precision, we grouped these codes into rural and urban. We define rural by grouping the NCHS definitions of micropolitan and noncore such that there are 1612 counties in our rural dataset. We define urban by grouping the NCH definitions of large central metro, large fringe metro, medium metro, and small metro such that there are 1155 counties in our urban dataset.</w:t>
      </w:r>
    </w:p>
    <w:p w14:paraId="70334ACB" w14:textId="0D598119" w:rsidR="00792322" w:rsidRPr="003015D7" w:rsidRDefault="00000000" w:rsidP="003015D7">
      <w:pPr>
        <w:pStyle w:val="BodyText"/>
        <w:rPr>
          <w:rFonts w:ascii="Arial" w:hAnsi="Arial" w:cs="Arial"/>
          <w:sz w:val="22"/>
          <w:szCs w:val="22"/>
        </w:rPr>
      </w:pPr>
      <w:r w:rsidRPr="003015D7">
        <w:rPr>
          <w:rFonts w:ascii="Arial" w:hAnsi="Arial" w:cs="Arial"/>
          <w:sz w:val="22"/>
          <w:szCs w:val="22"/>
        </w:rPr>
        <w:t>Certain counties were excluded from analysis. To simplify things, we have chosen to focus on the effects of migration to a destination rather than away from an origin. Therefore, we complete all analyses from the perspective of a “destination” county. This means that counties that are not destinations (</w:t>
      </w:r>
      <w:proofErr w:type="gramStart"/>
      <w:r w:rsidRPr="003015D7">
        <w:rPr>
          <w:rFonts w:ascii="Arial" w:hAnsi="Arial" w:cs="Arial"/>
          <w:sz w:val="22"/>
          <w:szCs w:val="22"/>
        </w:rPr>
        <w:t>ie</w:t>
      </w:r>
      <w:proofErr w:type="gramEnd"/>
      <w:r w:rsidRPr="003015D7">
        <w:rPr>
          <w:rFonts w:ascii="Arial" w:hAnsi="Arial" w:cs="Arial"/>
          <w:sz w:val="22"/>
          <w:szCs w:val="22"/>
        </w:rPr>
        <w:t xml:space="preserve"> counties that have no origin counties) are excluded from our analyses. Additionally, since we are particularly interested in temporal trends in mortality, we exclude counties for which there are not at least four years of mortality data available. Unfortunately, this means that our analyses </w:t>
      </w:r>
      <w:r w:rsidR="003015D7" w:rsidRPr="003015D7">
        <w:rPr>
          <w:rFonts w:ascii="Arial" w:hAnsi="Arial" w:cs="Arial"/>
          <w:sz w:val="22"/>
          <w:szCs w:val="22"/>
        </w:rPr>
        <w:t>exclude</w:t>
      </w:r>
      <w:r w:rsidRPr="003015D7">
        <w:rPr>
          <w:rFonts w:ascii="Arial" w:hAnsi="Arial" w:cs="Arial"/>
          <w:sz w:val="22"/>
          <w:szCs w:val="22"/>
        </w:rPr>
        <w:t xml:space="preserve"> many rural and low population counties. There are 2767 total US counties included in our analyses. In </w:t>
      </w:r>
      <w:r w:rsidRPr="003015D7">
        <w:rPr>
          <w:rFonts w:ascii="Arial" w:hAnsi="Arial" w:cs="Arial"/>
          <w:b/>
          <w:bCs/>
          <w:sz w:val="22"/>
          <w:szCs w:val="22"/>
        </w:rPr>
        <w:t>Figure 1</w:t>
      </w:r>
      <w:r w:rsidRPr="003015D7">
        <w:rPr>
          <w:rFonts w:ascii="Arial" w:hAnsi="Arial" w:cs="Arial"/>
          <w:sz w:val="22"/>
          <w:szCs w:val="22"/>
        </w:rPr>
        <w:t xml:space="preserve"> below, we see the log-transformed population distributions of counties that are included and excluded from our analyses.</w:t>
      </w:r>
    </w:p>
    <w:p w14:paraId="7AC94986" w14:textId="77777777" w:rsidR="00792322" w:rsidRPr="003015D7" w:rsidRDefault="00000000" w:rsidP="003015D7">
      <w:pPr>
        <w:pStyle w:val="FirstParagraph"/>
        <w:rPr>
          <w:rFonts w:ascii="Arial" w:hAnsi="Arial" w:cs="Arial"/>
          <w:sz w:val="22"/>
          <w:szCs w:val="22"/>
        </w:rPr>
      </w:pPr>
      <w:r w:rsidRPr="003015D7">
        <w:rPr>
          <w:rFonts w:ascii="Arial" w:hAnsi="Arial" w:cs="Arial"/>
          <w:noProof/>
          <w:sz w:val="22"/>
          <w:szCs w:val="22"/>
        </w:rPr>
        <w:drawing>
          <wp:inline distT="0" distB="0" distL="0" distR="0" wp14:anchorId="11014A7C" wp14:editId="79932A98">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elim-B_files/figure-docx/figure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7169C95"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Approach</w:t>
      </w:r>
      <w:r w:rsidRPr="003015D7">
        <w:rPr>
          <w:rFonts w:ascii="Arial" w:hAnsi="Arial" w:cs="Arial"/>
          <w:sz w:val="22"/>
          <w:szCs w:val="22"/>
        </w:rPr>
        <w:t>: In this aim, we extend temporal autoregressive models to estimate mortality rates over time while accounting for county-to-county migration and urbanicity. These models explain county-level age-adjusted mortality using a combination of lagged county-level mortality and migration.</w:t>
      </w:r>
    </w:p>
    <w:p w14:paraId="5981C031" w14:textId="6AC4725A"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Considering the exploratory nature of this aim, we choose to begin with the simpler </w:t>
      </w:r>
      <w:r w:rsidRPr="003015D7">
        <w:rPr>
          <w:rFonts w:ascii="Arial" w:hAnsi="Arial" w:cs="Arial"/>
          <w:i/>
          <w:iCs/>
          <w:sz w:val="22"/>
          <w:szCs w:val="22"/>
        </w:rPr>
        <w:t>temporal</w:t>
      </w:r>
      <w:r w:rsidRPr="003015D7">
        <w:rPr>
          <w:rFonts w:ascii="Arial" w:hAnsi="Arial" w:cs="Arial"/>
          <w:sz w:val="22"/>
          <w:szCs w:val="22"/>
        </w:rPr>
        <w:t xml:space="preserve"> autoregressive models rather than delving into the complexities of </w:t>
      </w:r>
      <w:r w:rsidRPr="003015D7">
        <w:rPr>
          <w:rFonts w:ascii="Arial" w:hAnsi="Arial" w:cs="Arial"/>
          <w:i/>
          <w:iCs/>
          <w:sz w:val="22"/>
          <w:szCs w:val="22"/>
        </w:rPr>
        <w:t>spatio</w:t>
      </w:r>
      <w:r w:rsidRPr="003015D7">
        <w:rPr>
          <w:rFonts w:ascii="Arial" w:hAnsi="Arial" w:cs="Arial"/>
          <w:sz w:val="22"/>
          <w:szCs w:val="22"/>
        </w:rPr>
        <w:t xml:space="preserve">-temporal autoregressive models. The temporal element is necessary to capture migration over time, though spatial autoregressive models are more common for estimating mortality rates. For instance, in a 2011 paper, county-level mortality was modeled using spatial autoregressive models in which each county’s relative position to other counties as well as its historical mortality rates were considered (T.-C. Yang, Jensen, and Haran 2011). Another similar paper used an autoregressive model with county-level estimates of mortality that were standardized for measures of income and employment, population density and rurality, and race/ethnicity (Sparks and Sparks 2010). Similarly, early in the COVID-19 pandemic, researchers used a spatial autoregressive model to assess the relationships </w:t>
      </w:r>
      <w:r w:rsidRPr="003015D7">
        <w:rPr>
          <w:rFonts w:ascii="Arial" w:hAnsi="Arial" w:cs="Arial"/>
          <w:sz w:val="22"/>
          <w:szCs w:val="22"/>
        </w:rPr>
        <w:lastRenderedPageBreak/>
        <w:t xml:space="preserve">between county-level COVID-19 mortality rates and county-level sociodemographic characteristics (Fielding-Miller, Sundaram, and Brouwer 2020). This method has also been extended to age-group and country-level data to explain cohort effects within </w:t>
      </w:r>
      <w:r w:rsidR="003015D7" w:rsidRPr="003015D7">
        <w:rPr>
          <w:rFonts w:ascii="Arial" w:hAnsi="Arial" w:cs="Arial"/>
          <w:sz w:val="22"/>
          <w:szCs w:val="22"/>
        </w:rPr>
        <w:t>countries (</w:t>
      </w:r>
      <w:r w:rsidRPr="003015D7">
        <w:rPr>
          <w:rFonts w:ascii="Arial" w:hAnsi="Arial" w:cs="Arial"/>
          <w:sz w:val="22"/>
          <w:szCs w:val="22"/>
        </w:rPr>
        <w:t xml:space="preserve">H. Li and Lu 2017). Finally, a 2021 paper adapted this method using age-group data to estimate country-level life expectancy more efficiently, more accurately, and with greater precision for younger </w:t>
      </w:r>
      <w:r w:rsidR="003015D7" w:rsidRPr="003015D7">
        <w:rPr>
          <w:rFonts w:ascii="Arial" w:hAnsi="Arial" w:cs="Arial"/>
          <w:sz w:val="22"/>
          <w:szCs w:val="22"/>
        </w:rPr>
        <w:t>populations (</w:t>
      </w:r>
      <w:r w:rsidRPr="003015D7">
        <w:rPr>
          <w:rFonts w:ascii="Arial" w:hAnsi="Arial" w:cs="Arial"/>
          <w:sz w:val="22"/>
          <w:szCs w:val="22"/>
        </w:rPr>
        <w:t>Shi 2021).</w:t>
      </w:r>
    </w:p>
    <w:p w14:paraId="61B6FD41"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A baseline model will be used in each hypothesis. The baseline model is </w:t>
      </w:r>
      <w:proofErr w:type="gramStart"/>
      <w:r w:rsidRPr="003015D7">
        <w:rPr>
          <w:rFonts w:ascii="Arial" w:hAnsi="Arial" w:cs="Arial"/>
          <w:sz w:val="22"/>
          <w:szCs w:val="22"/>
        </w:rPr>
        <w:t>similar to</w:t>
      </w:r>
      <w:proofErr w:type="gramEnd"/>
      <w:r w:rsidRPr="003015D7">
        <w:rPr>
          <w:rFonts w:ascii="Arial" w:hAnsi="Arial" w:cs="Arial"/>
          <w:sz w:val="22"/>
          <w:szCs w:val="22"/>
        </w:rPr>
        <w:t xml:space="preserve"> simple autoregressive county-level mortality models used in the past (L. Yang et al. 2012). Our baseline model describes yearly mortality rates as a function of time (treated categorically) and mortality rates lagged by one year. Random intercepts and slopes in time are included to account for within-county corrleation. We included random intercepts for each destination county to account for variation between counties, as recommended by Greenland and Morgenstern’s assessment of best practices for ecological studies (GREENLAND and MORGENSTERN 1989). Splines are used for mortality rates. For a given urbanicity, the baseline model (without splines) is shown below:</w:t>
      </w:r>
    </w:p>
    <w:p w14:paraId="441E7E34" w14:textId="77777777" w:rsidR="00792322" w:rsidRPr="003015D7" w:rsidRDefault="00000000" w:rsidP="003015D7">
      <w:pPr>
        <w:pStyle w:val="BodyText"/>
        <w:rPr>
          <w:rFonts w:ascii="Arial" w:hAnsi="Arial" w:cs="Arial"/>
          <w:sz w:val="22"/>
          <w:szCs w:val="22"/>
        </w:rPr>
      </w:pPr>
      <m:oMathPara>
        <m:oMathParaPr>
          <m:jc m:val="center"/>
        </m:oMathParaP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it</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rPr>
                <m:t>0</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rPr>
                <m:t>1</m:t>
              </m:r>
            </m:sub>
          </m:sSub>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13i</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rPr>
                <m:t>2</m:t>
              </m:r>
            </m:sub>
          </m:sSub>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14i</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rPr>
                <m:t>3</m:t>
              </m:r>
            </m:sub>
          </m:sSub>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15i</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rPr>
                <m:t>4</m:t>
              </m:r>
            </m:sub>
          </m:sSub>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16i</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rPr>
                <m:t>5</m:t>
              </m:r>
            </m:sub>
          </m:sSub>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17i</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rPr>
                <m:t>6</m:t>
              </m:r>
            </m:sub>
          </m:sSub>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18i</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rPr>
                <m:t>7</m:t>
              </m:r>
            </m:sub>
          </m:sSub>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19i</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rPr>
                <m:t>8</m:t>
              </m:r>
            </m:sub>
          </m:sSub>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r>
                <m:rPr>
                  <m:sty m:val="p"/>
                </m:rPr>
                <w:rPr>
                  <w:rFonts w:ascii="Cambria Math" w:hAnsi="Cambria Math" w:cs="Arial"/>
                  <w:sz w:val="22"/>
                  <w:szCs w:val="22"/>
                </w:rPr>
                <m:t>,</m:t>
              </m:r>
              <m:r>
                <w:rPr>
                  <w:rFonts w:ascii="Cambria Math" w:hAnsi="Cambria Math" w:cs="Arial"/>
                  <w:sz w:val="22"/>
                  <w:szCs w:val="22"/>
                </w:rPr>
                <m:t>i</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υ</m:t>
              </m:r>
            </m:e>
            <m:sub>
              <m:r>
                <w:rPr>
                  <w:rFonts w:ascii="Cambria Math" w:hAnsi="Cambria Math" w:cs="Arial"/>
                  <w:sz w:val="22"/>
                  <w:szCs w:val="22"/>
                </w:rPr>
                <m:t>i</m:t>
              </m:r>
            </m:sub>
          </m:sSub>
          <m:r>
            <w:rPr>
              <w:rFonts w:ascii="Cambria Math" w:hAnsi="Cambria Math" w:cs="Arial"/>
              <w:sz w:val="22"/>
              <w:szCs w:val="22"/>
            </w:rPr>
            <m:t>t</m:t>
          </m:r>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μ</m:t>
              </m:r>
            </m:e>
            <m:sub>
              <m:r>
                <w:rPr>
                  <w:rFonts w:ascii="Cambria Math" w:hAnsi="Cambria Math" w:cs="Arial"/>
                  <w:sz w:val="22"/>
                  <w:szCs w:val="22"/>
                </w:rPr>
                <m:t>i</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ϵ</m:t>
              </m:r>
            </m:e>
            <m:sub>
              <m:r>
                <w:rPr>
                  <w:rFonts w:ascii="Cambria Math" w:hAnsi="Cambria Math" w:cs="Arial"/>
                  <w:sz w:val="22"/>
                  <w:szCs w:val="22"/>
                </w:rPr>
                <m:t>it</m:t>
              </m:r>
            </m:sub>
          </m:sSub>
        </m:oMath>
      </m:oMathPara>
    </w:p>
    <w:p w14:paraId="7C8590F2" w14:textId="77777777" w:rsidR="003015D7" w:rsidRDefault="003015D7" w:rsidP="003015D7">
      <w:pPr>
        <w:pStyle w:val="FirstParagraph"/>
        <w:rPr>
          <w:rFonts w:ascii="Arial" w:hAnsi="Arial" w:cs="Arial"/>
          <w:sz w:val="22"/>
          <w:szCs w:val="22"/>
        </w:rPr>
      </w:pPr>
      <w:r>
        <w:rPr>
          <w:rFonts w:ascii="Arial" w:hAnsi="Arial" w:cs="Arial"/>
          <w:sz w:val="22"/>
          <w:szCs w:val="22"/>
        </w:rPr>
        <w:t>W</w:t>
      </w:r>
      <w:r w:rsidR="00000000" w:rsidRPr="003015D7">
        <w:rPr>
          <w:rFonts w:ascii="Arial" w:hAnsi="Arial" w:cs="Arial"/>
          <w:sz w:val="22"/>
          <w:szCs w:val="22"/>
        </w:rPr>
        <w:t>here</w:t>
      </w:r>
      <w:r>
        <w:rPr>
          <w:rFonts w:ascii="Arial" w:hAnsi="Arial" w:cs="Arial"/>
          <w:sz w:val="22"/>
          <w:szCs w:val="22"/>
        </w:rPr>
        <w:t>:</w:t>
      </w:r>
    </w:p>
    <w:p w14:paraId="60DC77B1" w14:textId="38CF1C83" w:rsidR="00792322" w:rsidRPr="003015D7" w:rsidRDefault="00000000" w:rsidP="003015D7">
      <w:pPr>
        <w:pStyle w:val="FirstParagraph"/>
        <w:rPr>
          <w:rFonts w:ascii="Arial" w:hAnsi="Arial" w:cs="Arial"/>
          <w:sz w:val="22"/>
          <w:szCs w:val="22"/>
        </w:rPr>
      </w:pP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it</m:t>
            </m:r>
          </m:sub>
        </m:sSub>
      </m:oMath>
      <w:r w:rsidRPr="003015D7">
        <w:rPr>
          <w:rFonts w:ascii="Arial" w:hAnsi="Arial" w:cs="Arial"/>
          <w:sz w:val="22"/>
          <w:szCs w:val="22"/>
        </w:rPr>
        <w:t xml:space="preserve"> represents the predicted age-adjusted mortality rate of each destination county </w:t>
      </w:r>
      <m:oMath>
        <m:r>
          <w:rPr>
            <w:rFonts w:ascii="Cambria Math" w:hAnsi="Cambria Math" w:cs="Arial"/>
            <w:sz w:val="22"/>
            <w:szCs w:val="22"/>
          </w:rPr>
          <m:t>i</m:t>
        </m:r>
      </m:oMath>
      <w:r w:rsidRPr="003015D7">
        <w:rPr>
          <w:rFonts w:ascii="Arial" w:hAnsi="Arial" w:cs="Arial"/>
          <w:sz w:val="22"/>
          <w:szCs w:val="22"/>
        </w:rPr>
        <w:t xml:space="preserve"> at year </w:t>
      </w:r>
      <m:oMath>
        <m:r>
          <w:rPr>
            <w:rFonts w:ascii="Cambria Math" w:hAnsi="Cambria Math" w:cs="Arial"/>
            <w:sz w:val="22"/>
            <w:szCs w:val="22"/>
          </w:rPr>
          <m:t>t</m:t>
        </m:r>
      </m:oMath>
      <w:r w:rsidRPr="003015D7">
        <w:rPr>
          <w:rFonts w:ascii="Arial" w:hAnsi="Arial" w:cs="Arial"/>
          <w:sz w:val="22"/>
          <w:szCs w:val="22"/>
        </w:rPr>
        <w:t>.</w:t>
      </w:r>
      <w:r w:rsidRPr="003015D7">
        <w:rPr>
          <w:rFonts w:ascii="Arial" w:hAnsi="Arial" w:cs="Arial"/>
          <w:sz w:val="22"/>
          <w:szCs w:val="22"/>
        </w:rPr>
        <w:br/>
      </w:r>
      <m:oMath>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yi</m:t>
            </m:r>
          </m:sub>
        </m:sSub>
      </m:oMath>
      <w:r w:rsidRPr="003015D7">
        <w:rPr>
          <w:rFonts w:ascii="Arial" w:hAnsi="Arial" w:cs="Arial"/>
          <w:sz w:val="22"/>
          <w:szCs w:val="22"/>
        </w:rPr>
        <w:t xml:space="preserve"> are binary factor variables for each year of available data.</w:t>
      </w:r>
      <w:r w:rsidRPr="003015D7">
        <w:rPr>
          <w:rFonts w:ascii="Arial" w:hAnsi="Arial" w:cs="Arial"/>
          <w:sz w:val="22"/>
          <w:szCs w:val="22"/>
        </w:rPr>
        <w:br/>
      </w:r>
      <m:oMath>
        <m:r>
          <w:rPr>
            <w:rFonts w:ascii="Cambria Math" w:hAnsi="Cambria Math" w:cs="Arial"/>
            <w:sz w:val="22"/>
            <w:szCs w:val="22"/>
          </w:rPr>
          <m:t>t</m:t>
        </m:r>
      </m:oMath>
      <w:r w:rsidRPr="003015D7">
        <w:rPr>
          <w:rFonts w:ascii="Arial" w:hAnsi="Arial" w:cs="Arial"/>
          <w:sz w:val="22"/>
          <w:szCs w:val="22"/>
        </w:rPr>
        <w:t xml:space="preserve"> is time, in years, treated continuously.</w:t>
      </w:r>
      <w:r w:rsidRPr="003015D7">
        <w:rPr>
          <w:rFonts w:ascii="Arial" w:hAnsi="Arial" w:cs="Arial"/>
          <w:sz w:val="22"/>
          <w:szCs w:val="22"/>
        </w:rPr>
        <w:br/>
      </w:r>
      <m:oMath>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rPr>
              <m:t>j</m:t>
            </m:r>
          </m:sub>
        </m:sSub>
      </m:oMath>
      <w:r w:rsidRPr="003015D7">
        <w:rPr>
          <w:rFonts w:ascii="Arial" w:hAnsi="Arial" w:cs="Arial"/>
          <w:sz w:val="22"/>
          <w:szCs w:val="22"/>
        </w:rPr>
        <w:t xml:space="preserve"> are unknown regression coefficients.</w:t>
      </w:r>
      <w:r w:rsidRPr="003015D7">
        <w:rPr>
          <w:rFonts w:ascii="Arial" w:hAnsi="Arial" w:cs="Arial"/>
          <w:sz w:val="22"/>
          <w:szCs w:val="22"/>
        </w:rPr>
        <w:br/>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r>
              <m:rPr>
                <m:sty m:val="p"/>
              </m:rPr>
              <w:rPr>
                <w:rFonts w:ascii="Cambria Math" w:hAnsi="Cambria Math" w:cs="Arial"/>
                <w:sz w:val="22"/>
                <w:szCs w:val="22"/>
              </w:rPr>
              <m:t>,</m:t>
            </m:r>
            <m:r>
              <w:rPr>
                <w:rFonts w:ascii="Cambria Math" w:hAnsi="Cambria Math" w:cs="Arial"/>
                <w:sz w:val="22"/>
                <w:szCs w:val="22"/>
              </w:rPr>
              <m:t>i</m:t>
            </m:r>
          </m:sub>
        </m:sSub>
      </m:oMath>
      <w:r w:rsidRPr="003015D7">
        <w:rPr>
          <w:rFonts w:ascii="Arial" w:hAnsi="Arial" w:cs="Arial"/>
          <w:sz w:val="22"/>
          <w:szCs w:val="22"/>
        </w:rPr>
        <w:t xml:space="preserve"> is the lagged age-adjusted mortality rate for each destination county </w:t>
      </w:r>
      <m:oMath>
        <m:r>
          <w:rPr>
            <w:rFonts w:ascii="Cambria Math" w:hAnsi="Cambria Math" w:cs="Arial"/>
            <w:sz w:val="22"/>
            <w:szCs w:val="22"/>
          </w:rPr>
          <m:t>i</m:t>
        </m:r>
      </m:oMath>
      <w:r w:rsidRPr="003015D7">
        <w:rPr>
          <w:rFonts w:ascii="Arial" w:hAnsi="Arial" w:cs="Arial"/>
          <w:sz w:val="22"/>
          <w:szCs w:val="22"/>
        </w:rPr>
        <w:t xml:space="preserve"> at year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r w:rsidRPr="003015D7">
        <w:rPr>
          <w:rFonts w:ascii="Arial" w:hAnsi="Arial" w:cs="Arial"/>
          <w:sz w:val="22"/>
          <w:szCs w:val="22"/>
        </w:rPr>
        <w:t>.</w:t>
      </w:r>
      <w:r w:rsidRPr="003015D7">
        <w:rPr>
          <w:rFonts w:ascii="Arial" w:hAnsi="Arial" w:cs="Arial"/>
          <w:sz w:val="22"/>
          <w:szCs w:val="22"/>
        </w:rPr>
        <w:br/>
      </w:r>
      <m:oMath>
        <m:sSub>
          <m:sSubPr>
            <m:ctrlPr>
              <w:rPr>
                <w:rFonts w:ascii="Cambria Math" w:hAnsi="Cambria Math" w:cs="Arial"/>
                <w:sz w:val="22"/>
                <w:szCs w:val="22"/>
              </w:rPr>
            </m:ctrlPr>
          </m:sSubPr>
          <m:e>
            <m:r>
              <w:rPr>
                <w:rFonts w:ascii="Cambria Math" w:hAnsi="Cambria Math" w:cs="Arial"/>
                <w:sz w:val="22"/>
                <w:szCs w:val="22"/>
              </w:rPr>
              <m:t>μ</m:t>
            </m:r>
          </m:e>
          <m:sub>
            <m:r>
              <w:rPr>
                <w:rFonts w:ascii="Cambria Math" w:hAnsi="Cambria Math" w:cs="Arial"/>
                <w:sz w:val="22"/>
                <w:szCs w:val="22"/>
              </w:rPr>
              <m:t>i</m:t>
            </m:r>
          </m:sub>
        </m:sSub>
      </m:oMath>
      <w:r w:rsidRPr="003015D7">
        <w:rPr>
          <w:rFonts w:ascii="Arial" w:hAnsi="Arial" w:cs="Arial"/>
          <w:sz w:val="22"/>
          <w:szCs w:val="22"/>
        </w:rPr>
        <w:t xml:space="preserve"> is a random intercept for each destination county </w:t>
      </w:r>
      <m:oMath>
        <m:r>
          <w:rPr>
            <w:rFonts w:ascii="Cambria Math" w:hAnsi="Cambria Math" w:cs="Arial"/>
            <w:sz w:val="22"/>
            <w:szCs w:val="22"/>
          </w:rPr>
          <m:t>i</m:t>
        </m:r>
      </m:oMath>
      <w:r w:rsidRPr="003015D7">
        <w:rPr>
          <w:rFonts w:ascii="Arial" w:hAnsi="Arial" w:cs="Arial"/>
          <w:sz w:val="22"/>
          <w:szCs w:val="22"/>
        </w:rPr>
        <w:t>.</w:t>
      </w:r>
      <w:r w:rsidRPr="003015D7">
        <w:rPr>
          <w:rFonts w:ascii="Arial" w:hAnsi="Arial" w:cs="Arial"/>
          <w:sz w:val="22"/>
          <w:szCs w:val="22"/>
        </w:rPr>
        <w:br/>
      </w:r>
      <m:oMath>
        <m:sSub>
          <m:sSubPr>
            <m:ctrlPr>
              <w:rPr>
                <w:rFonts w:ascii="Cambria Math" w:hAnsi="Cambria Math" w:cs="Arial"/>
                <w:sz w:val="22"/>
                <w:szCs w:val="22"/>
              </w:rPr>
            </m:ctrlPr>
          </m:sSubPr>
          <m:e>
            <m:r>
              <w:rPr>
                <w:rFonts w:ascii="Cambria Math" w:hAnsi="Cambria Math" w:cs="Arial"/>
                <w:sz w:val="22"/>
                <w:szCs w:val="22"/>
              </w:rPr>
              <m:t>υ</m:t>
            </m:r>
          </m:e>
          <m:sub>
            <m:r>
              <w:rPr>
                <w:rFonts w:ascii="Cambria Math" w:hAnsi="Cambria Math" w:cs="Arial"/>
                <w:sz w:val="22"/>
                <w:szCs w:val="22"/>
              </w:rPr>
              <m:t>i</m:t>
            </m:r>
          </m:sub>
        </m:sSub>
      </m:oMath>
      <w:r w:rsidRPr="003015D7">
        <w:rPr>
          <w:rFonts w:ascii="Arial" w:hAnsi="Arial" w:cs="Arial"/>
          <w:sz w:val="22"/>
          <w:szCs w:val="22"/>
        </w:rPr>
        <w:t xml:space="preserve"> is a random slope for the effect of time </w:t>
      </w:r>
      <m:oMath>
        <m:r>
          <w:rPr>
            <w:rFonts w:ascii="Cambria Math" w:hAnsi="Cambria Math" w:cs="Arial"/>
            <w:sz w:val="22"/>
            <w:szCs w:val="22"/>
          </w:rPr>
          <m:t>t</m:t>
        </m:r>
      </m:oMath>
      <w:r w:rsidRPr="003015D7">
        <w:rPr>
          <w:rFonts w:ascii="Arial" w:hAnsi="Arial" w:cs="Arial"/>
          <w:sz w:val="22"/>
          <w:szCs w:val="22"/>
        </w:rPr>
        <w:t xml:space="preserve"> on each county </w:t>
      </w:r>
      <m:oMath>
        <m:r>
          <w:rPr>
            <w:rFonts w:ascii="Cambria Math" w:hAnsi="Cambria Math" w:cs="Arial"/>
            <w:sz w:val="22"/>
            <w:szCs w:val="22"/>
          </w:rPr>
          <m:t>i</m:t>
        </m:r>
      </m:oMath>
      <w:r w:rsidRPr="003015D7">
        <w:rPr>
          <w:rFonts w:ascii="Arial" w:hAnsi="Arial" w:cs="Arial"/>
          <w:sz w:val="22"/>
          <w:szCs w:val="22"/>
        </w:rPr>
        <w:t>.</w:t>
      </w:r>
      <w:r w:rsidRPr="003015D7">
        <w:rPr>
          <w:rFonts w:ascii="Arial" w:hAnsi="Arial" w:cs="Arial"/>
          <w:sz w:val="22"/>
          <w:szCs w:val="22"/>
        </w:rPr>
        <w:br/>
      </w:r>
      <m:oMath>
        <m:sSub>
          <m:sSubPr>
            <m:ctrlPr>
              <w:rPr>
                <w:rFonts w:ascii="Cambria Math" w:hAnsi="Cambria Math" w:cs="Arial"/>
                <w:sz w:val="22"/>
                <w:szCs w:val="22"/>
              </w:rPr>
            </m:ctrlPr>
          </m:sSubPr>
          <m:e>
            <m:r>
              <w:rPr>
                <w:rFonts w:ascii="Cambria Math" w:hAnsi="Cambria Math" w:cs="Arial"/>
                <w:sz w:val="22"/>
                <w:szCs w:val="22"/>
              </w:rPr>
              <m:t>ϵ</m:t>
            </m:r>
          </m:e>
          <m:sub>
            <m:r>
              <w:rPr>
                <w:rFonts w:ascii="Cambria Math" w:hAnsi="Cambria Math" w:cs="Arial"/>
                <w:sz w:val="22"/>
                <w:szCs w:val="22"/>
              </w:rPr>
              <m:t>it</m:t>
            </m:r>
          </m:sub>
        </m:sSub>
      </m:oMath>
      <w:r w:rsidRPr="003015D7">
        <w:rPr>
          <w:rFonts w:ascii="Arial" w:hAnsi="Arial" w:cs="Arial"/>
          <w:sz w:val="22"/>
          <w:szCs w:val="22"/>
        </w:rPr>
        <w:t xml:space="preserve"> represents an error term for each destination county </w:t>
      </w:r>
      <m:oMath>
        <m:r>
          <w:rPr>
            <w:rFonts w:ascii="Cambria Math" w:hAnsi="Cambria Math" w:cs="Arial"/>
            <w:sz w:val="22"/>
            <w:szCs w:val="22"/>
          </w:rPr>
          <m:t>i</m:t>
        </m:r>
      </m:oMath>
      <w:r w:rsidRPr="003015D7">
        <w:rPr>
          <w:rFonts w:ascii="Arial" w:hAnsi="Arial" w:cs="Arial"/>
          <w:sz w:val="22"/>
          <w:szCs w:val="22"/>
        </w:rPr>
        <w:t xml:space="preserve"> at year </w:t>
      </w:r>
      <m:oMath>
        <m:r>
          <w:rPr>
            <w:rFonts w:ascii="Cambria Math" w:hAnsi="Cambria Math" w:cs="Arial"/>
            <w:sz w:val="22"/>
            <w:szCs w:val="22"/>
          </w:rPr>
          <m:t>t</m:t>
        </m:r>
      </m:oMath>
      <w:r w:rsidRPr="003015D7">
        <w:rPr>
          <w:rFonts w:ascii="Arial" w:hAnsi="Arial" w:cs="Arial"/>
          <w:sz w:val="22"/>
          <w:szCs w:val="22"/>
        </w:rPr>
        <w:t>.</w:t>
      </w:r>
      <w:r w:rsidRPr="003015D7">
        <w:rPr>
          <w:rFonts w:ascii="Arial" w:hAnsi="Arial" w:cs="Arial"/>
          <w:sz w:val="22"/>
          <w:szCs w:val="22"/>
        </w:rPr>
        <w:br/>
      </w:r>
    </w:p>
    <w:p w14:paraId="04E8A33C"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For Hypothesis 2A, we compare the baseline model to models that account for migration. To quantify migration, we develop a novel “migration term” which accounts for the mortality rates of individuals who have moved to a county of interest during a given period, essentially a weighted average of the mortality rates of all the origin counties. We calculated the following for each change in year and for each destination county </w:t>
      </w:r>
      <m:oMath>
        <m:r>
          <w:rPr>
            <w:rFonts w:ascii="Cambria Math" w:hAnsi="Cambria Math" w:cs="Arial"/>
            <w:sz w:val="22"/>
            <w:szCs w:val="22"/>
          </w:rPr>
          <m:t>i</m:t>
        </m:r>
      </m:oMath>
      <w:r w:rsidRPr="003015D7">
        <w:rPr>
          <w:rFonts w:ascii="Arial" w:hAnsi="Arial" w:cs="Arial"/>
          <w:sz w:val="22"/>
          <w:szCs w:val="22"/>
        </w:rPr>
        <w:t>:</w:t>
      </w:r>
    </w:p>
    <w:p w14:paraId="6BCAF7C8" w14:textId="77777777" w:rsidR="00792322" w:rsidRPr="003015D7" w:rsidRDefault="00000000" w:rsidP="003015D7">
      <w:pPr>
        <w:pStyle w:val="BodyText"/>
        <w:rPr>
          <w:rFonts w:ascii="Arial" w:hAnsi="Arial" w:cs="Arial"/>
          <w:sz w:val="22"/>
          <w:szCs w:val="22"/>
        </w:rPr>
      </w:pPr>
      <m:oMathPara>
        <m:oMathParaPr>
          <m:jc m:val="center"/>
        </m:oMathParaPr>
        <m:oMath>
          <m:r>
            <w:rPr>
              <w:rFonts w:ascii="Cambria Math" w:hAnsi="Cambria Math" w:cs="Arial"/>
              <w:sz w:val="22"/>
              <w:szCs w:val="22"/>
            </w:rPr>
            <m:t>mi</m:t>
          </m:r>
          <m:sSub>
            <m:sSubPr>
              <m:ctrlPr>
                <w:rPr>
                  <w:rFonts w:ascii="Cambria Math" w:hAnsi="Cambria Math" w:cs="Arial"/>
                  <w:sz w:val="22"/>
                  <w:szCs w:val="22"/>
                </w:rPr>
              </m:ctrlPr>
            </m:sSubPr>
            <m:e>
              <m:r>
                <w:rPr>
                  <w:rFonts w:ascii="Cambria Math" w:hAnsi="Cambria Math" w:cs="Arial"/>
                  <w:sz w:val="22"/>
                  <w:szCs w:val="22"/>
                </w:rPr>
                <m:t>g</m:t>
              </m:r>
            </m:e>
            <m:sub>
              <m:r>
                <w:rPr>
                  <w:rFonts w:ascii="Cambria Math" w:hAnsi="Cambria Math" w:cs="Arial"/>
                  <w:sz w:val="22"/>
                  <w:szCs w:val="22"/>
                </w:rPr>
                <m:t>it</m:t>
              </m:r>
            </m:sub>
          </m:sSub>
          <m:r>
            <m:rPr>
              <m:sty m:val="p"/>
            </m:rPr>
            <w:rPr>
              <w:rFonts w:ascii="Cambria Math" w:hAnsi="Cambria Math" w:cs="Arial"/>
              <w:sz w:val="22"/>
              <w:szCs w:val="22"/>
            </w:rPr>
            <m:t>=</m:t>
          </m:r>
          <m:f>
            <m:fPr>
              <m:ctrlPr>
                <w:rPr>
                  <w:rFonts w:ascii="Cambria Math" w:hAnsi="Cambria Math" w:cs="Arial"/>
                  <w:sz w:val="22"/>
                  <w:szCs w:val="22"/>
                </w:rPr>
              </m:ctrlPr>
            </m:fPr>
            <m:num>
              <m:nary>
                <m:naryPr>
                  <m:chr m:val="∑"/>
                  <m:limLoc m:val="undOvr"/>
                  <m:supHide m:val="1"/>
                  <m:ctrlPr>
                    <w:rPr>
                      <w:rFonts w:ascii="Cambria Math" w:hAnsi="Cambria Math" w:cs="Arial"/>
                      <w:sz w:val="22"/>
                      <w:szCs w:val="22"/>
                    </w:rPr>
                  </m:ctrlPr>
                </m:naryPr>
                <m:sub>
                  <m:r>
                    <w:rPr>
                      <w:rFonts w:ascii="Cambria Math" w:hAnsi="Cambria Math" w:cs="Arial"/>
                      <w:sz w:val="22"/>
                      <w:szCs w:val="22"/>
                    </w:rPr>
                    <m:t>j</m:t>
                  </m:r>
                  <m:r>
                    <m:rPr>
                      <m:sty m:val="p"/>
                    </m:rPr>
                    <w:rPr>
                      <w:rFonts w:ascii="Cambria Math" w:hAnsi="Cambria Math" w:cs="Arial"/>
                      <w:sz w:val="22"/>
                      <w:szCs w:val="22"/>
                    </w:rPr>
                    <m:t>≠</m:t>
                  </m:r>
                  <m:r>
                    <w:rPr>
                      <w:rFonts w:ascii="Cambria Math" w:hAnsi="Cambria Math" w:cs="Arial"/>
                      <w:sz w:val="22"/>
                      <w:szCs w:val="22"/>
                    </w:rPr>
                    <m:t>i</m:t>
                  </m:r>
                </m:sub>
                <m:sup>
                  <m:r>
                    <w:rPr>
                      <w:rFonts w:ascii="Cambria Math" w:hAnsi="Cambria Math" w:cs="Arial"/>
                      <w:sz w:val="22"/>
                      <w:szCs w:val="22"/>
                    </w:rPr>
                    <m:t>​</m:t>
                  </m:r>
                </m:sup>
                <m:e>
                  <m:r>
                    <w:rPr>
                      <w:rFonts w:ascii="Cambria Math" w:hAnsi="Cambria Math" w:cs="Arial"/>
                      <w:sz w:val="22"/>
                      <w:szCs w:val="22"/>
                    </w:rPr>
                    <m:t>o</m:t>
                  </m:r>
                </m:e>
              </m:nary>
              <m:r>
                <w:rPr>
                  <w:rFonts w:ascii="Cambria Math" w:hAnsi="Cambria Math" w:cs="Arial"/>
                  <w:sz w:val="22"/>
                  <w:szCs w:val="22"/>
                </w:rPr>
                <m:t>u</m:t>
              </m:r>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jit</m:t>
                  </m:r>
                </m:sub>
              </m:sSub>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j</m:t>
                  </m:r>
                  <m:r>
                    <m:rPr>
                      <m:sty m:val="p"/>
                    </m:rPr>
                    <w:rPr>
                      <w:rFonts w:ascii="Cambria Math" w:hAnsi="Cambria Math" w:cs="Arial"/>
                      <w:sz w:val="22"/>
                      <w:szCs w:val="22"/>
                    </w:rPr>
                    <m:t>,</m:t>
                  </m:r>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i</m:t>
                  </m:r>
                  <m:r>
                    <m:rPr>
                      <m:sty m:val="p"/>
                    </m:rPr>
                    <w:rPr>
                      <w:rFonts w:ascii="Cambria Math" w:hAnsi="Cambria Math" w:cs="Arial"/>
                      <w:sz w:val="22"/>
                      <w:szCs w:val="22"/>
                    </w:rPr>
                    <m:t>,</m:t>
                  </m:r>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d>
                <m:dPr>
                  <m:ctrlPr>
                    <w:rPr>
                      <w:rFonts w:ascii="Cambria Math" w:hAnsi="Cambria Math" w:cs="Arial"/>
                      <w:sz w:val="22"/>
                      <w:szCs w:val="22"/>
                    </w:rPr>
                  </m:ctrlPr>
                </m:dPr>
                <m:e>
                  <m:r>
                    <w:rPr>
                      <w:rFonts w:ascii="Cambria Math" w:hAnsi="Cambria Math" w:cs="Arial"/>
                      <w:sz w:val="22"/>
                      <w:szCs w:val="22"/>
                    </w:rPr>
                    <m:t>po</m:t>
                  </m:r>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i</m:t>
                      </m:r>
                      <m:r>
                        <m:rPr>
                          <m:sty m:val="p"/>
                        </m:rPr>
                        <w:rPr>
                          <w:rFonts w:ascii="Cambria Math" w:hAnsi="Cambria Math" w:cs="Arial"/>
                          <w:sz w:val="22"/>
                          <w:szCs w:val="22"/>
                        </w:rPr>
                        <m:t>,</m:t>
                      </m:r>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r>
                    <m:rPr>
                      <m:sty m:val="p"/>
                    </m:rPr>
                    <w:rPr>
                      <w:rFonts w:ascii="Cambria Math" w:hAnsi="Cambria Math" w:cs="Arial"/>
                      <w:sz w:val="22"/>
                      <w:szCs w:val="22"/>
                    </w:rPr>
                    <m:t>-</m:t>
                  </m:r>
                  <m:nary>
                    <m:naryPr>
                      <m:chr m:val="∑"/>
                      <m:limLoc m:val="undOvr"/>
                      <m:supHide m:val="1"/>
                      <m:ctrlPr>
                        <w:rPr>
                          <w:rFonts w:ascii="Cambria Math" w:hAnsi="Cambria Math" w:cs="Arial"/>
                          <w:sz w:val="22"/>
                          <w:szCs w:val="22"/>
                        </w:rPr>
                      </m:ctrlPr>
                    </m:naryPr>
                    <m:sub>
                      <m:r>
                        <w:rPr>
                          <w:rFonts w:ascii="Cambria Math" w:hAnsi="Cambria Math" w:cs="Arial"/>
                          <w:sz w:val="22"/>
                          <w:szCs w:val="22"/>
                        </w:rPr>
                        <m:t>j</m:t>
                      </m:r>
                      <m:r>
                        <m:rPr>
                          <m:sty m:val="p"/>
                        </m:rPr>
                        <w:rPr>
                          <w:rFonts w:ascii="Cambria Math" w:hAnsi="Cambria Math" w:cs="Arial"/>
                          <w:sz w:val="22"/>
                          <w:szCs w:val="22"/>
                        </w:rPr>
                        <m:t>≠</m:t>
                      </m:r>
                      <m:r>
                        <w:rPr>
                          <w:rFonts w:ascii="Cambria Math" w:hAnsi="Cambria Math" w:cs="Arial"/>
                          <w:sz w:val="22"/>
                          <w:szCs w:val="22"/>
                        </w:rPr>
                        <m:t>i</m:t>
                      </m:r>
                    </m:sub>
                    <m:sup>
                      <m:r>
                        <w:rPr>
                          <w:rFonts w:ascii="Cambria Math" w:hAnsi="Cambria Math" w:cs="Arial"/>
                          <w:sz w:val="22"/>
                          <w:szCs w:val="22"/>
                        </w:rPr>
                        <m:t>​</m:t>
                      </m:r>
                    </m:sup>
                    <m:e>
                      <m:r>
                        <w:rPr>
                          <w:rFonts w:ascii="Cambria Math" w:hAnsi="Cambria Math" w:cs="Arial"/>
                          <w:sz w:val="22"/>
                          <w:szCs w:val="22"/>
                        </w:rPr>
                        <m:t>o</m:t>
                      </m:r>
                    </m:e>
                  </m:nary>
                  <m:r>
                    <w:rPr>
                      <w:rFonts w:ascii="Cambria Math" w:hAnsi="Cambria Math" w:cs="Arial"/>
                      <w:sz w:val="22"/>
                      <w:szCs w:val="22"/>
                    </w:rPr>
                    <m:t>u</m:t>
                  </m:r>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ijt</m:t>
                      </m:r>
                    </m:sub>
                  </m:sSub>
                </m:e>
              </m:d>
            </m:num>
            <m:den>
              <m:nary>
                <m:naryPr>
                  <m:chr m:val="∑"/>
                  <m:limLoc m:val="undOvr"/>
                  <m:supHide m:val="1"/>
                  <m:ctrlPr>
                    <w:rPr>
                      <w:rFonts w:ascii="Cambria Math" w:hAnsi="Cambria Math" w:cs="Arial"/>
                      <w:sz w:val="22"/>
                      <w:szCs w:val="22"/>
                    </w:rPr>
                  </m:ctrlPr>
                </m:naryPr>
                <m:sub>
                  <m:r>
                    <w:rPr>
                      <w:rFonts w:ascii="Cambria Math" w:hAnsi="Cambria Math" w:cs="Arial"/>
                      <w:sz w:val="22"/>
                      <w:szCs w:val="22"/>
                    </w:rPr>
                    <m:t>j</m:t>
                  </m:r>
                  <m:r>
                    <m:rPr>
                      <m:sty m:val="p"/>
                    </m:rPr>
                    <w:rPr>
                      <w:rFonts w:ascii="Cambria Math" w:hAnsi="Cambria Math" w:cs="Arial"/>
                      <w:sz w:val="22"/>
                      <w:szCs w:val="22"/>
                    </w:rPr>
                    <m:t>≠</m:t>
                  </m:r>
                  <m:r>
                    <w:rPr>
                      <w:rFonts w:ascii="Cambria Math" w:hAnsi="Cambria Math" w:cs="Arial"/>
                      <w:sz w:val="22"/>
                      <w:szCs w:val="22"/>
                    </w:rPr>
                    <m:t>i</m:t>
                  </m:r>
                </m:sub>
                <m:sup>
                  <m:r>
                    <w:rPr>
                      <w:rFonts w:ascii="Cambria Math" w:hAnsi="Cambria Math" w:cs="Arial"/>
                      <w:sz w:val="22"/>
                      <w:szCs w:val="22"/>
                    </w:rPr>
                    <m:t>​</m:t>
                  </m:r>
                </m:sup>
                <m:e>
                  <m:r>
                    <w:rPr>
                      <w:rFonts w:ascii="Cambria Math" w:hAnsi="Cambria Math" w:cs="Arial"/>
                      <w:sz w:val="22"/>
                      <w:szCs w:val="22"/>
                    </w:rPr>
                    <m:t>o</m:t>
                  </m:r>
                </m:e>
              </m:nary>
              <m:r>
                <w:rPr>
                  <w:rFonts w:ascii="Cambria Math" w:hAnsi="Cambria Math" w:cs="Arial"/>
                  <w:sz w:val="22"/>
                  <w:szCs w:val="22"/>
                </w:rPr>
                <m:t>u</m:t>
              </m:r>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ijt</m:t>
                  </m:r>
                </m:sub>
              </m:sSub>
              <m:r>
                <m:rPr>
                  <m:sty m:val="p"/>
                </m:rPr>
                <w:rPr>
                  <w:rFonts w:ascii="Cambria Math" w:hAnsi="Cambria Math" w:cs="Arial"/>
                  <w:sz w:val="22"/>
                  <w:szCs w:val="22"/>
                </w:rPr>
                <m:t>+</m:t>
              </m:r>
              <m:d>
                <m:dPr>
                  <m:ctrlPr>
                    <w:rPr>
                      <w:rFonts w:ascii="Cambria Math" w:hAnsi="Cambria Math" w:cs="Arial"/>
                      <w:sz w:val="22"/>
                      <w:szCs w:val="22"/>
                    </w:rPr>
                  </m:ctrlPr>
                </m:dPr>
                <m:e>
                  <m:r>
                    <w:rPr>
                      <w:rFonts w:ascii="Cambria Math" w:hAnsi="Cambria Math" w:cs="Arial"/>
                      <w:sz w:val="22"/>
                      <w:szCs w:val="22"/>
                    </w:rPr>
                    <m:t>po</m:t>
                  </m:r>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i</m:t>
                      </m:r>
                      <m:r>
                        <m:rPr>
                          <m:sty m:val="p"/>
                        </m:rPr>
                        <w:rPr>
                          <w:rFonts w:ascii="Cambria Math" w:hAnsi="Cambria Math" w:cs="Arial"/>
                          <w:sz w:val="22"/>
                          <w:szCs w:val="22"/>
                        </w:rPr>
                        <m:t>,</m:t>
                      </m:r>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r>
                    <m:rPr>
                      <m:sty m:val="p"/>
                    </m:rPr>
                    <w:rPr>
                      <w:rFonts w:ascii="Cambria Math" w:hAnsi="Cambria Math" w:cs="Arial"/>
                      <w:sz w:val="22"/>
                      <w:szCs w:val="22"/>
                    </w:rPr>
                    <m:t>-</m:t>
                  </m:r>
                  <m:nary>
                    <m:naryPr>
                      <m:chr m:val="∑"/>
                      <m:limLoc m:val="undOvr"/>
                      <m:supHide m:val="1"/>
                      <m:ctrlPr>
                        <w:rPr>
                          <w:rFonts w:ascii="Cambria Math" w:hAnsi="Cambria Math" w:cs="Arial"/>
                          <w:sz w:val="22"/>
                          <w:szCs w:val="22"/>
                        </w:rPr>
                      </m:ctrlPr>
                    </m:naryPr>
                    <m:sub>
                      <m:r>
                        <w:rPr>
                          <w:rFonts w:ascii="Cambria Math" w:hAnsi="Cambria Math" w:cs="Arial"/>
                          <w:sz w:val="22"/>
                          <w:szCs w:val="22"/>
                        </w:rPr>
                        <m:t>j</m:t>
                      </m:r>
                      <m:r>
                        <m:rPr>
                          <m:sty m:val="p"/>
                        </m:rPr>
                        <w:rPr>
                          <w:rFonts w:ascii="Cambria Math" w:hAnsi="Cambria Math" w:cs="Arial"/>
                          <w:sz w:val="22"/>
                          <w:szCs w:val="22"/>
                        </w:rPr>
                        <m:t>≠</m:t>
                      </m:r>
                      <m:r>
                        <w:rPr>
                          <w:rFonts w:ascii="Cambria Math" w:hAnsi="Cambria Math" w:cs="Arial"/>
                          <w:sz w:val="22"/>
                          <w:szCs w:val="22"/>
                        </w:rPr>
                        <m:t>i</m:t>
                      </m:r>
                    </m:sub>
                    <m:sup>
                      <m:r>
                        <w:rPr>
                          <w:rFonts w:ascii="Cambria Math" w:hAnsi="Cambria Math" w:cs="Arial"/>
                          <w:sz w:val="22"/>
                          <w:szCs w:val="22"/>
                        </w:rPr>
                        <m:t>​</m:t>
                      </m:r>
                    </m:sup>
                    <m:e>
                      <m:r>
                        <w:rPr>
                          <w:rFonts w:ascii="Cambria Math" w:hAnsi="Cambria Math" w:cs="Arial"/>
                          <w:sz w:val="22"/>
                          <w:szCs w:val="22"/>
                        </w:rPr>
                        <m:t>o</m:t>
                      </m:r>
                    </m:e>
                  </m:nary>
                  <m:r>
                    <w:rPr>
                      <w:rFonts w:ascii="Cambria Math" w:hAnsi="Cambria Math" w:cs="Arial"/>
                      <w:sz w:val="22"/>
                      <w:szCs w:val="22"/>
                    </w:rPr>
                    <m:t>u</m:t>
                  </m:r>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ijt</m:t>
                      </m:r>
                    </m:sub>
                  </m:sSub>
                </m:e>
              </m:d>
            </m:den>
          </m:f>
        </m:oMath>
      </m:oMathPara>
    </w:p>
    <w:p w14:paraId="40030813" w14:textId="77777777" w:rsidR="003015D7" w:rsidRDefault="003015D7" w:rsidP="003015D7">
      <w:pPr>
        <w:pStyle w:val="FirstParagraph"/>
        <w:rPr>
          <w:rFonts w:ascii="Arial" w:hAnsi="Arial" w:cs="Arial"/>
          <w:sz w:val="22"/>
          <w:szCs w:val="22"/>
        </w:rPr>
      </w:pPr>
      <w:r w:rsidRPr="003015D7">
        <w:rPr>
          <w:rFonts w:ascii="Arial" w:hAnsi="Arial" w:cs="Arial"/>
          <w:sz w:val="22"/>
          <w:szCs w:val="22"/>
        </w:rPr>
        <w:t>W</w:t>
      </w:r>
      <w:r w:rsidR="00000000" w:rsidRPr="003015D7">
        <w:rPr>
          <w:rFonts w:ascii="Arial" w:hAnsi="Arial" w:cs="Arial"/>
          <w:sz w:val="22"/>
          <w:szCs w:val="22"/>
        </w:rPr>
        <w:t>here</w:t>
      </w:r>
      <w:r>
        <w:rPr>
          <w:rFonts w:ascii="Arial" w:hAnsi="Arial" w:cs="Arial"/>
          <w:sz w:val="22"/>
          <w:szCs w:val="22"/>
        </w:rPr>
        <w:t>:</w:t>
      </w:r>
    </w:p>
    <w:p w14:paraId="79D933A8" w14:textId="77777777" w:rsidR="003015D7" w:rsidRDefault="00000000" w:rsidP="003015D7">
      <w:pPr>
        <w:pStyle w:val="FirstParagraph"/>
        <w:rPr>
          <w:rFonts w:ascii="Arial" w:hAnsi="Arial" w:cs="Arial"/>
          <w:sz w:val="22"/>
          <w:szCs w:val="22"/>
        </w:rPr>
      </w:pP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it</m:t>
            </m:r>
          </m:sub>
        </m:sSub>
      </m:oMath>
      <w:r w:rsidRPr="003015D7">
        <w:rPr>
          <w:rFonts w:ascii="Arial" w:hAnsi="Arial" w:cs="Arial"/>
          <w:sz w:val="22"/>
          <w:szCs w:val="22"/>
        </w:rPr>
        <w:t xml:space="preserve"> was defined above</w:t>
      </w:r>
      <w:r w:rsidRPr="003015D7">
        <w:rPr>
          <w:rFonts w:ascii="Arial" w:hAnsi="Arial" w:cs="Arial"/>
          <w:sz w:val="22"/>
          <w:szCs w:val="22"/>
        </w:rPr>
        <w:br/>
      </w:r>
      <m:oMath>
        <m:r>
          <w:rPr>
            <w:rFonts w:ascii="Cambria Math" w:hAnsi="Cambria Math" w:cs="Arial"/>
            <w:sz w:val="22"/>
            <w:szCs w:val="22"/>
          </w:rPr>
          <m:t>ou</m:t>
        </m:r>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ijt</m:t>
            </m:r>
          </m:sub>
        </m:sSub>
      </m:oMath>
      <w:r w:rsidRPr="003015D7">
        <w:rPr>
          <w:rFonts w:ascii="Arial" w:hAnsi="Arial" w:cs="Arial"/>
          <w:sz w:val="22"/>
          <w:szCs w:val="22"/>
        </w:rPr>
        <w:t xml:space="preserve"> represents the number of migrants from a unique origin county </w:t>
      </w:r>
      <m:oMath>
        <m:r>
          <w:rPr>
            <w:rFonts w:ascii="Cambria Math" w:hAnsi="Cambria Math" w:cs="Arial"/>
            <w:sz w:val="22"/>
            <w:szCs w:val="22"/>
          </w:rPr>
          <m:t>j</m:t>
        </m:r>
      </m:oMath>
      <w:r w:rsidRPr="003015D7">
        <w:rPr>
          <w:rFonts w:ascii="Arial" w:hAnsi="Arial" w:cs="Arial"/>
          <w:sz w:val="22"/>
          <w:szCs w:val="22"/>
        </w:rPr>
        <w:t xml:space="preserve"> who migrated to a destination county </w:t>
      </w:r>
      <m:oMath>
        <m:r>
          <w:rPr>
            <w:rFonts w:ascii="Cambria Math" w:hAnsi="Cambria Math" w:cs="Arial"/>
            <w:sz w:val="22"/>
            <w:szCs w:val="22"/>
          </w:rPr>
          <m:t>i</m:t>
        </m:r>
      </m:oMath>
      <w:r w:rsidRPr="003015D7">
        <w:rPr>
          <w:rFonts w:ascii="Arial" w:hAnsi="Arial" w:cs="Arial"/>
          <w:sz w:val="22"/>
          <w:szCs w:val="22"/>
        </w:rPr>
        <w:t xml:space="preserve"> between year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r w:rsidRPr="003015D7">
        <w:rPr>
          <w:rFonts w:ascii="Arial" w:hAnsi="Arial" w:cs="Arial"/>
          <w:sz w:val="22"/>
          <w:szCs w:val="22"/>
        </w:rPr>
        <w:t xml:space="preserve"> and year </w:t>
      </w:r>
      <m:oMath>
        <m:r>
          <w:rPr>
            <w:rFonts w:ascii="Cambria Math" w:hAnsi="Cambria Math" w:cs="Arial"/>
            <w:sz w:val="22"/>
            <w:szCs w:val="22"/>
          </w:rPr>
          <m:t>t</m:t>
        </m:r>
      </m:oMath>
      <w:r w:rsidRPr="003015D7">
        <w:rPr>
          <w:rFonts w:ascii="Arial" w:hAnsi="Arial" w:cs="Arial"/>
          <w:sz w:val="22"/>
          <w:szCs w:val="22"/>
        </w:rPr>
        <w:t>.</w:t>
      </w:r>
      <w:r w:rsidRPr="003015D7">
        <w:rPr>
          <w:rFonts w:ascii="Arial" w:hAnsi="Arial" w:cs="Arial"/>
          <w:sz w:val="22"/>
          <w:szCs w:val="22"/>
        </w:rPr>
        <w:br/>
      </w:r>
      <m:oMath>
        <m:r>
          <w:rPr>
            <w:rFonts w:ascii="Cambria Math" w:hAnsi="Cambria Math" w:cs="Arial"/>
            <w:sz w:val="22"/>
            <w:szCs w:val="22"/>
          </w:rPr>
          <m:t>po</m:t>
        </m:r>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i</m:t>
            </m:r>
            <m:r>
              <m:rPr>
                <m:sty m:val="p"/>
              </m:rPr>
              <w:rPr>
                <w:rFonts w:ascii="Cambria Math" w:hAnsi="Cambria Math" w:cs="Arial"/>
                <w:sz w:val="22"/>
                <w:szCs w:val="22"/>
              </w:rPr>
              <m:t>,</m:t>
            </m:r>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3015D7">
        <w:rPr>
          <w:rFonts w:ascii="Arial" w:hAnsi="Arial" w:cs="Arial"/>
          <w:sz w:val="22"/>
          <w:szCs w:val="22"/>
        </w:rPr>
        <w:t xml:space="preserve"> is the population of </w:t>
      </w:r>
      <w:r w:rsidR="003015D7" w:rsidRPr="003015D7">
        <w:rPr>
          <w:rFonts w:ascii="Arial" w:hAnsi="Arial" w:cs="Arial"/>
          <w:sz w:val="22"/>
          <w:szCs w:val="22"/>
        </w:rPr>
        <w:t>a</w:t>
      </w:r>
      <w:r w:rsidRPr="003015D7">
        <w:rPr>
          <w:rFonts w:ascii="Arial" w:hAnsi="Arial" w:cs="Arial"/>
          <w:sz w:val="22"/>
          <w:szCs w:val="22"/>
        </w:rPr>
        <w:t xml:space="preserve"> unique destination county </w:t>
      </w:r>
      <m:oMath>
        <m:r>
          <w:rPr>
            <w:rFonts w:ascii="Cambria Math" w:hAnsi="Cambria Math" w:cs="Arial"/>
            <w:sz w:val="22"/>
            <w:szCs w:val="22"/>
          </w:rPr>
          <m:t>i</m:t>
        </m:r>
      </m:oMath>
      <w:r w:rsidRPr="003015D7">
        <w:rPr>
          <w:rFonts w:ascii="Arial" w:hAnsi="Arial" w:cs="Arial"/>
          <w:sz w:val="22"/>
          <w:szCs w:val="22"/>
        </w:rPr>
        <w:t xml:space="preserve"> at initial year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r w:rsidRPr="003015D7">
        <w:rPr>
          <w:rFonts w:ascii="Arial" w:hAnsi="Arial" w:cs="Arial"/>
          <w:sz w:val="22"/>
          <w:szCs w:val="22"/>
        </w:rPr>
        <w:br/>
      </w:r>
    </w:p>
    <w:p w14:paraId="5B042ECF" w14:textId="1DEF2132" w:rsidR="00792322" w:rsidRPr="003015D7" w:rsidRDefault="00000000" w:rsidP="003015D7">
      <w:pPr>
        <w:pStyle w:val="FirstParagraph"/>
        <w:rPr>
          <w:rFonts w:ascii="Arial" w:hAnsi="Arial" w:cs="Arial"/>
          <w:sz w:val="22"/>
          <w:szCs w:val="22"/>
        </w:rPr>
      </w:pPr>
      <w:r w:rsidRPr="003015D7">
        <w:rPr>
          <w:rFonts w:ascii="Arial" w:hAnsi="Arial" w:cs="Arial"/>
          <w:sz w:val="22"/>
          <w:szCs w:val="22"/>
        </w:rPr>
        <w:t>This approach implicitly assumes that individuals migrate uniformly at random (</w:t>
      </w:r>
      <w:r w:rsidR="003015D7" w:rsidRPr="003015D7">
        <w:rPr>
          <w:rFonts w:ascii="Arial" w:hAnsi="Arial" w:cs="Arial"/>
          <w:sz w:val="22"/>
          <w:szCs w:val="22"/>
        </w:rPr>
        <w:t>i.e.,</w:t>
      </w:r>
      <w:r w:rsidRPr="003015D7">
        <w:rPr>
          <w:rFonts w:ascii="Arial" w:hAnsi="Arial" w:cs="Arial"/>
          <w:sz w:val="22"/>
          <w:szCs w:val="22"/>
        </w:rPr>
        <w:t> no selection bias). In other words, our best guess for the mortality rate of migrants is exactly the mortality rate of their original county.</w:t>
      </w:r>
    </w:p>
    <w:p w14:paraId="4A84A91E"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We analyzed several models and used the Bayesian Information Criterion (BIC) to determine the best fitting model. BIC is commonly used to determine models with greatest explanatory power (Kuha 2004). Starting with our baseline model, we iteratively added splines for the prior year’s average county-level mortality rate and the migration term, capturing potentially nonlinear trends.</w:t>
      </w:r>
    </w:p>
    <w:p w14:paraId="5E58CFA5"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For Hypothesis 2B, we build separate models for urban and rural counties. This involves creating separate datasets for rural and urban counties and completing the same model selection steps as above.</w:t>
      </w:r>
    </w:p>
    <w:p w14:paraId="1022CE6D" w14:textId="4F77A5F6" w:rsidR="00792322" w:rsidRPr="003015D7" w:rsidRDefault="00000000" w:rsidP="003015D7">
      <w:pPr>
        <w:pStyle w:val="BodyText"/>
        <w:rPr>
          <w:rFonts w:ascii="Arial" w:hAnsi="Arial" w:cs="Arial"/>
          <w:sz w:val="22"/>
          <w:szCs w:val="22"/>
        </w:rPr>
      </w:pPr>
      <w:r w:rsidRPr="003015D7">
        <w:rPr>
          <w:rFonts w:ascii="Arial" w:hAnsi="Arial" w:cs="Arial"/>
          <w:sz w:val="22"/>
          <w:szCs w:val="22"/>
        </w:rPr>
        <w:t>For Hypothesis 2C, we will add a parameter to our equation for our migration term to simulate selection for migration. This parameter will be added to the mortality rate of each origin county. When the parameter is subtracted (</w:t>
      </w:r>
      <w:r w:rsidR="003015D7" w:rsidRPr="003015D7">
        <w:rPr>
          <w:rFonts w:ascii="Arial" w:hAnsi="Arial" w:cs="Arial"/>
          <w:sz w:val="22"/>
          <w:szCs w:val="22"/>
        </w:rPr>
        <w:t>i.e.,</w:t>
      </w:r>
      <w:r w:rsidRPr="003015D7">
        <w:rPr>
          <w:rFonts w:ascii="Arial" w:hAnsi="Arial" w:cs="Arial"/>
          <w:sz w:val="22"/>
          <w:szCs w:val="22"/>
        </w:rPr>
        <w:t xml:space="preserve"> decreased mortality rate), we simulate migration by individuals who are healthier than the </w:t>
      </w:r>
      <w:r w:rsidRPr="003015D7">
        <w:rPr>
          <w:rFonts w:ascii="Arial" w:hAnsi="Arial" w:cs="Arial"/>
          <w:sz w:val="22"/>
          <w:szCs w:val="22"/>
        </w:rPr>
        <w:lastRenderedPageBreak/>
        <w:t>average of their origin county. When the parameter is added (</w:t>
      </w:r>
      <w:proofErr w:type="gramStart"/>
      <w:r w:rsidRPr="003015D7">
        <w:rPr>
          <w:rFonts w:ascii="Arial" w:hAnsi="Arial" w:cs="Arial"/>
          <w:sz w:val="22"/>
          <w:szCs w:val="22"/>
        </w:rPr>
        <w:t>ie</w:t>
      </w:r>
      <w:proofErr w:type="gramEnd"/>
      <w:r w:rsidRPr="003015D7">
        <w:rPr>
          <w:rFonts w:ascii="Arial" w:hAnsi="Arial" w:cs="Arial"/>
          <w:sz w:val="22"/>
          <w:szCs w:val="22"/>
        </w:rPr>
        <w:t xml:space="preserve"> increased mortality rate), we simulate migration by individuals who are unhealthier than the average of their origin county. Since we hypothesize that the effect of migration on county-level health differs for rural and urban counties, we will test the values of this parameter separately for rural and urban counties. The details of this sub-analysis are still being developed.</w:t>
      </w:r>
    </w:p>
    <w:p w14:paraId="2255EB24" w14:textId="77777777" w:rsidR="00792322" w:rsidRPr="003015D7" w:rsidRDefault="00000000" w:rsidP="003015D7">
      <w:pPr>
        <w:pStyle w:val="BodyText"/>
        <w:rPr>
          <w:rFonts w:ascii="Arial" w:hAnsi="Arial" w:cs="Arial"/>
          <w:sz w:val="22"/>
          <w:szCs w:val="22"/>
        </w:rPr>
      </w:pPr>
      <w:r w:rsidRPr="003015D7">
        <w:rPr>
          <w:rFonts w:ascii="Arial" w:hAnsi="Arial" w:cs="Arial"/>
          <w:b/>
          <w:bCs/>
          <w:sz w:val="22"/>
          <w:szCs w:val="22"/>
          <w:u w:val="single"/>
        </w:rPr>
        <w:t>Preliminary Results</w:t>
      </w:r>
    </w:p>
    <w:p w14:paraId="552A78C0"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The best fitting model in terms of BIC score included five spline terms for both the autoregressive term and our weighted average migration term. This model will be called </w:t>
      </w:r>
      <m:oMath>
        <m:r>
          <w:rPr>
            <w:rFonts w:ascii="Cambria Math" w:hAnsi="Cambria Math" w:cs="Arial"/>
            <w:sz w:val="22"/>
            <w:szCs w:val="22"/>
          </w:rPr>
          <m:t>model2A</m:t>
        </m:r>
      </m:oMath>
      <w:r w:rsidRPr="003015D7">
        <w:rPr>
          <w:rFonts w:ascii="Arial" w:hAnsi="Arial" w:cs="Arial"/>
          <w:sz w:val="22"/>
          <w:szCs w:val="22"/>
        </w:rPr>
        <w:t>. Thus, models that account for migration had more explanatory power than models that included only the prior year’s average county-level mortality rate. This confirms Hypothesis 2A.</w:t>
      </w:r>
    </w:p>
    <w:p w14:paraId="59675230"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We found that for both urban and rural counties, the models with the lowest BIC scores included splines with four degrees of freedom each for the migration term and lagged age-adjusted mortality as well as the net migration term factor variable. These models were very similar to </w:t>
      </w:r>
      <m:oMath>
        <m:r>
          <w:rPr>
            <w:rFonts w:ascii="Cambria Math" w:hAnsi="Cambria Math" w:cs="Arial"/>
            <w:sz w:val="22"/>
            <w:szCs w:val="22"/>
          </w:rPr>
          <m:t>model2A</m:t>
        </m:r>
      </m:oMath>
      <w:r w:rsidRPr="003015D7">
        <w:rPr>
          <w:rFonts w:ascii="Arial" w:hAnsi="Arial" w:cs="Arial"/>
          <w:sz w:val="22"/>
          <w:szCs w:val="22"/>
        </w:rPr>
        <w:t xml:space="preserve"> but with four degree of freedom splines instead of five. Though the models for urban and rural counties are similar, the effect of the </w:t>
      </w:r>
      <m:oMath>
        <m:r>
          <w:rPr>
            <w:rFonts w:ascii="Cambria Math" w:hAnsi="Cambria Math" w:cs="Arial"/>
            <w:sz w:val="22"/>
            <w:szCs w:val="22"/>
          </w:rPr>
          <m:t>migterm</m:t>
        </m:r>
      </m:oMath>
      <w:r w:rsidRPr="003015D7">
        <w:rPr>
          <w:rFonts w:ascii="Arial" w:hAnsi="Arial" w:cs="Arial"/>
          <w:sz w:val="22"/>
          <w:szCs w:val="22"/>
        </w:rPr>
        <w:t xml:space="preserve"> appears to differ between rural and urban counties. See </w:t>
      </w:r>
      <w:r w:rsidRPr="003015D7">
        <w:rPr>
          <w:rFonts w:ascii="Arial" w:hAnsi="Arial" w:cs="Arial"/>
          <w:b/>
          <w:bCs/>
          <w:sz w:val="22"/>
          <w:szCs w:val="22"/>
        </w:rPr>
        <w:t>Figure 2</w:t>
      </w:r>
      <w:r w:rsidRPr="003015D7">
        <w:rPr>
          <w:rFonts w:ascii="Arial" w:hAnsi="Arial" w:cs="Arial"/>
          <w:sz w:val="22"/>
          <w:szCs w:val="22"/>
        </w:rPr>
        <w:t xml:space="preserve"> below.</w:t>
      </w:r>
    </w:p>
    <w:tbl>
      <w:tblPr>
        <w:tblStyle w:val="Table"/>
        <w:tblW w:w="5000" w:type="pct"/>
        <w:tblLook w:val="0000" w:firstRow="0" w:lastRow="0" w:firstColumn="0" w:lastColumn="0" w:noHBand="0" w:noVBand="0"/>
      </w:tblPr>
      <w:tblGrid>
        <w:gridCol w:w="11016"/>
      </w:tblGrid>
      <w:tr w:rsidR="003015D7" w:rsidRPr="003015D7" w14:paraId="30E78188" w14:textId="77777777">
        <w:tc>
          <w:tcPr>
            <w:tcW w:w="0" w:type="auto"/>
          </w:tcPr>
          <w:p w14:paraId="6BC8DF9D" w14:textId="77777777" w:rsidR="00792322" w:rsidRPr="003015D7" w:rsidRDefault="00000000" w:rsidP="003015D7">
            <w:pPr>
              <w:jc w:val="center"/>
              <w:rPr>
                <w:rFonts w:ascii="Arial" w:hAnsi="Arial" w:cs="Arial"/>
                <w:sz w:val="22"/>
                <w:szCs w:val="22"/>
              </w:rPr>
            </w:pPr>
            <w:r w:rsidRPr="003015D7">
              <w:rPr>
                <w:rFonts w:ascii="Arial" w:hAnsi="Arial" w:cs="Arial"/>
                <w:noProof/>
                <w:sz w:val="22"/>
                <w:szCs w:val="22"/>
              </w:rPr>
              <w:drawing>
                <wp:inline distT="0" distB="0" distL="0" distR="0" wp14:anchorId="1DD6083A" wp14:editId="3706480D">
                  <wp:extent cx="5334000" cy="3493802"/>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images/urb_migtermplot.png"/>
                          <pic:cNvPicPr>
                            <a:picLocks noChangeAspect="1" noChangeArrowheads="1"/>
                          </pic:cNvPicPr>
                        </pic:nvPicPr>
                        <pic:blipFill>
                          <a:blip r:embed="rId10"/>
                          <a:stretch>
                            <a:fillRect/>
                          </a:stretch>
                        </pic:blipFill>
                        <pic:spPr bwMode="auto">
                          <a:xfrm>
                            <a:off x="0" y="0"/>
                            <a:ext cx="5334000" cy="3493802"/>
                          </a:xfrm>
                          <a:prstGeom prst="rect">
                            <a:avLst/>
                          </a:prstGeom>
                          <a:noFill/>
                          <a:ln w="9525">
                            <a:noFill/>
                            <a:headEnd/>
                            <a:tailEnd/>
                          </a:ln>
                        </pic:spPr>
                      </pic:pic>
                    </a:graphicData>
                  </a:graphic>
                </wp:inline>
              </w:drawing>
            </w:r>
          </w:p>
          <w:p w14:paraId="1437849F" w14:textId="77777777" w:rsidR="00792322" w:rsidRPr="003015D7" w:rsidRDefault="00000000" w:rsidP="003015D7">
            <w:pPr>
              <w:pStyle w:val="ImageCaption"/>
              <w:spacing w:before="200"/>
              <w:rPr>
                <w:rFonts w:ascii="Arial" w:hAnsi="Arial" w:cs="Arial"/>
                <w:sz w:val="22"/>
                <w:szCs w:val="22"/>
              </w:rPr>
            </w:pPr>
            <w:r w:rsidRPr="003015D7">
              <w:rPr>
                <w:rFonts w:ascii="Arial" w:hAnsi="Arial" w:cs="Arial"/>
                <w:sz w:val="22"/>
                <w:szCs w:val="22"/>
              </w:rPr>
              <w:t xml:space="preserve">Figure 2: Urban counties are less sensitive to the effects of </w:t>
            </w:r>
            <m:oMath>
              <m:r>
                <w:rPr>
                  <w:rFonts w:ascii="Cambria Math" w:hAnsi="Cambria Math" w:cs="Arial"/>
                  <w:sz w:val="22"/>
                  <w:szCs w:val="22"/>
                </w:rPr>
                <m:t>migterm</m:t>
              </m:r>
            </m:oMath>
            <w:r w:rsidRPr="003015D7">
              <w:rPr>
                <w:rFonts w:ascii="Arial" w:hAnsi="Arial" w:cs="Arial"/>
                <w:sz w:val="22"/>
                <w:szCs w:val="22"/>
              </w:rPr>
              <w:t xml:space="preserve"> than rural counties.</w:t>
            </w:r>
          </w:p>
        </w:tc>
      </w:tr>
    </w:tbl>
    <w:p w14:paraId="3C6119F8" w14:textId="3030F7FB"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As shown above, urban counties appear to be less sensitive to the </w:t>
      </w:r>
      <m:oMath>
        <m:r>
          <w:rPr>
            <w:rFonts w:ascii="Cambria Math" w:hAnsi="Cambria Math" w:cs="Arial"/>
            <w:sz w:val="22"/>
            <w:szCs w:val="22"/>
          </w:rPr>
          <m:t>migterm</m:t>
        </m:r>
      </m:oMath>
      <w:r w:rsidRPr="003015D7">
        <w:rPr>
          <w:rFonts w:ascii="Arial" w:hAnsi="Arial" w:cs="Arial"/>
          <w:sz w:val="22"/>
          <w:szCs w:val="22"/>
        </w:rPr>
        <w:t xml:space="preserve"> than rural counties. Migration from less healthy places (</w:t>
      </w:r>
      <w:r w:rsidR="003015D7" w:rsidRPr="003015D7">
        <w:rPr>
          <w:rFonts w:ascii="Arial" w:hAnsi="Arial" w:cs="Arial"/>
          <w:sz w:val="22"/>
          <w:szCs w:val="22"/>
        </w:rPr>
        <w:t>i.e.,</w:t>
      </w:r>
      <w:r w:rsidRPr="003015D7">
        <w:rPr>
          <w:rFonts w:ascii="Arial" w:hAnsi="Arial" w:cs="Arial"/>
          <w:sz w:val="22"/>
          <w:szCs w:val="22"/>
        </w:rPr>
        <w:t xml:space="preserve"> when </w:t>
      </w:r>
      <m:oMath>
        <m:r>
          <w:rPr>
            <w:rFonts w:ascii="Cambria Math" w:hAnsi="Cambria Math" w:cs="Arial"/>
            <w:sz w:val="22"/>
            <w:szCs w:val="22"/>
          </w:rPr>
          <m:t>migterm</m:t>
        </m:r>
        <m:r>
          <m:rPr>
            <m:sty m:val="p"/>
          </m:rPr>
          <w:rPr>
            <w:rFonts w:ascii="Cambria Math" w:hAnsi="Cambria Math" w:cs="Arial"/>
            <w:sz w:val="22"/>
            <w:szCs w:val="22"/>
          </w:rPr>
          <m:t>-</m:t>
        </m:r>
        <m:r>
          <w:rPr>
            <w:rFonts w:ascii="Cambria Math" w:hAnsi="Cambria Math" w:cs="Arial"/>
            <w:sz w:val="22"/>
            <w:szCs w:val="22"/>
          </w:rPr>
          <m:t>mortrat</m:t>
        </m:r>
        <m:sSub>
          <m:sSubPr>
            <m:ctrlPr>
              <w:rPr>
                <w:rFonts w:ascii="Cambria Math" w:hAnsi="Cambria Math" w:cs="Arial"/>
                <w:sz w:val="22"/>
                <w:szCs w:val="22"/>
              </w:rPr>
            </m:ctrlPr>
          </m:sSubPr>
          <m:e>
            <m:r>
              <w:rPr>
                <w:rFonts w:ascii="Cambria Math" w:hAnsi="Cambria Math" w:cs="Arial"/>
                <w:sz w:val="22"/>
                <w:szCs w:val="22"/>
              </w:rPr>
              <m:t>e</m:t>
            </m:r>
          </m:e>
          <m:sub>
            <m:r>
              <w:rPr>
                <w:rFonts w:ascii="Cambria Math" w:hAnsi="Cambria Math" w:cs="Arial"/>
                <w:sz w:val="22"/>
                <w:szCs w:val="22"/>
              </w:rPr>
              <m:t>initial</m:t>
            </m:r>
          </m:sub>
        </m:sSub>
        <m:r>
          <m:rPr>
            <m:sty m:val="p"/>
          </m:rPr>
          <w:rPr>
            <w:rFonts w:ascii="Cambria Math" w:hAnsi="Cambria Math" w:cs="Arial"/>
            <w:sz w:val="22"/>
            <w:szCs w:val="22"/>
          </w:rPr>
          <m:t>=</m:t>
        </m:r>
        <m:r>
          <w:rPr>
            <w:rFonts w:ascii="Cambria Math" w:hAnsi="Cambria Math" w:cs="Arial"/>
            <w:sz w:val="22"/>
            <w:szCs w:val="22"/>
          </w:rPr>
          <m:t>10</m:t>
        </m:r>
      </m:oMath>
      <w:r w:rsidRPr="003015D7">
        <w:rPr>
          <w:rFonts w:ascii="Arial" w:hAnsi="Arial" w:cs="Arial"/>
          <w:sz w:val="22"/>
          <w:szCs w:val="22"/>
        </w:rPr>
        <w:t>; orange) appears to affect rural counties more greatly than urban counties. This makes sense because urban counties have greater population size making them resistant to the effects of incoming migration. However, the effect of migration from healthier counties (</w:t>
      </w:r>
      <m:oMath>
        <m:r>
          <w:rPr>
            <w:rFonts w:ascii="Cambria Math" w:hAnsi="Cambria Math" w:cs="Arial"/>
            <w:sz w:val="22"/>
            <w:szCs w:val="22"/>
          </w:rPr>
          <m:t>migterm</m:t>
        </m:r>
        <m:r>
          <m:rPr>
            <m:sty m:val="p"/>
          </m:rPr>
          <w:rPr>
            <w:rFonts w:ascii="Cambria Math" w:hAnsi="Cambria Math" w:cs="Arial"/>
            <w:sz w:val="22"/>
            <w:szCs w:val="22"/>
          </w:rPr>
          <m:t>-</m:t>
        </m:r>
        <m:r>
          <w:rPr>
            <w:rFonts w:ascii="Cambria Math" w:hAnsi="Cambria Math" w:cs="Arial"/>
            <w:sz w:val="22"/>
            <w:szCs w:val="22"/>
          </w:rPr>
          <m:t>mortrat</m:t>
        </m:r>
        <m:sSub>
          <m:sSubPr>
            <m:ctrlPr>
              <w:rPr>
                <w:rFonts w:ascii="Cambria Math" w:hAnsi="Cambria Math" w:cs="Arial"/>
                <w:sz w:val="22"/>
                <w:szCs w:val="22"/>
              </w:rPr>
            </m:ctrlPr>
          </m:sSubPr>
          <m:e>
            <m:r>
              <w:rPr>
                <w:rFonts w:ascii="Cambria Math" w:hAnsi="Cambria Math" w:cs="Arial"/>
                <w:sz w:val="22"/>
                <w:szCs w:val="22"/>
              </w:rPr>
              <m:t>e</m:t>
            </m:r>
          </m:e>
          <m:sub>
            <m:r>
              <w:rPr>
                <w:rFonts w:ascii="Cambria Math" w:hAnsi="Cambria Math" w:cs="Arial"/>
                <w:sz w:val="22"/>
                <w:szCs w:val="22"/>
              </w:rPr>
              <m:t>initial</m:t>
            </m:r>
          </m:sub>
        </m:sSub>
        <m:r>
          <m:rPr>
            <m:sty m:val="p"/>
          </m:rPr>
          <w:rPr>
            <w:rFonts w:ascii="Cambria Math" w:hAnsi="Cambria Math" w:cs="Arial"/>
            <w:sz w:val="22"/>
            <w:szCs w:val="22"/>
          </w:rPr>
          <m:t>=-</m:t>
        </m:r>
        <m:r>
          <w:rPr>
            <w:rFonts w:ascii="Cambria Math" w:hAnsi="Cambria Math" w:cs="Arial"/>
            <w:sz w:val="22"/>
            <w:szCs w:val="22"/>
          </w:rPr>
          <m:t>10</m:t>
        </m:r>
      </m:oMath>
      <w:r w:rsidRPr="003015D7">
        <w:rPr>
          <w:rFonts w:ascii="Arial" w:hAnsi="Arial" w:cs="Arial"/>
          <w:sz w:val="22"/>
          <w:szCs w:val="22"/>
        </w:rPr>
        <w:t>; green) appears to be similar for rural and urban counties. We see that healthy rural counties experiencing unhealthy migration experience higher (unhealthier) predicted rates than initial rates. However, unhealthy rural counties experiencing unhealthy migration experience lower (healthier) predicted rates than initial rates. Healthy rural counties experiencing healthy migration have predicted mortality rates that are approximately constant and average (~850 deaths per 100,000 population). Meanwhile, rural counties with initial mortality rate &gt;850 deaths per 100,000 population that experience unhealthy migration have predicted mortality rates that are lower than their initial mortality rates (</w:t>
      </w:r>
      <w:r w:rsidR="003015D7" w:rsidRPr="003015D7">
        <w:rPr>
          <w:rFonts w:ascii="Arial" w:hAnsi="Arial" w:cs="Arial"/>
          <w:sz w:val="22"/>
          <w:szCs w:val="22"/>
        </w:rPr>
        <w:t>i.e.,</w:t>
      </w:r>
      <w:r w:rsidRPr="003015D7">
        <w:rPr>
          <w:rFonts w:ascii="Arial" w:hAnsi="Arial" w:cs="Arial"/>
          <w:sz w:val="22"/>
          <w:szCs w:val="22"/>
        </w:rPr>
        <w:t xml:space="preserve"> unhealthy rural counties become healthier, regardless of the health of migrants).</w:t>
      </w:r>
    </w:p>
    <w:p w14:paraId="742E1795"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lastRenderedPageBreak/>
        <w:t>Pitfalls and Alternatives:</w:t>
      </w:r>
      <w:r w:rsidRPr="003015D7">
        <w:rPr>
          <w:rFonts w:ascii="Arial" w:hAnsi="Arial" w:cs="Arial"/>
          <w:sz w:val="22"/>
          <w:szCs w:val="22"/>
        </w:rPr>
        <w:t xml:space="preserve"> We consider several pitfalls and alternatives. First, because our migration term is essentially a weighted average of the mortality rates of origin counties, the migration term and lagged mortality rates are highly correlated, resulting in multicollinearity. Application of results must consider this shortcoming.</w:t>
      </w:r>
    </w:p>
    <w:p w14:paraId="274B9CD3"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Second, our models do not currently account for spatial autocorrlelation, only temporal autocorrelation and migration. Since there are spatial patterns in both migration and mortality data, it is unlikely that any spatial effects can rightly be completely ignored. Future drafts of Aim 2 will include exploration of spatial autocorrelation.</w:t>
      </w:r>
    </w:p>
    <w:p w14:paraId="1ACC217F" w14:textId="2FF3B2F5"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Third, we selected our outcome of interest, county-level age-adjusted mortality, because it is comparable across years and locations. However, in 2019, the median age of all movers across the US was under 30 years old (“S0701: GEOGRAPHIC MOBILITY BY ... - Census Bureau Table,” n.d.) - therefore, the population that is migrating is unlikely to be the same population that is dying. Subsequently, trends in county-level mortality might be better explained by trends in county-level migration fifty years earlier. That said, county-level measures of mortality are commonly used as a proxy for county overall health. For instance, a 1983 report by the WHO recommending measures in mortality and morbidity to understand the relationship between health and migration (Gushulak and MacPherson 2006), and measures of length of life are allocated 50% weight in the County Health Rankings Model of place-based health outcomes (“Explore Health Rankings | Rankings Data &amp; Documentation,” n.d.). A measure of years of poptential life lost before age 75 (YPLL) captures preventable and premature deaths, making it more relevant to the migrating population than age-adjusted mortality. However, it may be less straightforward to </w:t>
      </w:r>
      <w:r w:rsidR="003015D7" w:rsidRPr="003015D7">
        <w:rPr>
          <w:rFonts w:ascii="Arial" w:hAnsi="Arial" w:cs="Arial"/>
          <w:sz w:val="22"/>
          <w:szCs w:val="22"/>
        </w:rPr>
        <w:t>interpret (</w:t>
      </w:r>
      <w:r w:rsidRPr="003015D7">
        <w:rPr>
          <w:rFonts w:ascii="Arial" w:hAnsi="Arial" w:cs="Arial"/>
          <w:sz w:val="22"/>
          <w:szCs w:val="22"/>
        </w:rPr>
        <w:t xml:space="preserve">Roubal et al. 2021). Therefore, we plan to confirm our preliminary findings using YPLL as well as age-adjusted mortality. </w:t>
      </w:r>
      <w:r w:rsidR="003015D7" w:rsidRPr="003015D7">
        <w:rPr>
          <w:rFonts w:ascii="Arial" w:hAnsi="Arial" w:cs="Arial"/>
          <w:sz w:val="22"/>
          <w:szCs w:val="22"/>
        </w:rPr>
        <w:t>Ideally,</w:t>
      </w:r>
      <w:r w:rsidRPr="003015D7">
        <w:rPr>
          <w:rFonts w:ascii="Arial" w:hAnsi="Arial" w:cs="Arial"/>
          <w:sz w:val="22"/>
          <w:szCs w:val="22"/>
        </w:rPr>
        <w:t xml:space="preserve"> we would use a more precise age-group-specific measure of mortality paired with an age-group-specific measure of migration; however, this would require a migration data source other than the IRS migration flow data which we use here. Additionally, ideally, we would confirm our findings by assessing the health of migrants themselves. This task would require individual longitudinal data. This is not currently within the scope of these aims.</w:t>
      </w:r>
    </w:p>
    <w:p w14:paraId="242DCC9F"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Fourth, we are also interested in a “net migration” term which is essentially the sum of the total number of years between 2011 and 2019 that a county experienced positive net migration minus the total number of years that a county experienced negative net migration such that the maximum of this variable is 8 while the minimum is -8. We could include net migration in our autogressive models as a categorical variable since we believe that the ordinal relationship between each potential net migration value is less meaningful than the value itself.</w:t>
      </w:r>
    </w:p>
    <w:p w14:paraId="0C0FAE2E" w14:textId="11A47741"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One final limitation of IRS data (which we are attempting to leverage as a strength in our analyses) is that households that do not file tax returns cannot be included in migration estimates. Therefore, university students, low-income households, and workers who receive informal wages are systematically missing from IRS migration </w:t>
      </w:r>
      <w:r w:rsidR="003015D7" w:rsidRPr="003015D7">
        <w:rPr>
          <w:rFonts w:ascii="Arial" w:hAnsi="Arial" w:cs="Arial"/>
          <w:sz w:val="22"/>
          <w:szCs w:val="22"/>
        </w:rPr>
        <w:t>estimates (</w:t>
      </w:r>
      <w:proofErr w:type="spellStart"/>
      <w:r w:rsidRPr="003015D7">
        <w:rPr>
          <w:rFonts w:ascii="Arial" w:hAnsi="Arial" w:cs="Arial"/>
          <w:sz w:val="22"/>
          <w:szCs w:val="22"/>
        </w:rPr>
        <w:t>DeWaard</w:t>
      </w:r>
      <w:proofErr w:type="spellEnd"/>
      <w:r w:rsidRPr="003015D7">
        <w:rPr>
          <w:rFonts w:ascii="Arial" w:hAnsi="Arial" w:cs="Arial"/>
          <w:sz w:val="22"/>
          <w:szCs w:val="22"/>
        </w:rPr>
        <w:t xml:space="preserve"> et al. 2022). These individuals may be more likely to be included in ACS and Census estimates (Bureau, n.d.b) (which we use in Aim 3) though no population estimate is perfect. Because IRS county-to-county migration data includes only individuals who file taxes with the US government both before and after they migrate, we assume that individuals represented in the IRS migration flows data are less likely to be pushed to migrate by potentially health-related factors such as violence, famine, and corruption than individuals who migrate but are excluded from the IRS data. Therefore, any differences in changes in health between counties may be the result of self-selection by IRS-represented migrants or health-related selection by nonIRS-represented migrants. Despite these limitations, IRS migration data has been used many times in the past to complete complex and accurate analyses of US migration patterns. For instance, IRS migration flow data has been used to estimate the effects of sea-level rise on geographic distribution of the US </w:t>
      </w:r>
      <w:r w:rsidR="003015D7" w:rsidRPr="003015D7">
        <w:rPr>
          <w:rFonts w:ascii="Arial" w:hAnsi="Arial" w:cs="Arial"/>
          <w:sz w:val="22"/>
          <w:szCs w:val="22"/>
        </w:rPr>
        <w:t>population (</w:t>
      </w:r>
      <w:r w:rsidRPr="003015D7">
        <w:rPr>
          <w:rFonts w:ascii="Arial" w:hAnsi="Arial" w:cs="Arial"/>
          <w:sz w:val="22"/>
          <w:szCs w:val="22"/>
        </w:rPr>
        <w:t xml:space="preserve">Hauer 2017), measure recovery after Hurricanes Katrina and </w:t>
      </w:r>
      <w:r w:rsidR="003015D7" w:rsidRPr="003015D7">
        <w:rPr>
          <w:rFonts w:ascii="Arial" w:hAnsi="Arial" w:cs="Arial"/>
          <w:sz w:val="22"/>
          <w:szCs w:val="22"/>
        </w:rPr>
        <w:t>Rita (</w:t>
      </w:r>
      <w:r w:rsidRPr="003015D7">
        <w:rPr>
          <w:rFonts w:ascii="Arial" w:hAnsi="Arial" w:cs="Arial"/>
          <w:sz w:val="22"/>
          <w:szCs w:val="22"/>
        </w:rPr>
        <w:t xml:space="preserve">Curtis, </w:t>
      </w:r>
      <w:proofErr w:type="spellStart"/>
      <w:r w:rsidRPr="003015D7">
        <w:rPr>
          <w:rFonts w:ascii="Arial" w:hAnsi="Arial" w:cs="Arial"/>
          <w:sz w:val="22"/>
          <w:szCs w:val="22"/>
        </w:rPr>
        <w:t>Fussell</w:t>
      </w:r>
      <w:proofErr w:type="spellEnd"/>
      <w:r w:rsidRPr="003015D7">
        <w:rPr>
          <w:rFonts w:ascii="Arial" w:hAnsi="Arial" w:cs="Arial"/>
          <w:sz w:val="22"/>
          <w:szCs w:val="22"/>
        </w:rPr>
        <w:t xml:space="preserve">, and </w:t>
      </w:r>
      <w:proofErr w:type="spellStart"/>
      <w:r w:rsidRPr="003015D7">
        <w:rPr>
          <w:rFonts w:ascii="Arial" w:hAnsi="Arial" w:cs="Arial"/>
          <w:sz w:val="22"/>
          <w:szCs w:val="22"/>
        </w:rPr>
        <w:t>DeWaard</w:t>
      </w:r>
      <w:proofErr w:type="spellEnd"/>
      <w:r w:rsidRPr="003015D7">
        <w:rPr>
          <w:rFonts w:ascii="Arial" w:hAnsi="Arial" w:cs="Arial"/>
          <w:sz w:val="22"/>
          <w:szCs w:val="22"/>
        </w:rPr>
        <w:t xml:space="preserve"> 2015), and assess the economic impacts of migration resulting from environmental hazards (Shumway, Otterstrom, and Glavac 2014).</w:t>
      </w:r>
    </w:p>
    <w:p w14:paraId="5099D9F3" w14:textId="77777777" w:rsidR="00792322" w:rsidRPr="003015D7" w:rsidRDefault="00000000" w:rsidP="003015D7">
      <w:pPr>
        <w:rPr>
          <w:rFonts w:ascii="Arial" w:hAnsi="Arial" w:cs="Arial"/>
          <w:sz w:val="22"/>
          <w:szCs w:val="22"/>
        </w:rPr>
      </w:pPr>
      <w:r w:rsidRPr="003015D7">
        <w:rPr>
          <w:rFonts w:ascii="Arial" w:hAnsi="Arial" w:cs="Arial"/>
          <w:sz w:val="22"/>
          <w:szCs w:val="22"/>
        </w:rPr>
        <w:pict w14:anchorId="0706F04B">
          <v:rect id="_x0000_i1026" style="width:0;height:1.5pt" o:hralign="center" o:hrstd="t" o:hr="t"/>
        </w:pict>
      </w:r>
    </w:p>
    <w:p w14:paraId="394B24CE" w14:textId="657222BF" w:rsidR="00792322" w:rsidRPr="003015D7" w:rsidRDefault="00000000" w:rsidP="003015D7">
      <w:pPr>
        <w:pStyle w:val="FirstParagraph"/>
        <w:rPr>
          <w:rFonts w:ascii="Arial" w:hAnsi="Arial" w:cs="Arial"/>
          <w:sz w:val="22"/>
          <w:szCs w:val="22"/>
        </w:rPr>
      </w:pPr>
      <w:r w:rsidRPr="003015D7">
        <w:rPr>
          <w:rFonts w:ascii="Arial" w:hAnsi="Arial" w:cs="Arial"/>
          <w:b/>
          <w:bCs/>
          <w:sz w:val="22"/>
          <w:szCs w:val="22"/>
          <w:u w:val="single"/>
        </w:rPr>
        <w:t>Aim 3:</w:t>
      </w:r>
      <w:r w:rsidRPr="003015D7">
        <w:rPr>
          <w:rFonts w:ascii="Arial" w:hAnsi="Arial" w:cs="Arial"/>
          <w:sz w:val="22"/>
          <w:szCs w:val="22"/>
          <w:u w:val="single"/>
        </w:rPr>
        <w:t xml:space="preserve"> Identify counties, time periods, and education groups that experience anomalous county-to-county migration patterns.</w:t>
      </w:r>
      <w:r w:rsidRPr="003015D7">
        <w:rPr>
          <w:rFonts w:ascii="Arial" w:hAnsi="Arial" w:cs="Arial"/>
          <w:sz w:val="22"/>
          <w:szCs w:val="22"/>
        </w:rPr>
        <w:t xml:space="preserve"> </w:t>
      </w:r>
      <w:r w:rsidRPr="003015D7">
        <w:rPr>
          <w:rFonts w:ascii="Arial" w:hAnsi="Arial" w:cs="Arial"/>
          <w:b/>
          <w:bCs/>
          <w:sz w:val="22"/>
          <w:szCs w:val="22"/>
        </w:rPr>
        <w:t>Hypothesis 3A:</w:t>
      </w:r>
      <w:r w:rsidRPr="003015D7">
        <w:rPr>
          <w:rFonts w:ascii="Arial" w:hAnsi="Arial" w:cs="Arial"/>
          <w:sz w:val="22"/>
          <w:szCs w:val="22"/>
        </w:rPr>
        <w:t xml:space="preserve"> The highest rank components of our tensor of population mobility (</w:t>
      </w:r>
      <w:r w:rsidR="008145C3" w:rsidRPr="003015D7">
        <w:rPr>
          <w:rFonts w:ascii="Arial" w:hAnsi="Arial" w:cs="Arial"/>
          <w:sz w:val="22"/>
          <w:szCs w:val="22"/>
        </w:rPr>
        <w:t>i.e.,</w:t>
      </w:r>
      <w:r w:rsidRPr="003015D7">
        <w:rPr>
          <w:rFonts w:ascii="Arial" w:hAnsi="Arial" w:cs="Arial"/>
          <w:sz w:val="22"/>
          <w:szCs w:val="22"/>
        </w:rPr>
        <w:t xml:space="preserve"> components that are not part of the core migration system) will be among migrants with less than high school education. </w:t>
      </w:r>
      <w:r w:rsidRPr="003015D7">
        <w:rPr>
          <w:rFonts w:ascii="Arial" w:hAnsi="Arial" w:cs="Arial"/>
          <w:b/>
          <w:bCs/>
          <w:sz w:val="22"/>
          <w:szCs w:val="22"/>
        </w:rPr>
        <w:t>Hypothesis 3B:</w:t>
      </w:r>
      <w:r w:rsidRPr="003015D7">
        <w:rPr>
          <w:rFonts w:ascii="Arial" w:hAnsi="Arial" w:cs="Arial"/>
          <w:sz w:val="22"/>
          <w:szCs w:val="22"/>
        </w:rPr>
        <w:t xml:space="preserve"> The average health of counties not in the core migration system is significantly different from the average health of counties in the core migration system. (Data manipulation and analysis for </w:t>
      </w:r>
      <w:r w:rsidRPr="003015D7">
        <w:rPr>
          <w:rFonts w:ascii="Arial" w:hAnsi="Arial" w:cs="Arial"/>
          <w:sz w:val="22"/>
          <w:szCs w:val="22"/>
        </w:rPr>
        <w:lastRenderedPageBreak/>
        <w:t>this aim has not yet been started. We plan to preregister our study plan with OSF before we begin our analyses.)</w:t>
      </w:r>
    </w:p>
    <w:p w14:paraId="12CFD166" w14:textId="5B179262"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Data:</w:t>
      </w:r>
      <w:r w:rsidRPr="003015D7">
        <w:rPr>
          <w:rFonts w:ascii="Arial" w:hAnsi="Arial" w:cs="Arial"/>
          <w:sz w:val="22"/>
          <w:szCs w:val="22"/>
        </w:rPr>
        <w:t xml:space="preserve"> We will use county-level five-year estimates of migration data available publicly through the American Community Survey (ACS) to construct our tensor. ACS five-year estimates are released annually and represent 60 months of data collection from January 1 of the first year to December 31 of the fifth year. We will use five-year ACS estimates since single-year estimates of migration do not include sociodemographic characteristics and since </w:t>
      </w:r>
      <w:r w:rsidR="008145C3" w:rsidRPr="003015D7">
        <w:rPr>
          <w:rFonts w:ascii="Arial" w:hAnsi="Arial" w:cs="Arial"/>
          <w:sz w:val="22"/>
          <w:szCs w:val="22"/>
        </w:rPr>
        <w:t>five-year</w:t>
      </w:r>
      <w:r w:rsidRPr="003015D7">
        <w:rPr>
          <w:rFonts w:ascii="Arial" w:hAnsi="Arial" w:cs="Arial"/>
          <w:sz w:val="22"/>
          <w:szCs w:val="22"/>
        </w:rPr>
        <w:t xml:space="preserve"> estimates are considered the most reliable for all counties (Bureau, n.d.c). Due to concerns about nonresponse bias during the COVID-19 pandemic (Bureau, n.d.a), we will exclude ACS estimates which include data after 2019. Therefore, we will use ACS 5-year estimates for 2008-2012 through 2015-2019, for a total of eight periods of migration. This is consistent with the years of data we use in Aim 2. Though the ACS 5-year geographic mobility estimates do not include origin-destination pairs, ACS does publish information on the origin of migration and whether individuals moved within the same county, moved within the same state, moved across states, or moved from abroad. We refer to this as “migration type”. To assess the sociodemographic aspects of population mobility, we focus on educational attainment. The ACS 5-year datatables include estimates of population mobility for five educational attainment subgroups of the 25 years and older population. These five subgroups include: less than high school graduate, high school graduate (including equivalency), some college or </w:t>
      </w:r>
      <w:r w:rsidR="008145C3" w:rsidRPr="003015D7">
        <w:rPr>
          <w:rFonts w:ascii="Arial" w:hAnsi="Arial" w:cs="Arial"/>
          <w:sz w:val="22"/>
          <w:szCs w:val="22"/>
        </w:rPr>
        <w:t>associate</w:t>
      </w:r>
      <w:r w:rsidRPr="003015D7">
        <w:rPr>
          <w:rFonts w:ascii="Arial" w:hAnsi="Arial" w:cs="Arial"/>
          <w:sz w:val="22"/>
          <w:szCs w:val="22"/>
        </w:rPr>
        <w:t xml:space="preserve"> degree, bachelor’s degree, and graduate or professional degree. Since educational attainment subgroup data represents only the 25 years and older population, we will include only the 25 years and older population for all dimensions of population mobility included in our model (origin, </w:t>
      </w:r>
      <w:proofErr w:type="gramStart"/>
      <w:r w:rsidRPr="003015D7">
        <w:rPr>
          <w:rFonts w:ascii="Arial" w:hAnsi="Arial" w:cs="Arial"/>
          <w:sz w:val="22"/>
          <w:szCs w:val="22"/>
        </w:rPr>
        <w:t>time period</w:t>
      </w:r>
      <w:proofErr w:type="gramEnd"/>
      <w:r w:rsidRPr="003015D7">
        <w:rPr>
          <w:rFonts w:ascii="Arial" w:hAnsi="Arial" w:cs="Arial"/>
          <w:sz w:val="22"/>
          <w:szCs w:val="22"/>
        </w:rPr>
        <w:t>, migration type, and educational attainment).</w:t>
      </w:r>
    </w:p>
    <w:p w14:paraId="49A0F25F" w14:textId="3FDFB546"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Approach:</w:t>
      </w:r>
      <w:r w:rsidRPr="003015D7">
        <w:rPr>
          <w:rFonts w:ascii="Arial" w:hAnsi="Arial" w:cs="Arial"/>
          <w:sz w:val="22"/>
          <w:szCs w:val="22"/>
        </w:rPr>
        <w:t xml:space="preserve"> We will model county-level migration patterns using an extension of the novel method, </w:t>
      </w:r>
      <w:proofErr w:type="spellStart"/>
      <w:r w:rsidRPr="003015D7">
        <w:rPr>
          <w:rFonts w:ascii="Arial" w:hAnsi="Arial" w:cs="Arial"/>
          <w:sz w:val="22"/>
          <w:szCs w:val="22"/>
        </w:rPr>
        <w:t>spatio</w:t>
      </w:r>
      <w:proofErr w:type="spellEnd"/>
      <w:r w:rsidRPr="003015D7">
        <w:rPr>
          <w:rFonts w:ascii="Arial" w:hAnsi="Arial" w:cs="Arial"/>
          <w:sz w:val="22"/>
          <w:szCs w:val="22"/>
        </w:rPr>
        <w:t>-temporal tensor co-</w:t>
      </w:r>
      <w:r w:rsidR="008145C3" w:rsidRPr="003015D7">
        <w:rPr>
          <w:rFonts w:ascii="Arial" w:hAnsi="Arial" w:cs="Arial"/>
          <w:sz w:val="22"/>
          <w:szCs w:val="22"/>
        </w:rPr>
        <w:t>clustering (</w:t>
      </w:r>
      <w:proofErr w:type="spellStart"/>
      <w:r w:rsidRPr="003015D7">
        <w:rPr>
          <w:rFonts w:ascii="Arial" w:hAnsi="Arial" w:cs="Arial"/>
          <w:sz w:val="22"/>
          <w:szCs w:val="22"/>
        </w:rPr>
        <w:t>Almquist</w:t>
      </w:r>
      <w:proofErr w:type="spellEnd"/>
      <w:r w:rsidRPr="003015D7">
        <w:rPr>
          <w:rFonts w:ascii="Arial" w:hAnsi="Arial" w:cs="Arial"/>
          <w:sz w:val="22"/>
          <w:szCs w:val="22"/>
        </w:rPr>
        <w:t xml:space="preserve"> et al. 2021). A tensor can be thought of as an extension of a matrix, where a one-way tensor is a vector, a two-way tensor is a matrix, a three-way tensor is a cube, and a 4-way tensor is a hyper-</w:t>
      </w:r>
      <w:r w:rsidR="008145C3" w:rsidRPr="003015D7">
        <w:rPr>
          <w:rFonts w:ascii="Arial" w:hAnsi="Arial" w:cs="Arial"/>
          <w:sz w:val="22"/>
          <w:szCs w:val="22"/>
        </w:rPr>
        <w:t>rectangle (</w:t>
      </w:r>
      <w:r w:rsidRPr="003015D7">
        <w:rPr>
          <w:rFonts w:ascii="Arial" w:hAnsi="Arial" w:cs="Arial"/>
          <w:sz w:val="22"/>
          <w:szCs w:val="22"/>
        </w:rPr>
        <w:t xml:space="preserve">Blog, n.d.). Our tensor will have the following dimensions: origin county, </w:t>
      </w:r>
      <w:proofErr w:type="gramStart"/>
      <w:r w:rsidRPr="003015D7">
        <w:rPr>
          <w:rFonts w:ascii="Arial" w:hAnsi="Arial" w:cs="Arial"/>
          <w:sz w:val="22"/>
          <w:szCs w:val="22"/>
        </w:rPr>
        <w:t>time period</w:t>
      </w:r>
      <w:proofErr w:type="gramEnd"/>
      <w:r w:rsidRPr="003015D7">
        <w:rPr>
          <w:rFonts w:ascii="Arial" w:hAnsi="Arial" w:cs="Arial"/>
          <w:sz w:val="22"/>
          <w:szCs w:val="22"/>
        </w:rPr>
        <w:t xml:space="preserve">, type of migration, and educational attainment group. For example, a single entry of our four-way tensor </w:t>
      </w:r>
      <m:oMath>
        <m:r>
          <w:rPr>
            <w:rFonts w:ascii="Cambria Math" w:hAnsi="Cambria Math" w:cs="Arial"/>
            <w:sz w:val="22"/>
            <w:szCs w:val="22"/>
          </w:rPr>
          <m:t>X</m:t>
        </m:r>
      </m:oMath>
      <w:r w:rsidRPr="003015D7">
        <w:rPr>
          <w:rFonts w:ascii="Arial" w:hAnsi="Arial" w:cs="Arial"/>
          <w:sz w:val="22"/>
          <w:szCs w:val="22"/>
        </w:rPr>
        <w:t xml:space="preserve"> can be represented as </w:t>
      </w:r>
      <m:oMath>
        <m:r>
          <w:rPr>
            <w:rFonts w:ascii="Cambria Math" w:hAnsi="Cambria Math" w:cs="Arial"/>
            <w:sz w:val="22"/>
            <w:szCs w:val="22"/>
          </w:rPr>
          <m:t>X</m:t>
        </m:r>
        <m:d>
          <m:dPr>
            <m:ctrlPr>
              <w:rPr>
                <w:rFonts w:ascii="Cambria Math" w:hAnsi="Cambria Math" w:cs="Arial"/>
                <w:sz w:val="22"/>
                <w:szCs w:val="22"/>
              </w:rPr>
            </m:ctrlPr>
          </m:dPr>
          <m:e>
            <m:sSub>
              <m:sSubPr>
                <m:ctrlPr>
                  <w:rPr>
                    <w:rFonts w:ascii="Cambria Math" w:hAnsi="Cambria Math" w:cs="Arial"/>
                    <w:sz w:val="22"/>
                    <w:szCs w:val="22"/>
                  </w:rPr>
                </m:ctrlPr>
              </m:sSubPr>
              <m:e>
                <m:r>
                  <w:rPr>
                    <w:rFonts w:ascii="Cambria Math" w:hAnsi="Cambria Math" w:cs="Arial"/>
                    <w:sz w:val="22"/>
                    <w:szCs w:val="22"/>
                  </w:rPr>
                  <m:t>a</m:t>
                </m:r>
              </m:e>
              <m:sub>
                <m:r>
                  <w:rPr>
                    <w:rFonts w:ascii="Cambria Math" w:hAnsi="Cambria Math" w:cs="Arial"/>
                    <w:sz w:val="22"/>
                    <w:szCs w:val="22"/>
                  </w:rPr>
                  <m:t>i</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b</m:t>
                </m:r>
              </m:e>
              <m:sub>
                <m:r>
                  <w:rPr>
                    <w:rFonts w:ascii="Cambria Math" w:hAnsi="Cambria Math" w:cs="Arial"/>
                    <w:sz w:val="22"/>
                    <w:szCs w:val="22"/>
                  </w:rPr>
                  <m:t>j</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k</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n</m:t>
                </m:r>
              </m:sub>
            </m:sSub>
          </m:e>
        </m:d>
      </m:oMath>
      <w:r w:rsidRPr="003015D7">
        <w:rPr>
          <w:rFonts w:ascii="Arial" w:hAnsi="Arial" w:cs="Arial"/>
          <w:sz w:val="22"/>
          <w:szCs w:val="22"/>
        </w:rPr>
        <w:t xml:space="preserve">: the number of migrants from origin </w:t>
      </w:r>
      <m:oMath>
        <m:r>
          <w:rPr>
            <w:rFonts w:ascii="Cambria Math" w:hAnsi="Cambria Math" w:cs="Arial"/>
            <w:sz w:val="22"/>
            <w:szCs w:val="22"/>
          </w:rPr>
          <m:t>i</m:t>
        </m:r>
      </m:oMath>
      <w:r w:rsidRPr="003015D7">
        <w:rPr>
          <w:rFonts w:ascii="Arial" w:hAnsi="Arial" w:cs="Arial"/>
          <w:sz w:val="22"/>
          <w:szCs w:val="22"/>
        </w:rPr>
        <w:t xml:space="preserve"> in period </w:t>
      </w:r>
      <m:oMath>
        <m:r>
          <w:rPr>
            <w:rFonts w:ascii="Cambria Math" w:hAnsi="Cambria Math" w:cs="Arial"/>
            <w:sz w:val="22"/>
            <w:szCs w:val="22"/>
          </w:rPr>
          <m:t>j</m:t>
        </m:r>
      </m:oMath>
      <w:r w:rsidRPr="003015D7">
        <w:rPr>
          <w:rFonts w:ascii="Arial" w:hAnsi="Arial" w:cs="Arial"/>
          <w:sz w:val="22"/>
          <w:szCs w:val="22"/>
        </w:rPr>
        <w:t xml:space="preserve"> doing migration type </w:t>
      </w:r>
      <m:oMath>
        <m:r>
          <w:rPr>
            <w:rFonts w:ascii="Cambria Math" w:hAnsi="Cambria Math" w:cs="Arial"/>
            <w:sz w:val="22"/>
            <w:szCs w:val="22"/>
          </w:rPr>
          <m:t>k</m:t>
        </m:r>
      </m:oMath>
      <w:r w:rsidRPr="003015D7">
        <w:rPr>
          <w:rFonts w:ascii="Arial" w:hAnsi="Arial" w:cs="Arial"/>
          <w:sz w:val="22"/>
          <w:szCs w:val="22"/>
        </w:rPr>
        <w:t xml:space="preserve"> belonging to educational attainment group </w:t>
      </w:r>
      <m:oMath>
        <m:r>
          <w:rPr>
            <w:rFonts w:ascii="Cambria Math" w:hAnsi="Cambria Math" w:cs="Arial"/>
            <w:sz w:val="22"/>
            <w:szCs w:val="22"/>
          </w:rPr>
          <m:t>n</m:t>
        </m:r>
      </m:oMath>
      <w:r w:rsidRPr="003015D7">
        <w:rPr>
          <w:rFonts w:ascii="Arial" w:hAnsi="Arial" w:cs="Arial"/>
          <w:sz w:val="22"/>
          <w:szCs w:val="22"/>
        </w:rPr>
        <w:t xml:space="preserve">. Our four-way tensor </w:t>
      </w:r>
      <m:oMath>
        <m:r>
          <w:rPr>
            <w:rFonts w:ascii="Cambria Math" w:hAnsi="Cambria Math" w:cs="Arial"/>
            <w:sz w:val="22"/>
            <w:szCs w:val="22"/>
          </w:rPr>
          <m:t>X</m:t>
        </m:r>
      </m:oMath>
      <w:r w:rsidRPr="003015D7">
        <w:rPr>
          <w:rFonts w:ascii="Arial" w:hAnsi="Arial" w:cs="Arial"/>
          <w:sz w:val="22"/>
          <w:szCs w:val="22"/>
        </w:rPr>
        <w:t xml:space="preserve"> can be further described as:</w:t>
      </w:r>
    </w:p>
    <w:p w14:paraId="3E7F08D1" w14:textId="77777777" w:rsidR="00792322" w:rsidRPr="003015D7" w:rsidRDefault="00000000" w:rsidP="003015D7">
      <w:pPr>
        <w:pStyle w:val="BodyText"/>
        <w:rPr>
          <w:rFonts w:ascii="Arial" w:hAnsi="Arial" w:cs="Arial"/>
          <w:sz w:val="22"/>
          <w:szCs w:val="22"/>
        </w:rPr>
      </w:pPr>
      <m:oMathPara>
        <m:oMathParaPr>
          <m:jc m:val="center"/>
        </m:oMathParaPr>
        <m:oMath>
          <m:r>
            <w:rPr>
              <w:rFonts w:ascii="Cambria Math" w:hAnsi="Cambria Math" w:cs="Arial"/>
              <w:sz w:val="22"/>
              <w:szCs w:val="22"/>
            </w:rPr>
            <m:t>X</m:t>
          </m:r>
          <m:r>
            <m:rPr>
              <m:sty m:val="p"/>
            </m:rPr>
            <w:rPr>
              <w:rFonts w:ascii="Cambria Math" w:hAnsi="Cambria Math" w:cs="Arial"/>
              <w:sz w:val="22"/>
              <w:szCs w:val="22"/>
            </w:rPr>
            <m:t>≈</m:t>
          </m:r>
          <m:nary>
            <m:naryPr>
              <m:chr m:val="∑"/>
              <m:limLoc m:val="undOvr"/>
              <m:ctrlPr>
                <w:rPr>
                  <w:rFonts w:ascii="Cambria Math" w:hAnsi="Cambria Math" w:cs="Arial"/>
                  <w:sz w:val="22"/>
                  <w:szCs w:val="22"/>
                </w:rPr>
              </m:ctrlPr>
            </m:naryPr>
            <m:sub>
              <m:r>
                <w:rPr>
                  <w:rFonts w:ascii="Cambria Math" w:hAnsi="Cambria Math" w:cs="Arial"/>
                  <w:sz w:val="22"/>
                  <w:szCs w:val="22"/>
                </w:rPr>
                <m:t>f</m:t>
              </m:r>
              <m:r>
                <m:rPr>
                  <m:sty m:val="p"/>
                </m:rPr>
                <w:rPr>
                  <w:rFonts w:ascii="Cambria Math" w:hAnsi="Cambria Math" w:cs="Arial"/>
                  <w:sz w:val="22"/>
                  <w:szCs w:val="22"/>
                </w:rPr>
                <m:t>=</m:t>
              </m:r>
              <m:r>
                <w:rPr>
                  <w:rFonts w:ascii="Cambria Math" w:hAnsi="Cambria Math" w:cs="Arial"/>
                  <w:sz w:val="22"/>
                  <w:szCs w:val="22"/>
                </w:rPr>
                <m:t>1</m:t>
              </m:r>
            </m:sub>
            <m:sup>
              <m:r>
                <w:rPr>
                  <w:rFonts w:ascii="Cambria Math" w:hAnsi="Cambria Math" w:cs="Arial"/>
                  <w:sz w:val="22"/>
                  <w:szCs w:val="22"/>
                </w:rPr>
                <m:t>F</m:t>
              </m:r>
            </m:sup>
            <m:e>
              <m:sSub>
                <m:sSubPr>
                  <m:ctrlPr>
                    <w:rPr>
                      <w:rFonts w:ascii="Cambria Math" w:hAnsi="Cambria Math" w:cs="Arial"/>
                      <w:sz w:val="22"/>
                      <w:szCs w:val="22"/>
                    </w:rPr>
                  </m:ctrlPr>
                </m:sSubPr>
                <m:e>
                  <m:r>
                    <w:rPr>
                      <w:rFonts w:ascii="Cambria Math" w:hAnsi="Cambria Math" w:cs="Arial"/>
                      <w:sz w:val="22"/>
                      <w:szCs w:val="22"/>
                    </w:rPr>
                    <m:t>a</m:t>
                  </m:r>
                </m:e>
                <m:sub>
                  <m:r>
                    <w:rPr>
                      <w:rFonts w:ascii="Cambria Math" w:hAnsi="Cambria Math" w:cs="Arial"/>
                      <w:sz w:val="22"/>
                      <w:szCs w:val="22"/>
                    </w:rPr>
                    <m:t>f</m:t>
                  </m:r>
                </m:sub>
              </m:sSub>
            </m:e>
          </m:nary>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b</m:t>
              </m:r>
            </m:e>
            <m:sub>
              <m:r>
                <w:rPr>
                  <w:rFonts w:ascii="Cambria Math" w:hAnsi="Cambria Math" w:cs="Arial"/>
                  <w:sz w:val="22"/>
                  <w:szCs w:val="22"/>
                </w:rPr>
                <m:t>f</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f</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f</m:t>
              </m:r>
            </m:sub>
          </m:sSub>
        </m:oMath>
      </m:oMathPara>
    </w:p>
    <w:p w14:paraId="2A821FC1" w14:textId="2035C1B3" w:rsidR="00792322" w:rsidRPr="003015D7" w:rsidRDefault="00000000" w:rsidP="003015D7">
      <w:pPr>
        <w:pStyle w:val="FirstParagraph"/>
        <w:rPr>
          <w:rFonts w:ascii="Arial" w:hAnsi="Arial" w:cs="Arial"/>
          <w:sz w:val="22"/>
          <w:szCs w:val="22"/>
        </w:rPr>
      </w:pPr>
      <w:r w:rsidRPr="003015D7">
        <w:rPr>
          <w:rFonts w:ascii="Arial" w:hAnsi="Arial" w:cs="Arial"/>
          <w:sz w:val="22"/>
          <w:szCs w:val="22"/>
        </w:rPr>
        <w:t xml:space="preserve">where </w:t>
      </w:r>
      <m:oMath>
        <m:sSub>
          <m:sSubPr>
            <m:ctrlPr>
              <w:rPr>
                <w:rFonts w:ascii="Cambria Math" w:hAnsi="Cambria Math" w:cs="Arial"/>
                <w:sz w:val="22"/>
                <w:szCs w:val="22"/>
              </w:rPr>
            </m:ctrlPr>
          </m:sSubPr>
          <m:e>
            <m:r>
              <w:rPr>
                <w:rFonts w:ascii="Cambria Math" w:hAnsi="Cambria Math" w:cs="Arial"/>
                <w:sz w:val="22"/>
                <w:szCs w:val="22"/>
              </w:rPr>
              <m:t>a</m:t>
            </m:r>
          </m:e>
          <m:sub>
            <m:r>
              <w:rPr>
                <w:rFonts w:ascii="Cambria Math" w:hAnsi="Cambria Math" w:cs="Arial"/>
                <w:sz w:val="22"/>
                <w:szCs w:val="22"/>
              </w:rPr>
              <m:t>f</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b</m:t>
            </m:r>
          </m:e>
          <m:sub>
            <m:r>
              <w:rPr>
                <w:rFonts w:ascii="Cambria Math" w:hAnsi="Cambria Math" w:cs="Arial"/>
                <w:sz w:val="22"/>
                <w:szCs w:val="22"/>
              </w:rPr>
              <m:t>f</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f</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f</m:t>
            </m:r>
          </m:sub>
        </m:sSub>
      </m:oMath>
      <w:r w:rsidRPr="003015D7">
        <w:rPr>
          <w:rFonts w:ascii="Arial" w:hAnsi="Arial" w:cs="Arial"/>
          <w:sz w:val="22"/>
          <w:szCs w:val="22"/>
        </w:rPr>
        <w:t xml:space="preserve"> represents the </w:t>
      </w:r>
      <m:oMath>
        <m:r>
          <w:rPr>
            <w:rFonts w:ascii="Cambria Math" w:hAnsi="Cambria Math" w:cs="Arial"/>
            <w:sz w:val="22"/>
            <w:szCs w:val="22"/>
          </w:rPr>
          <m:t>fth</m:t>
        </m:r>
      </m:oMath>
      <w:r w:rsidRPr="003015D7">
        <w:rPr>
          <w:rFonts w:ascii="Arial" w:hAnsi="Arial" w:cs="Arial"/>
          <w:sz w:val="22"/>
          <w:szCs w:val="22"/>
        </w:rPr>
        <w:t xml:space="preserve"> co-cluster migration system such that </w:t>
      </w:r>
      <m:oMath>
        <m:sSub>
          <m:sSubPr>
            <m:ctrlPr>
              <w:rPr>
                <w:rFonts w:ascii="Cambria Math" w:hAnsi="Cambria Math" w:cs="Arial"/>
                <w:sz w:val="22"/>
                <w:szCs w:val="22"/>
              </w:rPr>
            </m:ctrlPr>
          </m:sSubPr>
          <m:e>
            <m:r>
              <w:rPr>
                <w:rFonts w:ascii="Cambria Math" w:hAnsi="Cambria Math" w:cs="Arial"/>
                <w:sz w:val="22"/>
                <w:szCs w:val="22"/>
              </w:rPr>
              <m:t>a</m:t>
            </m:r>
          </m:e>
          <m:sub>
            <m:r>
              <w:rPr>
                <w:rFonts w:ascii="Cambria Math" w:hAnsi="Cambria Math" w:cs="Arial"/>
                <w:sz w:val="22"/>
                <w:szCs w:val="22"/>
              </w:rPr>
              <m:t>f</m:t>
            </m:r>
          </m:sub>
        </m:sSub>
      </m:oMath>
      <w:r w:rsidRPr="003015D7">
        <w:rPr>
          <w:rFonts w:ascii="Arial" w:hAnsi="Arial" w:cs="Arial"/>
          <w:sz w:val="22"/>
          <w:szCs w:val="22"/>
        </w:rPr>
        <w:t xml:space="preserve"> is the degree of association of the </w:t>
      </w:r>
      <w:proofErr w:type="spellStart"/>
      <w:proofErr w:type="gramStart"/>
      <w:r w:rsidR="008145C3" w:rsidRPr="003015D7">
        <w:rPr>
          <w:rFonts w:ascii="Arial" w:hAnsi="Arial" w:cs="Arial"/>
          <w:sz w:val="22"/>
          <w:szCs w:val="22"/>
        </w:rPr>
        <w:t>all</w:t>
      </w:r>
      <w:r w:rsidR="008145C3">
        <w:rPr>
          <w:rFonts w:ascii="Arial" w:hAnsi="Arial" w:cs="Arial"/>
          <w:sz w:val="22"/>
          <w:szCs w:val="22"/>
        </w:rPr>
        <w:t xml:space="preserve"> </w:t>
      </w:r>
      <w:r w:rsidR="008145C3" w:rsidRPr="003015D7">
        <w:rPr>
          <w:rFonts w:ascii="Arial" w:hAnsi="Arial" w:cs="Arial"/>
          <w:sz w:val="22"/>
          <w:szCs w:val="22"/>
        </w:rPr>
        <w:t>county</w:t>
      </w:r>
      <w:proofErr w:type="spellEnd"/>
      <w:proofErr w:type="gramEnd"/>
      <w:r w:rsidRPr="003015D7">
        <w:rPr>
          <w:rFonts w:ascii="Arial" w:hAnsi="Arial" w:cs="Arial"/>
          <w:sz w:val="22"/>
          <w:szCs w:val="22"/>
        </w:rPr>
        <w:t xml:space="preserve"> origins with co-cluster </w:t>
      </w:r>
      <m:oMath>
        <m:r>
          <w:rPr>
            <w:rFonts w:ascii="Cambria Math" w:hAnsi="Cambria Math" w:cs="Arial"/>
            <w:sz w:val="22"/>
            <w:szCs w:val="22"/>
          </w:rPr>
          <m:t>f</m:t>
        </m:r>
      </m:oMath>
      <w:r w:rsidRPr="003015D7">
        <w:rPr>
          <w:rFonts w:ascii="Arial" w:hAnsi="Arial" w:cs="Arial"/>
          <w:sz w:val="22"/>
          <w:szCs w:val="22"/>
        </w:rPr>
        <w:t xml:space="preserve">. Therefore, it follows that if </w:t>
      </w:r>
      <m:oMath>
        <m:sSub>
          <m:sSubPr>
            <m:ctrlPr>
              <w:rPr>
                <w:rFonts w:ascii="Cambria Math" w:hAnsi="Cambria Math" w:cs="Arial"/>
                <w:sz w:val="22"/>
                <w:szCs w:val="22"/>
              </w:rPr>
            </m:ctrlPr>
          </m:sSubPr>
          <m:e>
            <m:r>
              <w:rPr>
                <w:rFonts w:ascii="Cambria Math" w:hAnsi="Cambria Math" w:cs="Arial"/>
                <w:sz w:val="22"/>
                <w:szCs w:val="22"/>
              </w:rPr>
              <m:t>a</m:t>
            </m:r>
          </m:e>
          <m:sub>
            <m:r>
              <w:rPr>
                <w:rFonts w:ascii="Cambria Math" w:hAnsi="Cambria Math" w:cs="Arial"/>
                <w:sz w:val="22"/>
                <w:szCs w:val="22"/>
              </w:rPr>
              <m:t>i</m:t>
            </m:r>
          </m:sub>
        </m:sSub>
        <m:d>
          <m:dPr>
            <m:ctrlPr>
              <w:rPr>
                <w:rFonts w:ascii="Cambria Math" w:hAnsi="Cambria Math" w:cs="Arial"/>
                <w:sz w:val="22"/>
                <w:szCs w:val="22"/>
              </w:rPr>
            </m:ctrlPr>
          </m:dPr>
          <m:e>
            <m:r>
              <w:rPr>
                <w:rFonts w:ascii="Cambria Math" w:hAnsi="Cambria Math" w:cs="Arial"/>
                <w:sz w:val="22"/>
                <w:szCs w:val="22"/>
              </w:rPr>
              <m:t>f</m:t>
            </m:r>
          </m:e>
        </m:d>
        <m:r>
          <m:rPr>
            <m:sty m:val="p"/>
          </m:rPr>
          <w:rPr>
            <w:rFonts w:ascii="Cambria Math" w:hAnsi="Cambria Math" w:cs="Arial"/>
            <w:sz w:val="22"/>
            <w:szCs w:val="22"/>
          </w:rPr>
          <m:t>=</m:t>
        </m:r>
        <m:r>
          <w:rPr>
            <w:rFonts w:ascii="Cambria Math" w:hAnsi="Cambria Math" w:cs="Arial"/>
            <w:sz w:val="22"/>
            <w:szCs w:val="22"/>
          </w:rPr>
          <m:t>0</m:t>
        </m:r>
      </m:oMath>
      <w:r w:rsidRPr="003015D7">
        <w:rPr>
          <w:rFonts w:ascii="Arial" w:hAnsi="Arial" w:cs="Arial"/>
          <w:sz w:val="22"/>
          <w:szCs w:val="22"/>
        </w:rPr>
        <w:t xml:space="preserve"> we know that origin </w:t>
      </w:r>
      <m:oMath>
        <m:r>
          <w:rPr>
            <w:rFonts w:ascii="Cambria Math" w:hAnsi="Cambria Math" w:cs="Arial"/>
            <w:sz w:val="22"/>
            <w:szCs w:val="22"/>
          </w:rPr>
          <m:t>i</m:t>
        </m:r>
      </m:oMath>
      <w:r w:rsidRPr="003015D7">
        <w:rPr>
          <w:rFonts w:ascii="Arial" w:hAnsi="Arial" w:cs="Arial"/>
          <w:sz w:val="22"/>
          <w:szCs w:val="22"/>
        </w:rPr>
        <w:t xml:space="preserve"> is not in the </w:t>
      </w:r>
      <m:oMath>
        <m:r>
          <w:rPr>
            <w:rFonts w:ascii="Cambria Math" w:hAnsi="Cambria Math" w:cs="Arial"/>
            <w:sz w:val="22"/>
            <w:szCs w:val="22"/>
          </w:rPr>
          <m:t>fth</m:t>
        </m:r>
      </m:oMath>
      <w:r w:rsidRPr="003015D7">
        <w:rPr>
          <w:rFonts w:ascii="Arial" w:hAnsi="Arial" w:cs="Arial"/>
          <w:sz w:val="22"/>
          <w:szCs w:val="22"/>
        </w:rPr>
        <w:t xml:space="preserve"> migration system. On the other hand, if </w:t>
      </w:r>
      <m:oMath>
        <m:sSub>
          <m:sSubPr>
            <m:ctrlPr>
              <w:rPr>
                <w:rFonts w:ascii="Cambria Math" w:hAnsi="Cambria Math" w:cs="Arial"/>
                <w:sz w:val="22"/>
                <w:szCs w:val="22"/>
              </w:rPr>
            </m:ctrlPr>
          </m:sSubPr>
          <m:e>
            <m:r>
              <w:rPr>
                <w:rFonts w:ascii="Cambria Math" w:hAnsi="Cambria Math" w:cs="Arial"/>
                <w:sz w:val="22"/>
                <w:szCs w:val="22"/>
              </w:rPr>
              <m:t>a</m:t>
            </m:r>
          </m:e>
          <m:sub>
            <m:r>
              <w:rPr>
                <w:rFonts w:ascii="Cambria Math" w:hAnsi="Cambria Math" w:cs="Arial"/>
                <w:sz w:val="22"/>
                <w:szCs w:val="22"/>
              </w:rPr>
              <m:t>i</m:t>
            </m:r>
          </m:sub>
        </m:sSub>
        <m:d>
          <m:dPr>
            <m:ctrlPr>
              <w:rPr>
                <w:rFonts w:ascii="Cambria Math" w:hAnsi="Cambria Math" w:cs="Arial"/>
                <w:sz w:val="22"/>
                <w:szCs w:val="22"/>
              </w:rPr>
            </m:ctrlPr>
          </m:dPr>
          <m:e>
            <m:r>
              <w:rPr>
                <w:rFonts w:ascii="Cambria Math" w:hAnsi="Cambria Math" w:cs="Arial"/>
                <w:sz w:val="22"/>
                <w:szCs w:val="22"/>
              </w:rPr>
              <m:t>f</m:t>
            </m:r>
          </m:e>
        </m:d>
      </m:oMath>
      <w:r w:rsidRPr="003015D7">
        <w:rPr>
          <w:rFonts w:ascii="Arial" w:hAnsi="Arial" w:cs="Arial"/>
          <w:sz w:val="22"/>
          <w:szCs w:val="22"/>
        </w:rPr>
        <w:t xml:space="preserve"> is large, we can infer that the </w:t>
      </w:r>
      <m:oMath>
        <m:r>
          <w:rPr>
            <w:rFonts w:ascii="Cambria Math" w:hAnsi="Cambria Math" w:cs="Arial"/>
            <w:sz w:val="22"/>
            <w:szCs w:val="22"/>
          </w:rPr>
          <m:t>fth</m:t>
        </m:r>
      </m:oMath>
      <w:r w:rsidRPr="003015D7">
        <w:rPr>
          <w:rFonts w:ascii="Arial" w:hAnsi="Arial" w:cs="Arial"/>
          <w:sz w:val="22"/>
          <w:szCs w:val="22"/>
        </w:rPr>
        <w:t xml:space="preserve"> migration system has lots of migration activity from origin </w:t>
      </w:r>
      <m:oMath>
        <m:r>
          <w:rPr>
            <w:rFonts w:ascii="Cambria Math" w:hAnsi="Cambria Math" w:cs="Arial"/>
            <w:sz w:val="22"/>
            <w:szCs w:val="22"/>
          </w:rPr>
          <m:t>i</m:t>
        </m:r>
      </m:oMath>
      <w:r w:rsidRPr="003015D7">
        <w:rPr>
          <w:rFonts w:ascii="Arial" w:hAnsi="Arial" w:cs="Arial"/>
          <w:sz w:val="22"/>
          <w:szCs w:val="22"/>
        </w:rPr>
        <w:t>. This is a direct extension of the decomposition of a three-way tensor described in Almquist et al, 2021(Almquist et al. 2021).</w:t>
      </w:r>
    </w:p>
    <w:p w14:paraId="5D09032E" w14:textId="3FDFD5B8"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There are many different tensor decomposition methods. Two of the most common decomposition methods are Canonical Polyadic (CP) decomposition and Tucker3 decomposition. CP decomposition performs better than Tucker3 decomposition on sparse data (Schein et al. 2015a; Kolda and Bader 2008; Fanaee-T and Gama 2016). However, the Tucker3 decomposition method is commonly used when analyzing variability within multiple </w:t>
      </w:r>
      <w:r w:rsidR="008145C3" w:rsidRPr="003015D7">
        <w:rPr>
          <w:rFonts w:ascii="Arial" w:hAnsi="Arial" w:cs="Arial"/>
          <w:sz w:val="22"/>
          <w:szCs w:val="22"/>
        </w:rPr>
        <w:t>dimensions (</w:t>
      </w:r>
      <w:r w:rsidRPr="003015D7">
        <w:rPr>
          <w:rFonts w:ascii="Arial" w:hAnsi="Arial" w:cs="Arial"/>
          <w:sz w:val="22"/>
          <w:szCs w:val="22"/>
        </w:rPr>
        <w:t xml:space="preserve">Dong et al. 2010). Since we are interested in quantifying patterns across all dimensions of our tensor, the Tucker3 decomposition method is the best choice. The results of this decomposition will represent the most typical or strongest patterns of migration to destination for sociodemographic groups during specific time periods. </w:t>
      </w:r>
      <w:proofErr w:type="gramStart"/>
      <w:r w:rsidRPr="003015D7">
        <w:rPr>
          <w:rFonts w:ascii="Arial" w:hAnsi="Arial" w:cs="Arial"/>
          <w:sz w:val="22"/>
          <w:szCs w:val="22"/>
        </w:rPr>
        <w:t>In order to</w:t>
      </w:r>
      <w:proofErr w:type="gramEnd"/>
      <w:r w:rsidRPr="003015D7">
        <w:rPr>
          <w:rFonts w:ascii="Arial" w:hAnsi="Arial" w:cs="Arial"/>
          <w:sz w:val="22"/>
          <w:szCs w:val="22"/>
        </w:rPr>
        <w:t xml:space="preserve"> identify patterns in our data that do not represent the “typical” we will use a Gini coefficient to rank components of our factor matrices (Schein et al. 2015b). Components with the highest rank (largest Gini coefficient) will represent components that have the most extreme differences across the dimension of </w:t>
      </w:r>
      <w:r w:rsidR="008145C3" w:rsidRPr="003015D7">
        <w:rPr>
          <w:rFonts w:ascii="Arial" w:hAnsi="Arial" w:cs="Arial"/>
          <w:sz w:val="22"/>
          <w:szCs w:val="22"/>
        </w:rPr>
        <w:t>interest,</w:t>
      </w:r>
      <w:r w:rsidRPr="003015D7">
        <w:rPr>
          <w:rFonts w:ascii="Arial" w:hAnsi="Arial" w:cs="Arial"/>
          <w:sz w:val="22"/>
          <w:szCs w:val="22"/>
        </w:rPr>
        <w:t xml:space="preserve"> </w:t>
      </w:r>
      <w:proofErr w:type="gramStart"/>
      <w:r w:rsidRPr="003015D7">
        <w:rPr>
          <w:rFonts w:ascii="Arial" w:hAnsi="Arial" w:cs="Arial"/>
          <w:sz w:val="22"/>
          <w:szCs w:val="22"/>
        </w:rPr>
        <w:t>i.e.</w:t>
      </w:r>
      <w:proofErr w:type="gramEnd"/>
      <w:r w:rsidRPr="003015D7">
        <w:rPr>
          <w:rFonts w:ascii="Arial" w:hAnsi="Arial" w:cs="Arial"/>
          <w:sz w:val="22"/>
          <w:szCs w:val="22"/>
        </w:rPr>
        <w:t xml:space="preserve"> components with the highest rank will represent counties, time periods, migration types, and educational attainment groups with anomalous migration patterns. The Gini coefficient has been used for this purpose by several other studies of migration (Schein et al. 2015c; Nguyen and Garimella 2017). Specifically, to test Hypothesis 3A, we will calculate and rank the Gini coefficient for each component of our tensor to establish the counties, time periods, migration types, and educational attainment groups with the most common and the least common migration patterns. To test Hypothesis 3B, we will use a simple two sample t-test to determine whether the self-reported poor mental health days and age-adjusted mortality rates </w:t>
      </w:r>
      <w:r w:rsidRPr="003015D7">
        <w:rPr>
          <w:rFonts w:ascii="Arial" w:hAnsi="Arial" w:cs="Arial"/>
          <w:sz w:val="22"/>
          <w:szCs w:val="22"/>
        </w:rPr>
        <w:lastRenderedPageBreak/>
        <w:t>of counties identified in Hypothesis 3A are like counties not identified in Hypothesis 3A. Self-reported poor mental health days and age-adjusted mortality were used in Aims 1 and 2 respectively, so we include them as outcomes of interest with hopes of confirming our findings of Aims 1 and 2.</w:t>
      </w:r>
    </w:p>
    <w:p w14:paraId="3DCBF445"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Expected results:</w:t>
      </w:r>
      <w:r w:rsidRPr="003015D7">
        <w:rPr>
          <w:rFonts w:ascii="Arial" w:hAnsi="Arial" w:cs="Arial"/>
          <w:sz w:val="22"/>
          <w:szCs w:val="22"/>
        </w:rPr>
        <w:t xml:space="preserve"> We expect to see high levels of dissimilarity among migrants with less than high school education because education is a known “pull factor” of migration - it is common for individuals to migrate seeking educational opportunities (Everett S. Lee, n.d.; Greenwood 1975). Therefore, individuals with less education are less likely to migrate and therefore less likely to be part of the core migration system.</w:t>
      </w:r>
    </w:p>
    <w:p w14:paraId="5466DEDF"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On the other hand, according to Lee’s theory of migration, migration is often bimodal in that only the most advantaged and the least advantaged individuals relocate (Everett S. Lee, n.d.). Therefore, it is possible that our hypothesis will be disproven - perhaps individuals with less than high school education </w:t>
      </w:r>
      <w:proofErr w:type="gramStart"/>
      <w:r w:rsidRPr="003015D7">
        <w:rPr>
          <w:rFonts w:ascii="Arial" w:hAnsi="Arial" w:cs="Arial"/>
          <w:sz w:val="22"/>
          <w:szCs w:val="22"/>
        </w:rPr>
        <w:t>are</w:t>
      </w:r>
      <w:proofErr w:type="gramEnd"/>
      <w:r w:rsidRPr="003015D7">
        <w:rPr>
          <w:rFonts w:ascii="Arial" w:hAnsi="Arial" w:cs="Arial"/>
          <w:sz w:val="22"/>
          <w:szCs w:val="22"/>
        </w:rPr>
        <w:t xml:space="preserve"> most likely to be “pushed” out of their counties of origin due to hardship. It will be interesting to see how our method, tensor factorization, might handle this potential bimodality.</w:t>
      </w:r>
    </w:p>
    <w:p w14:paraId="0980E8C2"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Similar logic could be extended to the health distribution of migrants: only the most and least healthy individuals migrate. Though the relationship between education and health is well established and largely considered one-directional (D. Cutler and Lleras-Muney 2006; D. M. Cutler and Lleras-Muney 2012; Ross and Wu 1995), as we saw in Aim 2, the relationship between migration, place, and health is more difficult to parse. Because we suspect heterogeneity in the relationship between migration and health across counties, we also expect the health of counties included and excluded from our core tensor to be heterogeneous. Therefore, we expect counties and educational attainment groups in the core migration system to have significantly different health than counties not in the core migration system.</w:t>
      </w:r>
    </w:p>
    <w:p w14:paraId="316E027D"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Pitfalls and alternatives:</w:t>
      </w:r>
      <w:r w:rsidRPr="003015D7">
        <w:rPr>
          <w:rFonts w:ascii="Arial" w:hAnsi="Arial" w:cs="Arial"/>
          <w:sz w:val="22"/>
          <w:szCs w:val="22"/>
        </w:rPr>
        <w:t xml:space="preserve"> Originally, we proposed the use of IRS migration flow data instead of ACS mobility data to assess migration because we thought that the IRS origin-destination pairs for each year could help us understand the effects of county-interconnectedness over time. However, because IRS and ACS datasets represent different populations, joining IRS county-to-county migration flow data to ACS demographic estimates required many assumptions. Thus, we have decided to use ACS five-year estimates of demographic mobility. As a result, our analyses will not be applicable to migration as a “system,” (</w:t>
      </w:r>
      <w:proofErr w:type="gramStart"/>
      <w:r w:rsidRPr="003015D7">
        <w:rPr>
          <w:rFonts w:ascii="Arial" w:hAnsi="Arial" w:cs="Arial"/>
          <w:sz w:val="22"/>
          <w:szCs w:val="22"/>
        </w:rPr>
        <w:t>i.e.</w:t>
      </w:r>
      <w:proofErr w:type="gramEnd"/>
      <w:r w:rsidRPr="003015D7">
        <w:rPr>
          <w:rFonts w:ascii="Arial" w:hAnsi="Arial" w:cs="Arial"/>
          <w:sz w:val="22"/>
          <w:szCs w:val="22"/>
        </w:rPr>
        <w:t> origin and destination pairs) but instead will allow us to better understand how social groups of people migrate across the United States.</w:t>
      </w:r>
    </w:p>
    <w:p w14:paraId="64624F19" w14:textId="1D16192C"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Another downside of the ACS mobility data is that ACS does not publish single-year estimates of county-level socioeconomic group mobility. Therefore, we must use five-year estimates. Five-year estimates provide an imprecise understanding of migration over time; however, they allow for greater representation among small geographies and sociodemographic groups (less missingness due to suppression). Therefore, in this aim, we are unable to fully assess temporal patterns of migration. </w:t>
      </w:r>
      <w:r w:rsidR="008145C3" w:rsidRPr="003015D7">
        <w:rPr>
          <w:rFonts w:ascii="Arial" w:hAnsi="Arial" w:cs="Arial"/>
          <w:sz w:val="22"/>
          <w:szCs w:val="22"/>
        </w:rPr>
        <w:t>Instead,</w:t>
      </w:r>
      <w:r w:rsidRPr="003015D7">
        <w:rPr>
          <w:rFonts w:ascii="Arial" w:hAnsi="Arial" w:cs="Arial"/>
          <w:sz w:val="22"/>
          <w:szCs w:val="22"/>
        </w:rPr>
        <w:t xml:space="preserve"> we prioritize understanding mobility patterns across sociodemographic identity, specifically educational attainment, rather than over time.</w:t>
      </w:r>
    </w:p>
    <w:p w14:paraId="2A815C2F" w14:textId="4F9A7A3E"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There are many possible dimension reduction techniques that we could employ in place of or in addition to tensor factorization. If time, we will attempt to confirm our tensor factorization findings using </w:t>
      </w:r>
      <w:r w:rsidR="008145C3" w:rsidRPr="003015D7">
        <w:rPr>
          <w:rFonts w:ascii="Arial" w:hAnsi="Arial" w:cs="Arial"/>
          <w:sz w:val="22"/>
          <w:szCs w:val="22"/>
        </w:rPr>
        <w:t>principal</w:t>
      </w:r>
      <w:r w:rsidRPr="003015D7">
        <w:rPr>
          <w:rFonts w:ascii="Arial" w:hAnsi="Arial" w:cs="Arial"/>
          <w:sz w:val="22"/>
          <w:szCs w:val="22"/>
        </w:rPr>
        <w:t xml:space="preserve"> component analysis (PCA) which has been used to study population mobility during the COVID-19 pandemic (Elarde et al. 2021), to assess factors related to illegal immigration into Nigeria (Uzomah and Madu 2020), and to measure urban population movement in China using cell phone data (Sun, and Axhausen, n.d.). PCA is a top-down approach which systematically discards components that do not explain variance in a dataset, sometimes resulting in loss of structure (Allen, n.d.). Meanwhile, our application of tensor factorization will assess dissimilarity within each component to indicate the components that are most meaningful. If implemented correctly, PCA and tensor factorization should yield similar results. </w:t>
      </w:r>
    </w:p>
    <w:p w14:paraId="3FBA3258" w14:textId="77777777" w:rsidR="00792322" w:rsidRPr="003015D7" w:rsidRDefault="00000000" w:rsidP="003015D7">
      <w:pPr>
        <w:pStyle w:val="BodyText"/>
        <w:rPr>
          <w:rFonts w:ascii="Arial" w:hAnsi="Arial" w:cs="Arial"/>
          <w:sz w:val="22"/>
          <w:szCs w:val="22"/>
        </w:rPr>
      </w:pPr>
      <w:r w:rsidRPr="003015D7">
        <w:rPr>
          <w:rFonts w:ascii="Arial" w:hAnsi="Arial" w:cs="Arial"/>
          <w:b/>
          <w:bCs/>
          <w:sz w:val="22"/>
          <w:szCs w:val="22"/>
          <w:u w:val="single"/>
        </w:rPr>
        <w:t>Overall Summary and Conclusions</w:t>
      </w:r>
    </w:p>
    <w:p w14:paraId="652A2771"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We cannot fully understand county-level health without first understanding county interconnectedness and how it drives place-based health disparities. In this proposal, we first measure the relationship between place and health during a static time point, next we model the relationship between place, migration, and health, and finally, we examine counties that have anomalous relationships between place, migration, and health. Recognizing that the United States is heterogeneous and that the mechanisms by which migration may impact health may also be heterogeneous, we attempt to quantify rural-urban disparities in mobility and health at each step. The long-term goal of this work is to contribute to understanding the mechanisms by which mobility may </w:t>
      </w:r>
      <w:r w:rsidRPr="003015D7">
        <w:rPr>
          <w:rFonts w:ascii="Arial" w:hAnsi="Arial" w:cs="Arial"/>
          <w:sz w:val="22"/>
          <w:szCs w:val="22"/>
        </w:rPr>
        <w:lastRenderedPageBreak/>
        <w:t>be related to place-based health disparities so that local decision-makers may account for patterns in mobility when creating policy towards improved health for all people in all places. Understanding rural-urban mobility patterns is a necessary first step towards understanding rural-urban health disparities.</w:t>
      </w:r>
    </w:p>
    <w:p w14:paraId="1D381336" w14:textId="77777777" w:rsidR="00792322" w:rsidRPr="003015D7" w:rsidRDefault="00000000" w:rsidP="003015D7">
      <w:pPr>
        <w:rPr>
          <w:rFonts w:ascii="Arial" w:hAnsi="Arial" w:cs="Arial"/>
          <w:sz w:val="22"/>
          <w:szCs w:val="22"/>
        </w:rPr>
      </w:pPr>
      <w:r w:rsidRPr="003015D7">
        <w:rPr>
          <w:rFonts w:ascii="Arial" w:hAnsi="Arial" w:cs="Arial"/>
          <w:sz w:val="22"/>
          <w:szCs w:val="22"/>
        </w:rPr>
        <w:pict w14:anchorId="303D315B">
          <v:rect id="_x0000_i1027" style="width:0;height:1.5pt" o:hralign="center" o:hrstd="t" o:hr="t"/>
        </w:pict>
      </w:r>
    </w:p>
    <w:p w14:paraId="0B45CD72" w14:textId="77777777" w:rsidR="00792322" w:rsidRPr="003015D7" w:rsidRDefault="00000000" w:rsidP="003015D7">
      <w:pPr>
        <w:pStyle w:val="FirstParagraph"/>
        <w:rPr>
          <w:rFonts w:ascii="Arial" w:hAnsi="Arial" w:cs="Arial"/>
          <w:sz w:val="22"/>
          <w:szCs w:val="22"/>
        </w:rPr>
      </w:pPr>
      <w:r w:rsidRPr="003015D7">
        <w:rPr>
          <w:rFonts w:ascii="Arial" w:hAnsi="Arial" w:cs="Arial"/>
          <w:b/>
          <w:bCs/>
          <w:sz w:val="22"/>
          <w:szCs w:val="22"/>
          <w:u w:val="single"/>
        </w:rPr>
        <w:t>References</w:t>
      </w:r>
    </w:p>
    <w:p w14:paraId="0FE74531" w14:textId="77777777" w:rsidR="00792322" w:rsidRPr="003015D7" w:rsidRDefault="00000000" w:rsidP="003015D7">
      <w:pPr>
        <w:pStyle w:val="Bibliography"/>
        <w:rPr>
          <w:rFonts w:ascii="Arial" w:hAnsi="Arial" w:cs="Arial"/>
          <w:sz w:val="22"/>
          <w:szCs w:val="22"/>
        </w:rPr>
      </w:pPr>
      <w:bookmarkStart w:id="0" w:name="ref-agyemang2019"/>
      <w:bookmarkStart w:id="1" w:name="refs"/>
      <w:r w:rsidRPr="003015D7">
        <w:rPr>
          <w:rFonts w:ascii="Arial" w:hAnsi="Arial" w:cs="Arial"/>
          <w:sz w:val="22"/>
          <w:szCs w:val="22"/>
        </w:rPr>
        <w:t xml:space="preserve">Agyemang, Charles, and Bert-Jan van den Born. 2019. “Non-Communicable Diseases in Migrants: An Expert Review.” </w:t>
      </w:r>
      <w:r w:rsidRPr="003015D7">
        <w:rPr>
          <w:rFonts w:ascii="Arial" w:hAnsi="Arial" w:cs="Arial"/>
          <w:i/>
          <w:iCs/>
          <w:sz w:val="22"/>
          <w:szCs w:val="22"/>
        </w:rPr>
        <w:t>Journal of Travel Medicine</w:t>
      </w:r>
      <w:r w:rsidRPr="003015D7">
        <w:rPr>
          <w:rFonts w:ascii="Arial" w:hAnsi="Arial" w:cs="Arial"/>
          <w:sz w:val="22"/>
          <w:szCs w:val="22"/>
        </w:rPr>
        <w:t xml:space="preserve"> 26 (2): tay107. </w:t>
      </w:r>
      <w:hyperlink r:id="rId11">
        <w:r w:rsidRPr="003015D7">
          <w:rPr>
            <w:rStyle w:val="Hyperlink"/>
            <w:rFonts w:ascii="Arial" w:hAnsi="Arial" w:cs="Arial"/>
            <w:color w:val="auto"/>
            <w:sz w:val="22"/>
            <w:szCs w:val="22"/>
          </w:rPr>
          <w:t>https://doi.org/10.1093/jtm/tay107</w:t>
        </w:r>
      </w:hyperlink>
      <w:r w:rsidRPr="003015D7">
        <w:rPr>
          <w:rFonts w:ascii="Arial" w:hAnsi="Arial" w:cs="Arial"/>
          <w:sz w:val="22"/>
          <w:szCs w:val="22"/>
        </w:rPr>
        <w:t>.</w:t>
      </w:r>
    </w:p>
    <w:p w14:paraId="365613CF" w14:textId="362DB4E3" w:rsidR="00792322" w:rsidRPr="003015D7" w:rsidRDefault="008145C3" w:rsidP="003015D7">
      <w:pPr>
        <w:pStyle w:val="Bibliography"/>
        <w:rPr>
          <w:rFonts w:ascii="Arial" w:hAnsi="Arial" w:cs="Arial"/>
          <w:sz w:val="22"/>
          <w:szCs w:val="22"/>
        </w:rPr>
      </w:pPr>
      <w:bookmarkStart w:id="2" w:name="ref-agyemang2022"/>
      <w:bookmarkEnd w:id="0"/>
      <w:r w:rsidRPr="008145C3">
        <w:rPr>
          <w:rFonts w:ascii="Arial" w:hAnsi="Arial" w:cs="Arial"/>
          <w:sz w:val="22"/>
          <w:szCs w:val="22"/>
        </w:rPr>
        <w:t>Agyemang</w:t>
      </w:r>
      <w:r>
        <w:rPr>
          <w:rFonts w:ascii="Arial" w:hAnsi="Arial" w:cs="Arial"/>
          <w:sz w:val="22"/>
          <w:szCs w:val="22"/>
        </w:rPr>
        <w:t xml:space="preserve">, Charles and </w:t>
      </w:r>
      <w:r w:rsidRPr="008145C3">
        <w:rPr>
          <w:rFonts w:ascii="Arial" w:hAnsi="Arial" w:cs="Arial"/>
          <w:sz w:val="22"/>
          <w:szCs w:val="22"/>
        </w:rPr>
        <w:t xml:space="preserve">Bert-Jan van den </w:t>
      </w:r>
      <w:proofErr w:type="gramStart"/>
      <w:r w:rsidRPr="008145C3">
        <w:rPr>
          <w:rFonts w:ascii="Arial" w:hAnsi="Arial" w:cs="Arial"/>
          <w:sz w:val="22"/>
          <w:szCs w:val="22"/>
        </w:rPr>
        <w:t xml:space="preserve">Born </w:t>
      </w:r>
      <w:r w:rsidR="00000000" w:rsidRPr="003015D7">
        <w:rPr>
          <w:rFonts w:ascii="Arial" w:hAnsi="Arial" w:cs="Arial"/>
          <w:sz w:val="22"/>
          <w:szCs w:val="22"/>
        </w:rPr>
        <w:t xml:space="preserve"> 2022</w:t>
      </w:r>
      <w:proofErr w:type="gramEnd"/>
      <w:r w:rsidR="00000000" w:rsidRPr="003015D7">
        <w:rPr>
          <w:rFonts w:ascii="Arial" w:hAnsi="Arial" w:cs="Arial"/>
          <w:sz w:val="22"/>
          <w:szCs w:val="22"/>
        </w:rPr>
        <w:t xml:space="preserve">. “Cardiovascular Health and Disease in Migrant Populations: A Call to Action.” </w:t>
      </w:r>
      <w:r w:rsidR="00000000" w:rsidRPr="003015D7">
        <w:rPr>
          <w:rFonts w:ascii="Arial" w:hAnsi="Arial" w:cs="Arial"/>
          <w:i/>
          <w:iCs/>
          <w:sz w:val="22"/>
          <w:szCs w:val="22"/>
        </w:rPr>
        <w:t>Nature Reviews Cardiology</w:t>
      </w:r>
      <w:r w:rsidR="00000000" w:rsidRPr="003015D7">
        <w:rPr>
          <w:rFonts w:ascii="Arial" w:hAnsi="Arial" w:cs="Arial"/>
          <w:sz w:val="22"/>
          <w:szCs w:val="22"/>
        </w:rPr>
        <w:t xml:space="preserve"> 19 (1): 1–2. </w:t>
      </w:r>
      <w:hyperlink r:id="rId12">
        <w:r w:rsidR="00000000" w:rsidRPr="003015D7">
          <w:rPr>
            <w:rStyle w:val="Hyperlink"/>
            <w:rFonts w:ascii="Arial" w:hAnsi="Arial" w:cs="Arial"/>
            <w:color w:val="auto"/>
            <w:sz w:val="22"/>
            <w:szCs w:val="22"/>
          </w:rPr>
          <w:t>https://doi.org/10.1038/s41569-021-00644-y</w:t>
        </w:r>
      </w:hyperlink>
      <w:r w:rsidR="00000000" w:rsidRPr="003015D7">
        <w:rPr>
          <w:rFonts w:ascii="Arial" w:hAnsi="Arial" w:cs="Arial"/>
          <w:sz w:val="22"/>
          <w:szCs w:val="22"/>
        </w:rPr>
        <w:t>.</w:t>
      </w:r>
    </w:p>
    <w:p w14:paraId="1F42D015" w14:textId="77777777" w:rsidR="00792322" w:rsidRPr="003015D7" w:rsidRDefault="00000000" w:rsidP="003015D7">
      <w:pPr>
        <w:pStyle w:val="Bibliography"/>
        <w:rPr>
          <w:rFonts w:ascii="Arial" w:hAnsi="Arial" w:cs="Arial"/>
          <w:sz w:val="22"/>
          <w:szCs w:val="22"/>
        </w:rPr>
      </w:pPr>
      <w:bookmarkStart w:id="3" w:name="ref-allen"/>
      <w:bookmarkEnd w:id="2"/>
      <w:r w:rsidRPr="003015D7">
        <w:rPr>
          <w:rFonts w:ascii="Arial" w:hAnsi="Arial" w:cs="Arial"/>
          <w:sz w:val="22"/>
          <w:szCs w:val="22"/>
        </w:rPr>
        <w:t xml:space="preserve">Allen, Genevera I. n.d. “Regularized Tensor Factorizations and Higher-Order Principal Components Analysis.” </w:t>
      </w:r>
      <w:hyperlink r:id="rId13">
        <w:r w:rsidRPr="003015D7">
          <w:rPr>
            <w:rStyle w:val="Hyperlink"/>
            <w:rFonts w:ascii="Arial" w:hAnsi="Arial" w:cs="Arial"/>
            <w:color w:val="auto"/>
            <w:sz w:val="22"/>
            <w:szCs w:val="22"/>
          </w:rPr>
          <w:t>https://doi.org/10.48550/arXiv.1202.2476</w:t>
        </w:r>
      </w:hyperlink>
      <w:r w:rsidRPr="003015D7">
        <w:rPr>
          <w:rFonts w:ascii="Arial" w:hAnsi="Arial" w:cs="Arial"/>
          <w:sz w:val="22"/>
          <w:szCs w:val="22"/>
        </w:rPr>
        <w:t>.</w:t>
      </w:r>
    </w:p>
    <w:p w14:paraId="61356DF9" w14:textId="77777777" w:rsidR="00792322" w:rsidRPr="003015D7" w:rsidRDefault="00000000" w:rsidP="003015D7">
      <w:pPr>
        <w:pStyle w:val="Bibliography"/>
        <w:rPr>
          <w:rFonts w:ascii="Arial" w:hAnsi="Arial" w:cs="Arial"/>
          <w:sz w:val="22"/>
          <w:szCs w:val="22"/>
        </w:rPr>
      </w:pPr>
      <w:bookmarkStart w:id="4" w:name="ref-almquist2021"/>
      <w:bookmarkEnd w:id="3"/>
      <w:r w:rsidRPr="003015D7">
        <w:rPr>
          <w:rFonts w:ascii="Arial" w:hAnsi="Arial" w:cs="Arial"/>
          <w:sz w:val="22"/>
          <w:szCs w:val="22"/>
        </w:rPr>
        <w:t xml:space="preserve">Almquist, Zack W., Tri Duc Nguyen, Mikael Sorensen, Xiao Fu, and Nicholas D. Sidiropoulos. 2021. “Uncovering Migration Systems Through Spatio-Temporal Tensor Co-Clustering.” </w:t>
      </w:r>
      <w:hyperlink r:id="rId14">
        <w:r w:rsidRPr="003015D7">
          <w:rPr>
            <w:rStyle w:val="Hyperlink"/>
            <w:rFonts w:ascii="Arial" w:hAnsi="Arial" w:cs="Arial"/>
            <w:color w:val="auto"/>
            <w:sz w:val="22"/>
            <w:szCs w:val="22"/>
          </w:rPr>
          <w:t>http://arxiv.org/abs/2112.15296</w:t>
        </w:r>
      </w:hyperlink>
      <w:r w:rsidRPr="003015D7">
        <w:rPr>
          <w:rFonts w:ascii="Arial" w:hAnsi="Arial" w:cs="Arial"/>
          <w:sz w:val="22"/>
          <w:szCs w:val="22"/>
        </w:rPr>
        <w:t>.</w:t>
      </w:r>
    </w:p>
    <w:p w14:paraId="59C8DA13" w14:textId="77777777" w:rsidR="00792322" w:rsidRPr="003015D7" w:rsidRDefault="00000000" w:rsidP="003015D7">
      <w:pPr>
        <w:pStyle w:val="Bibliography"/>
        <w:rPr>
          <w:rFonts w:ascii="Arial" w:hAnsi="Arial" w:cs="Arial"/>
          <w:sz w:val="22"/>
          <w:szCs w:val="22"/>
        </w:rPr>
      </w:pPr>
      <w:bookmarkStart w:id="5" w:name="ref-araya2003"/>
      <w:bookmarkEnd w:id="4"/>
      <w:r w:rsidRPr="003015D7">
        <w:rPr>
          <w:rFonts w:ascii="Arial" w:hAnsi="Arial" w:cs="Arial"/>
          <w:sz w:val="22"/>
          <w:szCs w:val="22"/>
        </w:rPr>
        <w:t xml:space="preserve">Araya, R., G. Lewis, G. Rojas, and R. Fritsch. 2003. “Education and Income: Which Is More Important for Mental Health?” </w:t>
      </w:r>
      <w:r w:rsidRPr="003015D7">
        <w:rPr>
          <w:rFonts w:ascii="Arial" w:hAnsi="Arial" w:cs="Arial"/>
          <w:i/>
          <w:iCs/>
          <w:sz w:val="22"/>
          <w:szCs w:val="22"/>
        </w:rPr>
        <w:t>Journal of Epidemiology &amp; Community Health</w:t>
      </w:r>
      <w:r w:rsidRPr="003015D7">
        <w:rPr>
          <w:rFonts w:ascii="Arial" w:hAnsi="Arial" w:cs="Arial"/>
          <w:sz w:val="22"/>
          <w:szCs w:val="22"/>
        </w:rPr>
        <w:t xml:space="preserve"> 57 (7): 501–5. </w:t>
      </w:r>
      <w:hyperlink r:id="rId15">
        <w:r w:rsidRPr="003015D7">
          <w:rPr>
            <w:rStyle w:val="Hyperlink"/>
            <w:rFonts w:ascii="Arial" w:hAnsi="Arial" w:cs="Arial"/>
            <w:color w:val="auto"/>
            <w:sz w:val="22"/>
            <w:szCs w:val="22"/>
          </w:rPr>
          <w:t>https://doi.org/10.1136/jech.57.7.501</w:t>
        </w:r>
      </w:hyperlink>
      <w:r w:rsidRPr="003015D7">
        <w:rPr>
          <w:rFonts w:ascii="Arial" w:hAnsi="Arial" w:cs="Arial"/>
          <w:sz w:val="22"/>
          <w:szCs w:val="22"/>
        </w:rPr>
        <w:t>.</w:t>
      </w:r>
    </w:p>
    <w:p w14:paraId="0962E4F8" w14:textId="77777777" w:rsidR="00792322" w:rsidRPr="003015D7" w:rsidRDefault="00000000" w:rsidP="003015D7">
      <w:pPr>
        <w:pStyle w:val="Bibliography"/>
        <w:rPr>
          <w:rFonts w:ascii="Arial" w:hAnsi="Arial" w:cs="Arial"/>
          <w:sz w:val="22"/>
          <w:szCs w:val="22"/>
        </w:rPr>
      </w:pPr>
      <w:bookmarkStart w:id="6" w:name="ref-blog"/>
      <w:bookmarkEnd w:id="5"/>
      <w:r w:rsidRPr="003015D7">
        <w:rPr>
          <w:rFonts w:ascii="Arial" w:hAnsi="Arial" w:cs="Arial"/>
          <w:sz w:val="22"/>
          <w:szCs w:val="22"/>
        </w:rPr>
        <w:t xml:space="preserve">Blog, Rajat’s. n.d. “Visualizing Tensor Operations with Factor Graphs.” </w:t>
      </w:r>
      <w:hyperlink r:id="rId16">
        <w:r w:rsidRPr="003015D7">
          <w:rPr>
            <w:rStyle w:val="Hyperlink"/>
            <w:rFonts w:ascii="Arial" w:hAnsi="Arial" w:cs="Arial"/>
            <w:color w:val="auto"/>
            <w:sz w:val="22"/>
            <w:szCs w:val="22"/>
          </w:rPr>
          <w:t>https://rajatvd.github.io/Factor-Graphs/</w:t>
        </w:r>
      </w:hyperlink>
      <w:r w:rsidRPr="003015D7">
        <w:rPr>
          <w:rFonts w:ascii="Arial" w:hAnsi="Arial" w:cs="Arial"/>
          <w:sz w:val="22"/>
          <w:szCs w:val="22"/>
        </w:rPr>
        <w:t>.</w:t>
      </w:r>
    </w:p>
    <w:p w14:paraId="31F6BE4F" w14:textId="77777777" w:rsidR="00792322" w:rsidRPr="003015D7" w:rsidRDefault="00000000" w:rsidP="003015D7">
      <w:pPr>
        <w:pStyle w:val="Bibliography"/>
        <w:rPr>
          <w:rFonts w:ascii="Arial" w:hAnsi="Arial" w:cs="Arial"/>
          <w:sz w:val="22"/>
          <w:szCs w:val="22"/>
        </w:rPr>
      </w:pPr>
      <w:bookmarkStart w:id="7" w:name="ref-bureaua"/>
      <w:bookmarkEnd w:id="6"/>
      <w:r w:rsidRPr="003015D7">
        <w:rPr>
          <w:rFonts w:ascii="Arial" w:hAnsi="Arial" w:cs="Arial"/>
          <w:sz w:val="22"/>
          <w:szCs w:val="22"/>
        </w:rPr>
        <w:t xml:space="preserve">Bureau, US Census. n.d.a. “Addressing Nonresponse Bias in the American Community Survey During the Pandemic Using Administrative Data.” </w:t>
      </w:r>
      <w:hyperlink r:id="rId17">
        <w:r w:rsidRPr="003015D7">
          <w:rPr>
            <w:rStyle w:val="Hyperlink"/>
            <w:rFonts w:ascii="Arial" w:hAnsi="Arial" w:cs="Arial"/>
            <w:color w:val="auto"/>
            <w:sz w:val="22"/>
            <w:szCs w:val="22"/>
          </w:rPr>
          <w:t>https://www.census.gov/library/working-papers/2021/acs/2021_Rothbaum_01.html</w:t>
        </w:r>
      </w:hyperlink>
      <w:r w:rsidRPr="003015D7">
        <w:rPr>
          <w:rFonts w:ascii="Arial" w:hAnsi="Arial" w:cs="Arial"/>
          <w:sz w:val="22"/>
          <w:szCs w:val="22"/>
        </w:rPr>
        <w:t>.</w:t>
      </w:r>
    </w:p>
    <w:p w14:paraId="61EFA9B9" w14:textId="77777777" w:rsidR="00792322" w:rsidRPr="003015D7" w:rsidRDefault="00000000" w:rsidP="003015D7">
      <w:pPr>
        <w:pStyle w:val="Bibliography"/>
        <w:rPr>
          <w:rFonts w:ascii="Arial" w:hAnsi="Arial" w:cs="Arial"/>
          <w:sz w:val="22"/>
          <w:szCs w:val="22"/>
        </w:rPr>
      </w:pPr>
      <w:bookmarkStart w:id="8" w:name="ref-bureau"/>
      <w:bookmarkEnd w:id="7"/>
      <w:r w:rsidRPr="003015D7">
        <w:rPr>
          <w:rFonts w:ascii="Arial" w:hAnsi="Arial" w:cs="Arial"/>
          <w:sz w:val="22"/>
          <w:szCs w:val="22"/>
        </w:rPr>
        <w:t xml:space="preserve">———. n.d.b. “Data Suppression.” </w:t>
      </w:r>
      <w:hyperlink r:id="rId18">
        <w:r w:rsidRPr="003015D7">
          <w:rPr>
            <w:rStyle w:val="Hyperlink"/>
            <w:rFonts w:ascii="Arial" w:hAnsi="Arial" w:cs="Arial"/>
            <w:color w:val="auto"/>
            <w:sz w:val="22"/>
            <w:szCs w:val="22"/>
          </w:rPr>
          <w:t>https://www.census.gov/programs-surveys/acs/technical-documentation/data-suppression.html</w:t>
        </w:r>
      </w:hyperlink>
      <w:r w:rsidRPr="003015D7">
        <w:rPr>
          <w:rFonts w:ascii="Arial" w:hAnsi="Arial" w:cs="Arial"/>
          <w:sz w:val="22"/>
          <w:szCs w:val="22"/>
        </w:rPr>
        <w:t>.</w:t>
      </w:r>
    </w:p>
    <w:p w14:paraId="424F13EB" w14:textId="77777777" w:rsidR="00792322" w:rsidRPr="003015D7" w:rsidRDefault="00000000" w:rsidP="003015D7">
      <w:pPr>
        <w:pStyle w:val="Bibliography"/>
        <w:rPr>
          <w:rFonts w:ascii="Arial" w:hAnsi="Arial" w:cs="Arial"/>
          <w:sz w:val="22"/>
          <w:szCs w:val="22"/>
        </w:rPr>
      </w:pPr>
      <w:bookmarkStart w:id="9" w:name="ref-bureaub"/>
      <w:bookmarkEnd w:id="8"/>
      <w:r w:rsidRPr="003015D7">
        <w:rPr>
          <w:rFonts w:ascii="Arial" w:hAnsi="Arial" w:cs="Arial"/>
          <w:sz w:val="22"/>
          <w:szCs w:val="22"/>
        </w:rPr>
        <w:t xml:space="preserve">———. n.d.c. “When to Use 1-Year or 5-Year Estimates.” </w:t>
      </w:r>
      <w:hyperlink r:id="rId19">
        <w:r w:rsidRPr="003015D7">
          <w:rPr>
            <w:rStyle w:val="Hyperlink"/>
            <w:rFonts w:ascii="Arial" w:hAnsi="Arial" w:cs="Arial"/>
            <w:color w:val="auto"/>
            <w:sz w:val="22"/>
            <w:szCs w:val="22"/>
          </w:rPr>
          <w:t>https://www.census.gov/programs-surveys/acs/guidance/estimates.html</w:t>
        </w:r>
      </w:hyperlink>
      <w:r w:rsidRPr="003015D7">
        <w:rPr>
          <w:rFonts w:ascii="Arial" w:hAnsi="Arial" w:cs="Arial"/>
          <w:sz w:val="22"/>
          <w:szCs w:val="22"/>
        </w:rPr>
        <w:t>.</w:t>
      </w:r>
    </w:p>
    <w:p w14:paraId="6EBC05EB" w14:textId="77777777" w:rsidR="00792322" w:rsidRPr="003015D7" w:rsidRDefault="00000000" w:rsidP="003015D7">
      <w:pPr>
        <w:pStyle w:val="Bibliography"/>
        <w:rPr>
          <w:rFonts w:ascii="Arial" w:hAnsi="Arial" w:cs="Arial"/>
          <w:sz w:val="22"/>
          <w:szCs w:val="22"/>
        </w:rPr>
      </w:pPr>
      <w:bookmarkStart w:id="10" w:name="ref-cdc-ab2019"/>
      <w:bookmarkEnd w:id="9"/>
      <w:r w:rsidRPr="003015D7">
        <w:rPr>
          <w:rFonts w:ascii="Arial" w:hAnsi="Arial" w:cs="Arial"/>
          <w:sz w:val="22"/>
          <w:szCs w:val="22"/>
        </w:rPr>
        <w:t xml:space="preserve">“CDC - about BRFSS.” 2019. </w:t>
      </w:r>
      <w:hyperlink r:id="rId20">
        <w:r w:rsidRPr="003015D7">
          <w:rPr>
            <w:rStyle w:val="Hyperlink"/>
            <w:rFonts w:ascii="Arial" w:hAnsi="Arial" w:cs="Arial"/>
            <w:color w:val="auto"/>
            <w:sz w:val="22"/>
            <w:szCs w:val="22"/>
          </w:rPr>
          <w:t>https://www.cdc.gov/brfss/about/index.htm</w:t>
        </w:r>
      </w:hyperlink>
      <w:r w:rsidRPr="003015D7">
        <w:rPr>
          <w:rFonts w:ascii="Arial" w:hAnsi="Arial" w:cs="Arial"/>
          <w:sz w:val="22"/>
          <w:szCs w:val="22"/>
        </w:rPr>
        <w:t>.</w:t>
      </w:r>
    </w:p>
    <w:p w14:paraId="3E3C099F" w14:textId="77777777" w:rsidR="00792322" w:rsidRPr="003015D7" w:rsidRDefault="00000000" w:rsidP="003015D7">
      <w:pPr>
        <w:pStyle w:val="Bibliography"/>
        <w:rPr>
          <w:rFonts w:ascii="Arial" w:hAnsi="Arial" w:cs="Arial"/>
          <w:sz w:val="22"/>
          <w:szCs w:val="22"/>
        </w:rPr>
      </w:pPr>
      <w:bookmarkStart w:id="11" w:name="ref-cdcwond"/>
      <w:bookmarkEnd w:id="10"/>
      <w:r w:rsidRPr="003015D7">
        <w:rPr>
          <w:rFonts w:ascii="Arial" w:hAnsi="Arial" w:cs="Arial"/>
          <w:sz w:val="22"/>
          <w:szCs w:val="22"/>
        </w:rPr>
        <w:t xml:space="preserve">“CDC WONDER.” n.d. </w:t>
      </w:r>
      <w:hyperlink r:id="rId21">
        <w:r w:rsidRPr="003015D7">
          <w:rPr>
            <w:rStyle w:val="Hyperlink"/>
            <w:rFonts w:ascii="Arial" w:hAnsi="Arial" w:cs="Arial"/>
            <w:color w:val="auto"/>
            <w:sz w:val="22"/>
            <w:szCs w:val="22"/>
          </w:rPr>
          <w:t>https://wonder.cdc.gov/</w:t>
        </w:r>
      </w:hyperlink>
      <w:r w:rsidRPr="003015D7">
        <w:rPr>
          <w:rFonts w:ascii="Arial" w:hAnsi="Arial" w:cs="Arial"/>
          <w:sz w:val="22"/>
          <w:szCs w:val="22"/>
        </w:rPr>
        <w:t>.</w:t>
      </w:r>
    </w:p>
    <w:p w14:paraId="2049FF57" w14:textId="77777777" w:rsidR="00792322" w:rsidRPr="003015D7" w:rsidRDefault="00000000" w:rsidP="003015D7">
      <w:pPr>
        <w:pStyle w:val="Bibliography"/>
        <w:rPr>
          <w:rFonts w:ascii="Arial" w:hAnsi="Arial" w:cs="Arial"/>
          <w:sz w:val="22"/>
          <w:szCs w:val="22"/>
        </w:rPr>
      </w:pPr>
      <w:bookmarkStart w:id="12" w:name="ref-chan1977"/>
      <w:bookmarkEnd w:id="11"/>
      <w:r w:rsidRPr="003015D7">
        <w:rPr>
          <w:rFonts w:ascii="Arial" w:hAnsi="Arial" w:cs="Arial"/>
          <w:sz w:val="22"/>
          <w:szCs w:val="22"/>
        </w:rPr>
        <w:t xml:space="preserve">Chan, Kwok Bun. 1977. “Individual Differences in Reactions to Stress and Their Personality and Situational Determinants: Some Implications for Community Mental Health.” </w:t>
      </w:r>
      <w:r w:rsidRPr="003015D7">
        <w:rPr>
          <w:rFonts w:ascii="Arial" w:hAnsi="Arial" w:cs="Arial"/>
          <w:i/>
          <w:iCs/>
          <w:sz w:val="22"/>
          <w:szCs w:val="22"/>
        </w:rPr>
        <w:t>Social Science &amp; Medicine (1967)</w:t>
      </w:r>
      <w:r w:rsidRPr="003015D7">
        <w:rPr>
          <w:rFonts w:ascii="Arial" w:hAnsi="Arial" w:cs="Arial"/>
          <w:sz w:val="22"/>
          <w:szCs w:val="22"/>
        </w:rPr>
        <w:t xml:space="preserve"> 11 (2): 89–103. </w:t>
      </w:r>
      <w:hyperlink r:id="rId22">
        <w:r w:rsidRPr="003015D7">
          <w:rPr>
            <w:rStyle w:val="Hyperlink"/>
            <w:rFonts w:ascii="Arial" w:hAnsi="Arial" w:cs="Arial"/>
            <w:color w:val="auto"/>
            <w:sz w:val="22"/>
            <w:szCs w:val="22"/>
          </w:rPr>
          <w:t>https://doi.org/10.1016/0037-7856(77)90004-X</w:t>
        </w:r>
      </w:hyperlink>
      <w:r w:rsidRPr="003015D7">
        <w:rPr>
          <w:rFonts w:ascii="Arial" w:hAnsi="Arial" w:cs="Arial"/>
          <w:sz w:val="22"/>
          <w:szCs w:val="22"/>
        </w:rPr>
        <w:t>.</w:t>
      </w:r>
    </w:p>
    <w:p w14:paraId="51D579A2" w14:textId="77777777" w:rsidR="00792322" w:rsidRPr="003015D7" w:rsidRDefault="00000000" w:rsidP="003015D7">
      <w:pPr>
        <w:pStyle w:val="Bibliography"/>
        <w:rPr>
          <w:rFonts w:ascii="Arial" w:hAnsi="Arial" w:cs="Arial"/>
          <w:sz w:val="22"/>
          <w:szCs w:val="22"/>
        </w:rPr>
      </w:pPr>
      <w:bookmarkStart w:id="13" w:name="ref-chevalier2006"/>
      <w:bookmarkEnd w:id="12"/>
      <w:r w:rsidRPr="003015D7">
        <w:rPr>
          <w:rFonts w:ascii="Arial" w:hAnsi="Arial" w:cs="Arial"/>
          <w:sz w:val="22"/>
          <w:szCs w:val="22"/>
        </w:rPr>
        <w:t xml:space="preserve">Chevalier, Arnaud, and Leon Feinstein. 2006. “Sheepskin or Prozac: The Causal Effect of Education on Mental Health.” Rochester, NY. </w:t>
      </w:r>
      <w:hyperlink r:id="rId23">
        <w:r w:rsidRPr="003015D7">
          <w:rPr>
            <w:rStyle w:val="Hyperlink"/>
            <w:rFonts w:ascii="Arial" w:hAnsi="Arial" w:cs="Arial"/>
            <w:color w:val="auto"/>
            <w:sz w:val="22"/>
            <w:szCs w:val="22"/>
          </w:rPr>
          <w:t>https://papers.ssrn.com/abstract=923530</w:t>
        </w:r>
      </w:hyperlink>
      <w:r w:rsidRPr="003015D7">
        <w:rPr>
          <w:rFonts w:ascii="Arial" w:hAnsi="Arial" w:cs="Arial"/>
          <w:sz w:val="22"/>
          <w:szCs w:val="22"/>
        </w:rPr>
        <w:t>.</w:t>
      </w:r>
    </w:p>
    <w:p w14:paraId="05A80B34" w14:textId="77777777" w:rsidR="00792322" w:rsidRPr="003015D7" w:rsidRDefault="00000000" w:rsidP="003015D7">
      <w:pPr>
        <w:pStyle w:val="Bibliography"/>
        <w:rPr>
          <w:rFonts w:ascii="Arial" w:hAnsi="Arial" w:cs="Arial"/>
          <w:sz w:val="22"/>
          <w:szCs w:val="22"/>
        </w:rPr>
      </w:pPr>
      <w:bookmarkStart w:id="14" w:name="ref-cooke2013"/>
      <w:bookmarkEnd w:id="13"/>
      <w:r w:rsidRPr="003015D7">
        <w:rPr>
          <w:rFonts w:ascii="Arial" w:hAnsi="Arial" w:cs="Arial"/>
          <w:sz w:val="22"/>
          <w:szCs w:val="22"/>
        </w:rPr>
        <w:t xml:space="preserve">Cooke, Thomas J. 2013. “Internal Migration in Decline.” </w:t>
      </w:r>
      <w:r w:rsidRPr="003015D7">
        <w:rPr>
          <w:rFonts w:ascii="Arial" w:hAnsi="Arial" w:cs="Arial"/>
          <w:i/>
          <w:iCs/>
          <w:sz w:val="22"/>
          <w:szCs w:val="22"/>
        </w:rPr>
        <w:t>The Professional Geographer</w:t>
      </w:r>
      <w:r w:rsidRPr="003015D7">
        <w:rPr>
          <w:rFonts w:ascii="Arial" w:hAnsi="Arial" w:cs="Arial"/>
          <w:sz w:val="22"/>
          <w:szCs w:val="22"/>
        </w:rPr>
        <w:t xml:space="preserve"> 65 (4): 664–75. </w:t>
      </w:r>
      <w:hyperlink r:id="rId24">
        <w:r w:rsidRPr="003015D7">
          <w:rPr>
            <w:rStyle w:val="Hyperlink"/>
            <w:rFonts w:ascii="Arial" w:hAnsi="Arial" w:cs="Arial"/>
            <w:color w:val="auto"/>
            <w:sz w:val="22"/>
            <w:szCs w:val="22"/>
          </w:rPr>
          <w:t>https://doi.org/10.1080/00330124.2012.724343</w:t>
        </w:r>
      </w:hyperlink>
      <w:r w:rsidRPr="003015D7">
        <w:rPr>
          <w:rFonts w:ascii="Arial" w:hAnsi="Arial" w:cs="Arial"/>
          <w:sz w:val="22"/>
          <w:szCs w:val="22"/>
        </w:rPr>
        <w:t>.</w:t>
      </w:r>
    </w:p>
    <w:p w14:paraId="1AC28B15" w14:textId="77777777" w:rsidR="00792322" w:rsidRPr="003015D7" w:rsidRDefault="00000000" w:rsidP="003015D7">
      <w:pPr>
        <w:pStyle w:val="Bibliography"/>
        <w:rPr>
          <w:rFonts w:ascii="Arial" w:hAnsi="Arial" w:cs="Arial"/>
          <w:sz w:val="22"/>
          <w:szCs w:val="22"/>
        </w:rPr>
      </w:pPr>
      <w:bookmarkStart w:id="15" w:name="ref-cummins2007"/>
      <w:bookmarkEnd w:id="14"/>
      <w:r w:rsidRPr="003015D7">
        <w:rPr>
          <w:rFonts w:ascii="Arial" w:hAnsi="Arial" w:cs="Arial"/>
          <w:sz w:val="22"/>
          <w:szCs w:val="22"/>
        </w:rPr>
        <w:t xml:space="preserve">Cummins, Steven, Sarah Curtis, Ana V. Diez-Roux, and Sally Macintyre. 2007. “Understanding and Representing ‘Place’ in Health Research: A Relational Approach.” </w:t>
      </w:r>
      <w:r w:rsidRPr="003015D7">
        <w:rPr>
          <w:rFonts w:ascii="Arial" w:hAnsi="Arial" w:cs="Arial"/>
          <w:i/>
          <w:iCs/>
          <w:sz w:val="22"/>
          <w:szCs w:val="22"/>
        </w:rPr>
        <w:t>Social Science &amp; Medicine</w:t>
      </w:r>
      <w:r w:rsidRPr="003015D7">
        <w:rPr>
          <w:rFonts w:ascii="Arial" w:hAnsi="Arial" w:cs="Arial"/>
          <w:sz w:val="22"/>
          <w:szCs w:val="22"/>
        </w:rPr>
        <w:t xml:space="preserve">, Placing Health in Context, 65 (9): 1825–38. </w:t>
      </w:r>
      <w:hyperlink r:id="rId25">
        <w:r w:rsidRPr="003015D7">
          <w:rPr>
            <w:rStyle w:val="Hyperlink"/>
            <w:rFonts w:ascii="Arial" w:hAnsi="Arial" w:cs="Arial"/>
            <w:color w:val="auto"/>
            <w:sz w:val="22"/>
            <w:szCs w:val="22"/>
          </w:rPr>
          <w:t>https://doi.org/10.1016/j.socscimed.2007.05.036</w:t>
        </w:r>
      </w:hyperlink>
      <w:r w:rsidRPr="003015D7">
        <w:rPr>
          <w:rFonts w:ascii="Arial" w:hAnsi="Arial" w:cs="Arial"/>
          <w:sz w:val="22"/>
          <w:szCs w:val="22"/>
        </w:rPr>
        <w:t>.</w:t>
      </w:r>
    </w:p>
    <w:p w14:paraId="345E5928" w14:textId="77777777" w:rsidR="00792322" w:rsidRPr="003015D7" w:rsidRDefault="00000000" w:rsidP="003015D7">
      <w:pPr>
        <w:pStyle w:val="Bibliography"/>
        <w:rPr>
          <w:rFonts w:ascii="Arial" w:hAnsi="Arial" w:cs="Arial"/>
          <w:sz w:val="22"/>
          <w:szCs w:val="22"/>
        </w:rPr>
      </w:pPr>
      <w:bookmarkStart w:id="16" w:name="ref-curtis2015"/>
      <w:bookmarkEnd w:id="15"/>
      <w:r w:rsidRPr="003015D7">
        <w:rPr>
          <w:rFonts w:ascii="Arial" w:hAnsi="Arial" w:cs="Arial"/>
          <w:sz w:val="22"/>
          <w:szCs w:val="22"/>
        </w:rPr>
        <w:t xml:space="preserve">Curtis, Katherine J., Elizabeth Fussell, and Jack DeWaard. 2015. “Recovery Migration After Hurricanes Katrina and Rita: Spatial Concentration and Intensification in the Migration System.” </w:t>
      </w:r>
      <w:r w:rsidRPr="003015D7">
        <w:rPr>
          <w:rFonts w:ascii="Arial" w:hAnsi="Arial" w:cs="Arial"/>
          <w:i/>
          <w:iCs/>
          <w:sz w:val="22"/>
          <w:szCs w:val="22"/>
        </w:rPr>
        <w:t>Demography</w:t>
      </w:r>
      <w:r w:rsidRPr="003015D7">
        <w:rPr>
          <w:rFonts w:ascii="Arial" w:hAnsi="Arial" w:cs="Arial"/>
          <w:sz w:val="22"/>
          <w:szCs w:val="22"/>
        </w:rPr>
        <w:t xml:space="preserve"> 52 (4): 1269–93. </w:t>
      </w:r>
      <w:hyperlink r:id="rId26">
        <w:r w:rsidRPr="003015D7">
          <w:rPr>
            <w:rStyle w:val="Hyperlink"/>
            <w:rFonts w:ascii="Arial" w:hAnsi="Arial" w:cs="Arial"/>
            <w:color w:val="auto"/>
            <w:sz w:val="22"/>
            <w:szCs w:val="22"/>
          </w:rPr>
          <w:t>https://doi.org/10.1007/s13524-015-0400-7</w:t>
        </w:r>
      </w:hyperlink>
      <w:r w:rsidRPr="003015D7">
        <w:rPr>
          <w:rFonts w:ascii="Arial" w:hAnsi="Arial" w:cs="Arial"/>
          <w:sz w:val="22"/>
          <w:szCs w:val="22"/>
        </w:rPr>
        <w:t>.</w:t>
      </w:r>
    </w:p>
    <w:p w14:paraId="228F13AC" w14:textId="77777777" w:rsidR="00792322" w:rsidRPr="003015D7" w:rsidRDefault="00000000" w:rsidP="003015D7">
      <w:pPr>
        <w:pStyle w:val="Bibliography"/>
        <w:rPr>
          <w:rFonts w:ascii="Arial" w:hAnsi="Arial" w:cs="Arial"/>
          <w:sz w:val="22"/>
          <w:szCs w:val="22"/>
        </w:rPr>
      </w:pPr>
      <w:bookmarkStart w:id="17" w:name="ref-cutler2012"/>
      <w:bookmarkEnd w:id="16"/>
      <w:r w:rsidRPr="003015D7">
        <w:rPr>
          <w:rFonts w:ascii="Arial" w:hAnsi="Arial" w:cs="Arial"/>
          <w:sz w:val="22"/>
          <w:szCs w:val="22"/>
        </w:rPr>
        <w:lastRenderedPageBreak/>
        <w:t xml:space="preserve">Cutler, David M., and Adriana Lleras-Muney. 2012. “Education and Health: Insights from International Comparisons.” </w:t>
      </w:r>
      <w:hyperlink r:id="rId27">
        <w:r w:rsidRPr="003015D7">
          <w:rPr>
            <w:rStyle w:val="Hyperlink"/>
            <w:rFonts w:ascii="Arial" w:hAnsi="Arial" w:cs="Arial"/>
            <w:color w:val="auto"/>
            <w:sz w:val="22"/>
            <w:szCs w:val="22"/>
          </w:rPr>
          <w:t>https://doi.org/10.3386/w17738</w:t>
        </w:r>
      </w:hyperlink>
      <w:r w:rsidRPr="003015D7">
        <w:rPr>
          <w:rFonts w:ascii="Arial" w:hAnsi="Arial" w:cs="Arial"/>
          <w:sz w:val="22"/>
          <w:szCs w:val="22"/>
        </w:rPr>
        <w:t>.</w:t>
      </w:r>
    </w:p>
    <w:p w14:paraId="65F2738A" w14:textId="77777777" w:rsidR="00792322" w:rsidRPr="003015D7" w:rsidRDefault="00000000" w:rsidP="003015D7">
      <w:pPr>
        <w:pStyle w:val="Bibliography"/>
        <w:rPr>
          <w:rFonts w:ascii="Arial" w:hAnsi="Arial" w:cs="Arial"/>
          <w:sz w:val="22"/>
          <w:szCs w:val="22"/>
        </w:rPr>
      </w:pPr>
      <w:bookmarkStart w:id="18" w:name="ref-cutler2006"/>
      <w:bookmarkEnd w:id="17"/>
      <w:r w:rsidRPr="003015D7">
        <w:rPr>
          <w:rFonts w:ascii="Arial" w:hAnsi="Arial" w:cs="Arial"/>
          <w:sz w:val="22"/>
          <w:szCs w:val="22"/>
        </w:rPr>
        <w:t xml:space="preserve">Cutler, David, and Adriana Lleras-Muney. 2006. “Education and Health: Evaluating Theories and Evidence.” </w:t>
      </w:r>
      <w:r w:rsidRPr="003015D7">
        <w:rPr>
          <w:rFonts w:ascii="Arial" w:hAnsi="Arial" w:cs="Arial"/>
          <w:i/>
          <w:iCs/>
          <w:sz w:val="22"/>
          <w:szCs w:val="22"/>
        </w:rPr>
        <w:t>Making Americans Healthier: Social and Economic Policy as Health Policy</w:t>
      </w:r>
      <w:r w:rsidRPr="003015D7">
        <w:rPr>
          <w:rFonts w:ascii="Arial" w:hAnsi="Arial" w:cs="Arial"/>
          <w:sz w:val="22"/>
          <w:szCs w:val="22"/>
        </w:rPr>
        <w:t xml:space="preserve"> 12352 (August). </w:t>
      </w:r>
      <w:hyperlink r:id="rId28">
        <w:r w:rsidRPr="003015D7">
          <w:rPr>
            <w:rStyle w:val="Hyperlink"/>
            <w:rFonts w:ascii="Arial" w:hAnsi="Arial" w:cs="Arial"/>
            <w:color w:val="auto"/>
            <w:sz w:val="22"/>
            <w:szCs w:val="22"/>
          </w:rPr>
          <w:t>https://doi.org/10.3386/w12352</w:t>
        </w:r>
      </w:hyperlink>
      <w:r w:rsidRPr="003015D7">
        <w:rPr>
          <w:rFonts w:ascii="Arial" w:hAnsi="Arial" w:cs="Arial"/>
          <w:sz w:val="22"/>
          <w:szCs w:val="22"/>
        </w:rPr>
        <w:t>.</w:t>
      </w:r>
    </w:p>
    <w:p w14:paraId="21476EF8" w14:textId="77777777" w:rsidR="00792322" w:rsidRPr="003015D7" w:rsidRDefault="00000000" w:rsidP="003015D7">
      <w:pPr>
        <w:pStyle w:val="Bibliography"/>
        <w:rPr>
          <w:rFonts w:ascii="Arial" w:hAnsi="Arial" w:cs="Arial"/>
          <w:sz w:val="22"/>
          <w:szCs w:val="22"/>
        </w:rPr>
      </w:pPr>
      <w:bookmarkStart w:id="19" w:name="ref-dewaard2022"/>
      <w:bookmarkEnd w:id="18"/>
      <w:r w:rsidRPr="003015D7">
        <w:rPr>
          <w:rFonts w:ascii="Arial" w:hAnsi="Arial" w:cs="Arial"/>
          <w:sz w:val="22"/>
          <w:szCs w:val="22"/>
        </w:rPr>
        <w:t xml:space="preserve">DeWaard, Jack, Mathew Hauer, Elizabeth Fussell, Katherine J. Curtis, Stephan D. Whitaker, Kathryn McConnell, Kobie Price, David Egan-Robertson, Michael Soto, and Catalina Anampa Castro. 2022. “User Beware: Concerning Findings from the Post 20112012 U.S. Internal Revenue Service Migration Data.” </w:t>
      </w:r>
      <w:r w:rsidRPr="003015D7">
        <w:rPr>
          <w:rFonts w:ascii="Arial" w:hAnsi="Arial" w:cs="Arial"/>
          <w:i/>
          <w:iCs/>
          <w:sz w:val="22"/>
          <w:szCs w:val="22"/>
        </w:rPr>
        <w:t>Population Research and Policy Review</w:t>
      </w:r>
      <w:r w:rsidRPr="003015D7">
        <w:rPr>
          <w:rFonts w:ascii="Arial" w:hAnsi="Arial" w:cs="Arial"/>
          <w:sz w:val="22"/>
          <w:szCs w:val="22"/>
        </w:rPr>
        <w:t xml:space="preserve"> 41 (2): 437–48. </w:t>
      </w:r>
      <w:hyperlink r:id="rId29">
        <w:r w:rsidRPr="003015D7">
          <w:rPr>
            <w:rStyle w:val="Hyperlink"/>
            <w:rFonts w:ascii="Arial" w:hAnsi="Arial" w:cs="Arial"/>
            <w:color w:val="auto"/>
            <w:sz w:val="22"/>
            <w:szCs w:val="22"/>
          </w:rPr>
          <w:t>https://doi.org/10.1007/s11113-021-09663-6</w:t>
        </w:r>
      </w:hyperlink>
      <w:r w:rsidRPr="003015D7">
        <w:rPr>
          <w:rFonts w:ascii="Arial" w:hAnsi="Arial" w:cs="Arial"/>
          <w:sz w:val="22"/>
          <w:szCs w:val="22"/>
        </w:rPr>
        <w:t>.</w:t>
      </w:r>
    </w:p>
    <w:p w14:paraId="4C78E0E8" w14:textId="77777777" w:rsidR="00792322" w:rsidRPr="003015D7" w:rsidRDefault="00000000" w:rsidP="003015D7">
      <w:pPr>
        <w:pStyle w:val="Bibliography"/>
        <w:rPr>
          <w:rFonts w:ascii="Arial" w:hAnsi="Arial" w:cs="Arial"/>
          <w:sz w:val="22"/>
          <w:szCs w:val="22"/>
        </w:rPr>
      </w:pPr>
      <w:bookmarkStart w:id="20" w:name="ref-dong2010"/>
      <w:bookmarkEnd w:id="19"/>
      <w:r w:rsidRPr="003015D7">
        <w:rPr>
          <w:rFonts w:ascii="Arial" w:hAnsi="Arial" w:cs="Arial"/>
          <w:sz w:val="22"/>
          <w:szCs w:val="22"/>
        </w:rPr>
        <w:t xml:space="preserve">Dong, Jun-De, Yan-Ying Zhang, Si Zhang, You-Shao Wang, Zhi-Hao Yang, and Mei-Lin Wu. 2010. “Identification of Temporal and Spatial Variations of Water Quality in Sanya Bay, China by Three-Way Principal Component Analysis.” </w:t>
      </w:r>
      <w:r w:rsidRPr="003015D7">
        <w:rPr>
          <w:rFonts w:ascii="Arial" w:hAnsi="Arial" w:cs="Arial"/>
          <w:i/>
          <w:iCs/>
          <w:sz w:val="22"/>
          <w:szCs w:val="22"/>
        </w:rPr>
        <w:t>Environmental Earth Sciences</w:t>
      </w:r>
      <w:r w:rsidRPr="003015D7">
        <w:rPr>
          <w:rFonts w:ascii="Arial" w:hAnsi="Arial" w:cs="Arial"/>
          <w:sz w:val="22"/>
          <w:szCs w:val="22"/>
        </w:rPr>
        <w:t xml:space="preserve"> 60 (8): 1673–82. </w:t>
      </w:r>
      <w:hyperlink r:id="rId30">
        <w:r w:rsidRPr="003015D7">
          <w:rPr>
            <w:rStyle w:val="Hyperlink"/>
            <w:rFonts w:ascii="Arial" w:hAnsi="Arial" w:cs="Arial"/>
            <w:color w:val="auto"/>
            <w:sz w:val="22"/>
            <w:szCs w:val="22"/>
          </w:rPr>
          <w:t>https://doi.org/10.1007/s12665-009-0301-4</w:t>
        </w:r>
      </w:hyperlink>
      <w:r w:rsidRPr="003015D7">
        <w:rPr>
          <w:rFonts w:ascii="Arial" w:hAnsi="Arial" w:cs="Arial"/>
          <w:sz w:val="22"/>
          <w:szCs w:val="22"/>
        </w:rPr>
        <w:t>.</w:t>
      </w:r>
    </w:p>
    <w:p w14:paraId="545902B1" w14:textId="77777777" w:rsidR="00792322" w:rsidRPr="003015D7" w:rsidRDefault="00000000" w:rsidP="003015D7">
      <w:pPr>
        <w:pStyle w:val="Bibliography"/>
        <w:rPr>
          <w:rFonts w:ascii="Arial" w:hAnsi="Arial" w:cs="Arial"/>
          <w:sz w:val="22"/>
          <w:szCs w:val="22"/>
        </w:rPr>
      </w:pPr>
      <w:bookmarkStart w:id="21" w:name="ref-elarde2021"/>
      <w:bookmarkEnd w:id="20"/>
      <w:r w:rsidRPr="003015D7">
        <w:rPr>
          <w:rFonts w:ascii="Arial" w:hAnsi="Arial" w:cs="Arial"/>
          <w:sz w:val="22"/>
          <w:szCs w:val="22"/>
        </w:rPr>
        <w:t xml:space="preserve">Elarde, Justin, Joon-Seok Kim, Hamdi Kavak, Andreas Züfle, and Taylor Anderson. 2021. “Change of Human Mobility During COVID-19: A United States Case Study.” </w:t>
      </w:r>
      <w:r w:rsidRPr="003015D7">
        <w:rPr>
          <w:rFonts w:ascii="Arial" w:hAnsi="Arial" w:cs="Arial"/>
          <w:i/>
          <w:iCs/>
          <w:sz w:val="22"/>
          <w:szCs w:val="22"/>
        </w:rPr>
        <w:t>PLOS ONE</w:t>
      </w:r>
      <w:r w:rsidRPr="003015D7">
        <w:rPr>
          <w:rFonts w:ascii="Arial" w:hAnsi="Arial" w:cs="Arial"/>
          <w:sz w:val="22"/>
          <w:szCs w:val="22"/>
        </w:rPr>
        <w:t xml:space="preserve"> 16 (11): e0259031. </w:t>
      </w:r>
      <w:hyperlink r:id="rId31">
        <w:r w:rsidRPr="003015D7">
          <w:rPr>
            <w:rStyle w:val="Hyperlink"/>
            <w:rFonts w:ascii="Arial" w:hAnsi="Arial" w:cs="Arial"/>
            <w:color w:val="auto"/>
            <w:sz w:val="22"/>
            <w:szCs w:val="22"/>
          </w:rPr>
          <w:t>https://doi.org/10.1371/journal.pone.0259031</w:t>
        </w:r>
      </w:hyperlink>
      <w:r w:rsidRPr="003015D7">
        <w:rPr>
          <w:rFonts w:ascii="Arial" w:hAnsi="Arial" w:cs="Arial"/>
          <w:sz w:val="22"/>
          <w:szCs w:val="22"/>
        </w:rPr>
        <w:t>.</w:t>
      </w:r>
    </w:p>
    <w:p w14:paraId="75C9150B" w14:textId="77777777" w:rsidR="00792322" w:rsidRPr="003015D7" w:rsidRDefault="00000000" w:rsidP="003015D7">
      <w:pPr>
        <w:pStyle w:val="Bibliography"/>
        <w:rPr>
          <w:rFonts w:ascii="Arial" w:hAnsi="Arial" w:cs="Arial"/>
          <w:sz w:val="22"/>
          <w:szCs w:val="22"/>
        </w:rPr>
      </w:pPr>
      <w:bookmarkStart w:id="22" w:name="ref-explore"/>
      <w:bookmarkEnd w:id="21"/>
      <w:r w:rsidRPr="003015D7">
        <w:rPr>
          <w:rFonts w:ascii="Arial" w:hAnsi="Arial" w:cs="Arial"/>
          <w:sz w:val="22"/>
          <w:szCs w:val="22"/>
        </w:rPr>
        <w:t xml:space="preserve">“Explore Health Rankings | Rankings Data &amp; Documentation.” n.d. </w:t>
      </w:r>
      <w:hyperlink r:id="rId32">
        <w:r w:rsidRPr="003015D7">
          <w:rPr>
            <w:rStyle w:val="Hyperlink"/>
            <w:rFonts w:ascii="Arial" w:hAnsi="Arial" w:cs="Arial"/>
            <w:color w:val="auto"/>
            <w:sz w:val="22"/>
            <w:szCs w:val="22"/>
          </w:rPr>
          <w:t>https://www.countyhealthrankings.org/explore-health-rankings/rankings-data-documentation</w:t>
        </w:r>
      </w:hyperlink>
      <w:r w:rsidRPr="003015D7">
        <w:rPr>
          <w:rFonts w:ascii="Arial" w:hAnsi="Arial" w:cs="Arial"/>
          <w:sz w:val="22"/>
          <w:szCs w:val="22"/>
        </w:rPr>
        <w:t>.</w:t>
      </w:r>
    </w:p>
    <w:p w14:paraId="3E39318B" w14:textId="77777777" w:rsidR="00792322" w:rsidRPr="003015D7" w:rsidRDefault="00000000" w:rsidP="003015D7">
      <w:pPr>
        <w:pStyle w:val="Bibliography"/>
        <w:rPr>
          <w:rFonts w:ascii="Arial" w:hAnsi="Arial" w:cs="Arial"/>
          <w:sz w:val="22"/>
          <w:szCs w:val="22"/>
        </w:rPr>
      </w:pPr>
      <w:bookmarkStart w:id="23" w:name="ref-fanaee-t2016"/>
      <w:bookmarkEnd w:id="22"/>
      <w:r w:rsidRPr="003015D7">
        <w:rPr>
          <w:rFonts w:ascii="Arial" w:hAnsi="Arial" w:cs="Arial"/>
          <w:sz w:val="22"/>
          <w:szCs w:val="22"/>
        </w:rPr>
        <w:t xml:space="preserve">Fanaee-T, Hadi, and João Gama. 2016. “Tensor-Based Anomaly Detection: An Interdisciplinary Survey.” </w:t>
      </w:r>
      <w:r w:rsidRPr="003015D7">
        <w:rPr>
          <w:rFonts w:ascii="Arial" w:hAnsi="Arial" w:cs="Arial"/>
          <w:i/>
          <w:iCs/>
          <w:sz w:val="22"/>
          <w:szCs w:val="22"/>
        </w:rPr>
        <w:t>Knowledge-Based Systems</w:t>
      </w:r>
      <w:r w:rsidRPr="003015D7">
        <w:rPr>
          <w:rFonts w:ascii="Arial" w:hAnsi="Arial" w:cs="Arial"/>
          <w:sz w:val="22"/>
          <w:szCs w:val="22"/>
        </w:rPr>
        <w:t xml:space="preserve"> 98 (April): 130–47. </w:t>
      </w:r>
      <w:hyperlink r:id="rId33">
        <w:r w:rsidRPr="003015D7">
          <w:rPr>
            <w:rStyle w:val="Hyperlink"/>
            <w:rFonts w:ascii="Arial" w:hAnsi="Arial" w:cs="Arial"/>
            <w:color w:val="auto"/>
            <w:sz w:val="22"/>
            <w:szCs w:val="22"/>
          </w:rPr>
          <w:t>https://doi.org/10.1016/j.knosys.2016.01.027</w:t>
        </w:r>
      </w:hyperlink>
      <w:r w:rsidRPr="003015D7">
        <w:rPr>
          <w:rFonts w:ascii="Arial" w:hAnsi="Arial" w:cs="Arial"/>
          <w:sz w:val="22"/>
          <w:szCs w:val="22"/>
        </w:rPr>
        <w:t>.</w:t>
      </w:r>
    </w:p>
    <w:p w14:paraId="332E86BA" w14:textId="77777777" w:rsidR="00792322" w:rsidRPr="003015D7" w:rsidRDefault="00000000" w:rsidP="003015D7">
      <w:pPr>
        <w:pStyle w:val="Bibliography"/>
        <w:rPr>
          <w:rFonts w:ascii="Arial" w:hAnsi="Arial" w:cs="Arial"/>
          <w:sz w:val="22"/>
          <w:szCs w:val="22"/>
        </w:rPr>
      </w:pPr>
      <w:bookmarkStart w:id="24" w:name="ref-fielding-miller2020"/>
      <w:bookmarkEnd w:id="23"/>
      <w:r w:rsidRPr="003015D7">
        <w:rPr>
          <w:rFonts w:ascii="Arial" w:hAnsi="Arial" w:cs="Arial"/>
          <w:sz w:val="22"/>
          <w:szCs w:val="22"/>
        </w:rPr>
        <w:t xml:space="preserve">Fielding-Miller, Rebecca K., Maria E. Sundaram, and Kimberly Brouwer. 2020. “Social Determinants of COVID-19 Mortality at the County Level.” </w:t>
      </w:r>
      <w:r w:rsidRPr="003015D7">
        <w:rPr>
          <w:rFonts w:ascii="Arial" w:hAnsi="Arial" w:cs="Arial"/>
          <w:i/>
          <w:iCs/>
          <w:sz w:val="22"/>
          <w:szCs w:val="22"/>
        </w:rPr>
        <w:t>PLOS ONE</w:t>
      </w:r>
      <w:r w:rsidRPr="003015D7">
        <w:rPr>
          <w:rFonts w:ascii="Arial" w:hAnsi="Arial" w:cs="Arial"/>
          <w:sz w:val="22"/>
          <w:szCs w:val="22"/>
        </w:rPr>
        <w:t xml:space="preserve"> 15 (10): e0240151. </w:t>
      </w:r>
      <w:hyperlink r:id="rId34">
        <w:r w:rsidRPr="003015D7">
          <w:rPr>
            <w:rStyle w:val="Hyperlink"/>
            <w:rFonts w:ascii="Arial" w:hAnsi="Arial" w:cs="Arial"/>
            <w:color w:val="auto"/>
            <w:sz w:val="22"/>
            <w:szCs w:val="22"/>
          </w:rPr>
          <w:t>https://doi.org/10.1371/journal.pone.0240151</w:t>
        </w:r>
      </w:hyperlink>
      <w:r w:rsidRPr="003015D7">
        <w:rPr>
          <w:rFonts w:ascii="Arial" w:hAnsi="Arial" w:cs="Arial"/>
          <w:sz w:val="22"/>
          <w:szCs w:val="22"/>
        </w:rPr>
        <w:t>.</w:t>
      </w:r>
    </w:p>
    <w:p w14:paraId="1AF35042" w14:textId="77777777" w:rsidR="00792322" w:rsidRPr="003015D7" w:rsidRDefault="00000000" w:rsidP="003015D7">
      <w:pPr>
        <w:pStyle w:val="Bibliography"/>
        <w:rPr>
          <w:rFonts w:ascii="Arial" w:hAnsi="Arial" w:cs="Arial"/>
          <w:sz w:val="22"/>
          <w:szCs w:val="22"/>
        </w:rPr>
      </w:pPr>
      <w:bookmarkStart w:id="25" w:name="ref-greenland1989"/>
      <w:bookmarkEnd w:id="24"/>
      <w:r w:rsidRPr="003015D7">
        <w:rPr>
          <w:rFonts w:ascii="Arial" w:hAnsi="Arial" w:cs="Arial"/>
          <w:sz w:val="22"/>
          <w:szCs w:val="22"/>
        </w:rPr>
        <w:t xml:space="preserve">GREENLAND, SANDER, and HAL MORGENSTERN. 1989. “Ecological Bias, Confounding, and Effect Modification.” </w:t>
      </w:r>
      <w:r w:rsidRPr="003015D7">
        <w:rPr>
          <w:rFonts w:ascii="Arial" w:hAnsi="Arial" w:cs="Arial"/>
          <w:i/>
          <w:iCs/>
          <w:sz w:val="22"/>
          <w:szCs w:val="22"/>
        </w:rPr>
        <w:t>International Journal of Epidemiology</w:t>
      </w:r>
      <w:r w:rsidRPr="003015D7">
        <w:rPr>
          <w:rFonts w:ascii="Arial" w:hAnsi="Arial" w:cs="Arial"/>
          <w:sz w:val="22"/>
          <w:szCs w:val="22"/>
        </w:rPr>
        <w:t xml:space="preserve"> 18 (1): 269–74. </w:t>
      </w:r>
      <w:hyperlink r:id="rId35">
        <w:r w:rsidRPr="003015D7">
          <w:rPr>
            <w:rStyle w:val="Hyperlink"/>
            <w:rFonts w:ascii="Arial" w:hAnsi="Arial" w:cs="Arial"/>
            <w:color w:val="auto"/>
            <w:sz w:val="22"/>
            <w:szCs w:val="22"/>
          </w:rPr>
          <w:t>https://doi.org/10.1093/ije/18.1.269</w:t>
        </w:r>
      </w:hyperlink>
      <w:r w:rsidRPr="003015D7">
        <w:rPr>
          <w:rFonts w:ascii="Arial" w:hAnsi="Arial" w:cs="Arial"/>
          <w:sz w:val="22"/>
          <w:szCs w:val="22"/>
        </w:rPr>
        <w:t>.</w:t>
      </w:r>
    </w:p>
    <w:p w14:paraId="035AC0C8" w14:textId="77777777" w:rsidR="00792322" w:rsidRPr="003015D7" w:rsidRDefault="00000000" w:rsidP="003015D7">
      <w:pPr>
        <w:pStyle w:val="Bibliography"/>
        <w:rPr>
          <w:rFonts w:ascii="Arial" w:hAnsi="Arial" w:cs="Arial"/>
          <w:sz w:val="22"/>
          <w:szCs w:val="22"/>
        </w:rPr>
      </w:pPr>
      <w:bookmarkStart w:id="26" w:name="ref-greenwood1975"/>
      <w:bookmarkEnd w:id="25"/>
      <w:r w:rsidRPr="003015D7">
        <w:rPr>
          <w:rFonts w:ascii="Arial" w:hAnsi="Arial" w:cs="Arial"/>
          <w:sz w:val="22"/>
          <w:szCs w:val="22"/>
        </w:rPr>
        <w:t xml:space="preserve">Greenwood, Michael J. 1975. “Research on Internal Migration in the United States: A Survey.” </w:t>
      </w:r>
      <w:r w:rsidRPr="003015D7">
        <w:rPr>
          <w:rFonts w:ascii="Arial" w:hAnsi="Arial" w:cs="Arial"/>
          <w:i/>
          <w:iCs/>
          <w:sz w:val="22"/>
          <w:szCs w:val="22"/>
        </w:rPr>
        <w:t>Journal of Economic Literature</w:t>
      </w:r>
      <w:r w:rsidRPr="003015D7">
        <w:rPr>
          <w:rFonts w:ascii="Arial" w:hAnsi="Arial" w:cs="Arial"/>
          <w:sz w:val="22"/>
          <w:szCs w:val="22"/>
        </w:rPr>
        <w:t xml:space="preserve"> 13 (2): 397–433. </w:t>
      </w:r>
      <w:hyperlink r:id="rId36">
        <w:r w:rsidRPr="003015D7">
          <w:rPr>
            <w:rStyle w:val="Hyperlink"/>
            <w:rFonts w:ascii="Arial" w:hAnsi="Arial" w:cs="Arial"/>
            <w:color w:val="auto"/>
            <w:sz w:val="22"/>
            <w:szCs w:val="22"/>
          </w:rPr>
          <w:t>https://www.jstor.org/stable/2722115</w:t>
        </w:r>
      </w:hyperlink>
      <w:r w:rsidRPr="003015D7">
        <w:rPr>
          <w:rFonts w:ascii="Arial" w:hAnsi="Arial" w:cs="Arial"/>
          <w:sz w:val="22"/>
          <w:szCs w:val="22"/>
        </w:rPr>
        <w:t>.</w:t>
      </w:r>
    </w:p>
    <w:p w14:paraId="4BA2731A" w14:textId="77777777" w:rsidR="00792322" w:rsidRPr="003015D7" w:rsidRDefault="00000000" w:rsidP="003015D7">
      <w:pPr>
        <w:pStyle w:val="Bibliography"/>
        <w:rPr>
          <w:rFonts w:ascii="Arial" w:hAnsi="Arial" w:cs="Arial"/>
          <w:sz w:val="22"/>
          <w:szCs w:val="22"/>
        </w:rPr>
      </w:pPr>
      <w:bookmarkStart w:id="27" w:name="ref-grembowski2002"/>
      <w:bookmarkEnd w:id="26"/>
      <w:r w:rsidRPr="003015D7">
        <w:rPr>
          <w:rFonts w:ascii="Arial" w:hAnsi="Arial" w:cs="Arial"/>
          <w:sz w:val="22"/>
          <w:szCs w:val="22"/>
        </w:rPr>
        <w:t xml:space="preserve">Grembowski, David E., Diane Martin, Donald L. Patrick, Paula Diehr, Wayne Katon, Barbara Williams, Ruth Engelberg, et al. 2002. “Managed Care, Access to Mental Health Specialists, and Outcomes Among Primary Care Patients with Depressive Symptoms.” </w:t>
      </w:r>
      <w:r w:rsidRPr="003015D7">
        <w:rPr>
          <w:rFonts w:ascii="Arial" w:hAnsi="Arial" w:cs="Arial"/>
          <w:i/>
          <w:iCs/>
          <w:sz w:val="22"/>
          <w:szCs w:val="22"/>
        </w:rPr>
        <w:t>Journal of General Internal Medicine</w:t>
      </w:r>
      <w:r w:rsidRPr="003015D7">
        <w:rPr>
          <w:rFonts w:ascii="Arial" w:hAnsi="Arial" w:cs="Arial"/>
          <w:sz w:val="22"/>
          <w:szCs w:val="22"/>
        </w:rPr>
        <w:t xml:space="preserve"> 17 (4): 258–69. </w:t>
      </w:r>
      <w:hyperlink r:id="rId37">
        <w:r w:rsidRPr="003015D7">
          <w:rPr>
            <w:rStyle w:val="Hyperlink"/>
            <w:rFonts w:ascii="Arial" w:hAnsi="Arial" w:cs="Arial"/>
            <w:color w:val="auto"/>
            <w:sz w:val="22"/>
            <w:szCs w:val="22"/>
          </w:rPr>
          <w:t>https://doi.org/10.1046/j.1525-1497.2002.10321.x</w:t>
        </w:r>
      </w:hyperlink>
      <w:r w:rsidRPr="003015D7">
        <w:rPr>
          <w:rFonts w:ascii="Arial" w:hAnsi="Arial" w:cs="Arial"/>
          <w:sz w:val="22"/>
          <w:szCs w:val="22"/>
        </w:rPr>
        <w:t>.</w:t>
      </w:r>
    </w:p>
    <w:p w14:paraId="322679FF" w14:textId="77777777" w:rsidR="00792322" w:rsidRPr="003015D7" w:rsidRDefault="00000000" w:rsidP="003015D7">
      <w:pPr>
        <w:pStyle w:val="Bibliography"/>
        <w:rPr>
          <w:rFonts w:ascii="Arial" w:hAnsi="Arial" w:cs="Arial"/>
          <w:sz w:val="22"/>
          <w:szCs w:val="22"/>
        </w:rPr>
      </w:pPr>
      <w:bookmarkStart w:id="28" w:name="ref-gushulak2006"/>
      <w:bookmarkEnd w:id="27"/>
      <w:r w:rsidRPr="003015D7">
        <w:rPr>
          <w:rFonts w:ascii="Arial" w:hAnsi="Arial" w:cs="Arial"/>
          <w:sz w:val="22"/>
          <w:szCs w:val="22"/>
        </w:rPr>
        <w:t xml:space="preserve">Gushulak, Brian D., and Douglas W. MacPherson. 2006. “The Basic Principles of Migration Health: Population Mobility and Gaps in Disease Prevalence.” </w:t>
      </w:r>
      <w:r w:rsidRPr="003015D7">
        <w:rPr>
          <w:rFonts w:ascii="Arial" w:hAnsi="Arial" w:cs="Arial"/>
          <w:i/>
          <w:iCs/>
          <w:sz w:val="22"/>
          <w:szCs w:val="22"/>
        </w:rPr>
        <w:t>Emerging Themes in Epidemiology</w:t>
      </w:r>
      <w:r w:rsidRPr="003015D7">
        <w:rPr>
          <w:rFonts w:ascii="Arial" w:hAnsi="Arial" w:cs="Arial"/>
          <w:sz w:val="22"/>
          <w:szCs w:val="22"/>
        </w:rPr>
        <w:t xml:space="preserve"> 3 (1): 1–11. </w:t>
      </w:r>
      <w:hyperlink r:id="rId38">
        <w:r w:rsidRPr="003015D7">
          <w:rPr>
            <w:rStyle w:val="Hyperlink"/>
            <w:rFonts w:ascii="Arial" w:hAnsi="Arial" w:cs="Arial"/>
            <w:color w:val="auto"/>
            <w:sz w:val="22"/>
            <w:szCs w:val="22"/>
          </w:rPr>
          <w:t>https://doi.org/10.1186/1742-7622-3-3</w:t>
        </w:r>
      </w:hyperlink>
      <w:r w:rsidRPr="003015D7">
        <w:rPr>
          <w:rFonts w:ascii="Arial" w:hAnsi="Arial" w:cs="Arial"/>
          <w:sz w:val="22"/>
          <w:szCs w:val="22"/>
        </w:rPr>
        <w:t>.</w:t>
      </w:r>
    </w:p>
    <w:p w14:paraId="09230568" w14:textId="77777777" w:rsidR="00792322" w:rsidRPr="003015D7" w:rsidRDefault="00000000" w:rsidP="003015D7">
      <w:pPr>
        <w:pStyle w:val="Bibliography"/>
        <w:rPr>
          <w:rFonts w:ascii="Arial" w:hAnsi="Arial" w:cs="Arial"/>
          <w:sz w:val="22"/>
          <w:szCs w:val="22"/>
        </w:rPr>
      </w:pPr>
      <w:bookmarkStart w:id="29" w:name="ref-ha2017"/>
      <w:bookmarkEnd w:id="28"/>
      <w:r w:rsidRPr="003015D7">
        <w:rPr>
          <w:rFonts w:ascii="Arial" w:hAnsi="Arial" w:cs="Arial"/>
          <w:sz w:val="22"/>
          <w:szCs w:val="22"/>
        </w:rPr>
        <w:t xml:space="preserve">Ha, Hoehun. 2017. “Geographic Variation in Mentally Unhealthy Days: Air Pollution and Altitude Perspectives.” </w:t>
      </w:r>
      <w:r w:rsidRPr="003015D7">
        <w:rPr>
          <w:rFonts w:ascii="Arial" w:hAnsi="Arial" w:cs="Arial"/>
          <w:i/>
          <w:iCs/>
          <w:sz w:val="22"/>
          <w:szCs w:val="22"/>
        </w:rPr>
        <w:t>High Altitude Medicine &amp; Biology</w:t>
      </w:r>
      <w:r w:rsidRPr="003015D7">
        <w:rPr>
          <w:rFonts w:ascii="Arial" w:hAnsi="Arial" w:cs="Arial"/>
          <w:sz w:val="22"/>
          <w:szCs w:val="22"/>
        </w:rPr>
        <w:t xml:space="preserve"> 18 (3): 258–66. </w:t>
      </w:r>
      <w:hyperlink r:id="rId39">
        <w:r w:rsidRPr="003015D7">
          <w:rPr>
            <w:rStyle w:val="Hyperlink"/>
            <w:rFonts w:ascii="Arial" w:hAnsi="Arial" w:cs="Arial"/>
            <w:color w:val="auto"/>
            <w:sz w:val="22"/>
            <w:szCs w:val="22"/>
          </w:rPr>
          <w:t>https://doi.org/10.1089/ham.2016.0137</w:t>
        </w:r>
      </w:hyperlink>
      <w:r w:rsidRPr="003015D7">
        <w:rPr>
          <w:rFonts w:ascii="Arial" w:hAnsi="Arial" w:cs="Arial"/>
          <w:sz w:val="22"/>
          <w:szCs w:val="22"/>
        </w:rPr>
        <w:t>.</w:t>
      </w:r>
    </w:p>
    <w:p w14:paraId="1F930B20" w14:textId="77777777" w:rsidR="00792322" w:rsidRPr="003015D7" w:rsidRDefault="00000000" w:rsidP="003015D7">
      <w:pPr>
        <w:pStyle w:val="Bibliography"/>
        <w:rPr>
          <w:rFonts w:ascii="Arial" w:hAnsi="Arial" w:cs="Arial"/>
          <w:sz w:val="22"/>
          <w:szCs w:val="22"/>
        </w:rPr>
      </w:pPr>
      <w:bookmarkStart w:id="30" w:name="ref-ha2019"/>
      <w:bookmarkEnd w:id="29"/>
      <w:r w:rsidRPr="003015D7">
        <w:rPr>
          <w:rFonts w:ascii="Arial" w:hAnsi="Arial" w:cs="Arial"/>
          <w:sz w:val="22"/>
          <w:szCs w:val="22"/>
        </w:rPr>
        <w:t xml:space="preserve">Ha, Hoehun, and Wanyun Shao. 2019. “A Spatial Epidemiology Case Study of Mentally Unhealthy Days (MUDs): Air Pollution, Community Resilience, and Sunlight Perspectives.” </w:t>
      </w:r>
      <w:r w:rsidRPr="003015D7">
        <w:rPr>
          <w:rFonts w:ascii="Arial" w:hAnsi="Arial" w:cs="Arial"/>
          <w:i/>
          <w:iCs/>
          <w:sz w:val="22"/>
          <w:szCs w:val="22"/>
        </w:rPr>
        <w:t>International Journal of Environmental Health Research</w:t>
      </w:r>
      <w:r w:rsidRPr="003015D7">
        <w:rPr>
          <w:rFonts w:ascii="Arial" w:hAnsi="Arial" w:cs="Arial"/>
          <w:sz w:val="22"/>
          <w:szCs w:val="22"/>
        </w:rPr>
        <w:t xml:space="preserve"> 0 (0): 1–16. </w:t>
      </w:r>
      <w:hyperlink r:id="rId40">
        <w:r w:rsidRPr="003015D7">
          <w:rPr>
            <w:rStyle w:val="Hyperlink"/>
            <w:rFonts w:ascii="Arial" w:hAnsi="Arial" w:cs="Arial"/>
            <w:color w:val="auto"/>
            <w:sz w:val="22"/>
            <w:szCs w:val="22"/>
          </w:rPr>
          <w:t>https://doi.org/10.1080/09603123.2019.1669768</w:t>
        </w:r>
      </w:hyperlink>
      <w:r w:rsidRPr="003015D7">
        <w:rPr>
          <w:rFonts w:ascii="Arial" w:hAnsi="Arial" w:cs="Arial"/>
          <w:sz w:val="22"/>
          <w:szCs w:val="22"/>
        </w:rPr>
        <w:t>.</w:t>
      </w:r>
    </w:p>
    <w:p w14:paraId="671E81C5" w14:textId="77777777" w:rsidR="00792322" w:rsidRPr="003015D7" w:rsidRDefault="00000000" w:rsidP="003015D7">
      <w:pPr>
        <w:pStyle w:val="Bibliography"/>
        <w:rPr>
          <w:rFonts w:ascii="Arial" w:hAnsi="Arial" w:cs="Arial"/>
          <w:sz w:val="22"/>
          <w:szCs w:val="22"/>
        </w:rPr>
      </w:pPr>
      <w:bookmarkStart w:id="31" w:name="ref-dehaas2021"/>
      <w:bookmarkEnd w:id="30"/>
      <w:r w:rsidRPr="003015D7">
        <w:rPr>
          <w:rFonts w:ascii="Arial" w:hAnsi="Arial" w:cs="Arial"/>
          <w:sz w:val="22"/>
          <w:szCs w:val="22"/>
        </w:rPr>
        <w:t xml:space="preserve">Haas, H. de. 2021. “Migration System Formation and Decline: A Theoretical Inquiry into the Self-Perpetuating and Self-Undermining Dynamics of Migration Processes.” </w:t>
      </w:r>
      <w:hyperlink r:id="rId41">
        <w:r w:rsidRPr="003015D7">
          <w:rPr>
            <w:rStyle w:val="Hyperlink"/>
            <w:rFonts w:ascii="Arial" w:hAnsi="Arial" w:cs="Arial"/>
            <w:color w:val="auto"/>
            <w:sz w:val="22"/>
            <w:szCs w:val="22"/>
          </w:rPr>
          <w:t>https://ora.ox.ac.uk/objects/uuid:94db8a0c-f78b-4fd2-b40f-1aa43d5a3b60</w:t>
        </w:r>
      </w:hyperlink>
      <w:r w:rsidRPr="003015D7">
        <w:rPr>
          <w:rFonts w:ascii="Arial" w:hAnsi="Arial" w:cs="Arial"/>
          <w:sz w:val="22"/>
          <w:szCs w:val="22"/>
        </w:rPr>
        <w:t>.</w:t>
      </w:r>
    </w:p>
    <w:p w14:paraId="186556C8" w14:textId="77777777" w:rsidR="00792322" w:rsidRPr="003015D7" w:rsidRDefault="00000000" w:rsidP="003015D7">
      <w:pPr>
        <w:pStyle w:val="Bibliography"/>
        <w:rPr>
          <w:rFonts w:ascii="Arial" w:hAnsi="Arial" w:cs="Arial"/>
          <w:sz w:val="22"/>
          <w:szCs w:val="22"/>
        </w:rPr>
      </w:pPr>
      <w:bookmarkStart w:id="32" w:name="ref-dehaas2010"/>
      <w:bookmarkEnd w:id="31"/>
      <w:r w:rsidRPr="003015D7">
        <w:rPr>
          <w:rFonts w:ascii="Arial" w:hAnsi="Arial" w:cs="Arial"/>
          <w:sz w:val="22"/>
          <w:szCs w:val="22"/>
        </w:rPr>
        <w:t xml:space="preserve">Haas, Hein de. 2010a. “The Internal Dynamics of Migration Processes: A Theoretical Inquiry.” </w:t>
      </w:r>
      <w:r w:rsidRPr="003015D7">
        <w:rPr>
          <w:rFonts w:ascii="Arial" w:hAnsi="Arial" w:cs="Arial"/>
          <w:i/>
          <w:iCs/>
          <w:sz w:val="22"/>
          <w:szCs w:val="22"/>
        </w:rPr>
        <w:t>Journal of Ethnic and Migration Studies</w:t>
      </w:r>
      <w:r w:rsidRPr="003015D7">
        <w:rPr>
          <w:rFonts w:ascii="Arial" w:hAnsi="Arial" w:cs="Arial"/>
          <w:sz w:val="22"/>
          <w:szCs w:val="22"/>
        </w:rPr>
        <w:t xml:space="preserve"> 36 (10): 1587–617. </w:t>
      </w:r>
      <w:hyperlink r:id="rId42">
        <w:r w:rsidRPr="003015D7">
          <w:rPr>
            <w:rStyle w:val="Hyperlink"/>
            <w:rFonts w:ascii="Arial" w:hAnsi="Arial" w:cs="Arial"/>
            <w:color w:val="auto"/>
            <w:sz w:val="22"/>
            <w:szCs w:val="22"/>
          </w:rPr>
          <w:t>https://doi.org/10.1080/1369183X.2010.489361</w:t>
        </w:r>
      </w:hyperlink>
      <w:r w:rsidRPr="003015D7">
        <w:rPr>
          <w:rFonts w:ascii="Arial" w:hAnsi="Arial" w:cs="Arial"/>
          <w:sz w:val="22"/>
          <w:szCs w:val="22"/>
        </w:rPr>
        <w:t>.</w:t>
      </w:r>
    </w:p>
    <w:p w14:paraId="75535C0A" w14:textId="77777777" w:rsidR="00792322" w:rsidRPr="003015D7" w:rsidRDefault="00000000" w:rsidP="003015D7">
      <w:pPr>
        <w:pStyle w:val="Bibliography"/>
        <w:rPr>
          <w:rFonts w:ascii="Arial" w:hAnsi="Arial" w:cs="Arial"/>
          <w:sz w:val="22"/>
          <w:szCs w:val="22"/>
        </w:rPr>
      </w:pPr>
      <w:bookmarkStart w:id="33" w:name="ref-halliday2008"/>
      <w:bookmarkEnd w:id="32"/>
      <w:r w:rsidRPr="003015D7">
        <w:rPr>
          <w:rFonts w:ascii="Arial" w:hAnsi="Arial" w:cs="Arial"/>
          <w:sz w:val="22"/>
          <w:szCs w:val="22"/>
        </w:rPr>
        <w:lastRenderedPageBreak/>
        <w:t xml:space="preserve">Halliday, Timothy J., and Michael C. Kimmitt. 2008. “Selective Migration and Health in the USA, 198493.” </w:t>
      </w:r>
      <w:r w:rsidRPr="003015D7">
        <w:rPr>
          <w:rFonts w:ascii="Arial" w:hAnsi="Arial" w:cs="Arial"/>
          <w:i/>
          <w:iCs/>
          <w:sz w:val="22"/>
          <w:szCs w:val="22"/>
        </w:rPr>
        <w:t>Population Studies</w:t>
      </w:r>
      <w:r w:rsidRPr="003015D7">
        <w:rPr>
          <w:rFonts w:ascii="Arial" w:hAnsi="Arial" w:cs="Arial"/>
          <w:sz w:val="22"/>
          <w:szCs w:val="22"/>
        </w:rPr>
        <w:t xml:space="preserve"> 62 (3): 321–34. </w:t>
      </w:r>
      <w:hyperlink r:id="rId43">
        <w:r w:rsidRPr="003015D7">
          <w:rPr>
            <w:rStyle w:val="Hyperlink"/>
            <w:rFonts w:ascii="Arial" w:hAnsi="Arial" w:cs="Arial"/>
            <w:color w:val="auto"/>
            <w:sz w:val="22"/>
            <w:szCs w:val="22"/>
          </w:rPr>
          <w:t>https://doi.org/10.1080/00324720802339806</w:t>
        </w:r>
      </w:hyperlink>
      <w:r w:rsidRPr="003015D7">
        <w:rPr>
          <w:rFonts w:ascii="Arial" w:hAnsi="Arial" w:cs="Arial"/>
          <w:sz w:val="22"/>
          <w:szCs w:val="22"/>
        </w:rPr>
        <w:t>.</w:t>
      </w:r>
    </w:p>
    <w:p w14:paraId="19FEF103" w14:textId="77777777" w:rsidR="00792322" w:rsidRPr="003015D7" w:rsidRDefault="00000000" w:rsidP="003015D7">
      <w:pPr>
        <w:pStyle w:val="Bibliography"/>
        <w:rPr>
          <w:rFonts w:ascii="Arial" w:hAnsi="Arial" w:cs="Arial"/>
          <w:sz w:val="22"/>
          <w:szCs w:val="22"/>
        </w:rPr>
      </w:pPr>
      <w:bookmarkStart w:id="34" w:name="ref-hauer2017"/>
      <w:bookmarkEnd w:id="33"/>
      <w:r w:rsidRPr="003015D7">
        <w:rPr>
          <w:rFonts w:ascii="Arial" w:hAnsi="Arial" w:cs="Arial"/>
          <w:sz w:val="22"/>
          <w:szCs w:val="22"/>
        </w:rPr>
        <w:t xml:space="preserve">Hauer, Mathew E. 2017. “Migration Induced by Sea-Level Rise Could Reshape the US Population Landscape.” </w:t>
      </w:r>
      <w:r w:rsidRPr="003015D7">
        <w:rPr>
          <w:rFonts w:ascii="Arial" w:hAnsi="Arial" w:cs="Arial"/>
          <w:i/>
          <w:iCs/>
          <w:sz w:val="22"/>
          <w:szCs w:val="22"/>
        </w:rPr>
        <w:t>Nature Climate Change</w:t>
      </w:r>
      <w:r w:rsidRPr="003015D7">
        <w:rPr>
          <w:rFonts w:ascii="Arial" w:hAnsi="Arial" w:cs="Arial"/>
          <w:sz w:val="22"/>
          <w:szCs w:val="22"/>
        </w:rPr>
        <w:t xml:space="preserve"> 7 (5): 321–25. </w:t>
      </w:r>
      <w:hyperlink r:id="rId44">
        <w:r w:rsidRPr="003015D7">
          <w:rPr>
            <w:rStyle w:val="Hyperlink"/>
            <w:rFonts w:ascii="Arial" w:hAnsi="Arial" w:cs="Arial"/>
            <w:color w:val="auto"/>
            <w:sz w:val="22"/>
            <w:szCs w:val="22"/>
          </w:rPr>
          <w:t>https://doi.org/10.1038/nclimate3271</w:t>
        </w:r>
      </w:hyperlink>
      <w:r w:rsidRPr="003015D7">
        <w:rPr>
          <w:rFonts w:ascii="Arial" w:hAnsi="Arial" w:cs="Arial"/>
          <w:sz w:val="22"/>
          <w:szCs w:val="22"/>
        </w:rPr>
        <w:t>.</w:t>
      </w:r>
    </w:p>
    <w:p w14:paraId="6470B091" w14:textId="77777777" w:rsidR="00792322" w:rsidRPr="003015D7" w:rsidRDefault="00000000" w:rsidP="003015D7">
      <w:pPr>
        <w:pStyle w:val="Bibliography"/>
        <w:rPr>
          <w:rFonts w:ascii="Arial" w:hAnsi="Arial" w:cs="Arial"/>
          <w:sz w:val="22"/>
          <w:szCs w:val="22"/>
        </w:rPr>
      </w:pPr>
      <w:bookmarkStart w:id="35" w:name="ref-hughes1998"/>
      <w:bookmarkEnd w:id="34"/>
      <w:r w:rsidRPr="003015D7">
        <w:rPr>
          <w:rFonts w:ascii="Arial" w:hAnsi="Arial" w:cs="Arial"/>
          <w:sz w:val="22"/>
          <w:szCs w:val="22"/>
        </w:rPr>
        <w:t xml:space="preserve">Hughes, Michael, and Melvin E. Thomas. 1998. “The Continuing Significance of Race Revisited: A Study of Race, Class, and Quality of Life in America, 1972 to 1996.” </w:t>
      </w:r>
      <w:r w:rsidRPr="003015D7">
        <w:rPr>
          <w:rFonts w:ascii="Arial" w:hAnsi="Arial" w:cs="Arial"/>
          <w:i/>
          <w:iCs/>
          <w:sz w:val="22"/>
          <w:szCs w:val="22"/>
        </w:rPr>
        <w:t>American Sociological Review</w:t>
      </w:r>
      <w:r w:rsidRPr="003015D7">
        <w:rPr>
          <w:rFonts w:ascii="Arial" w:hAnsi="Arial" w:cs="Arial"/>
          <w:sz w:val="22"/>
          <w:szCs w:val="22"/>
        </w:rPr>
        <w:t xml:space="preserve"> 63 (6): 785–95. </w:t>
      </w:r>
      <w:hyperlink r:id="rId45">
        <w:r w:rsidRPr="003015D7">
          <w:rPr>
            <w:rStyle w:val="Hyperlink"/>
            <w:rFonts w:ascii="Arial" w:hAnsi="Arial" w:cs="Arial"/>
            <w:color w:val="auto"/>
            <w:sz w:val="22"/>
            <w:szCs w:val="22"/>
          </w:rPr>
          <w:t>https://doi.org/10.2307/2657501</w:t>
        </w:r>
      </w:hyperlink>
      <w:r w:rsidRPr="003015D7">
        <w:rPr>
          <w:rFonts w:ascii="Arial" w:hAnsi="Arial" w:cs="Arial"/>
          <w:sz w:val="22"/>
          <w:szCs w:val="22"/>
        </w:rPr>
        <w:t>.</w:t>
      </w:r>
    </w:p>
    <w:p w14:paraId="52329885" w14:textId="77777777" w:rsidR="00792322" w:rsidRPr="003015D7" w:rsidRDefault="00000000" w:rsidP="003015D7">
      <w:pPr>
        <w:pStyle w:val="Bibliography"/>
        <w:rPr>
          <w:rFonts w:ascii="Arial" w:hAnsi="Arial" w:cs="Arial"/>
          <w:sz w:val="22"/>
          <w:szCs w:val="22"/>
        </w:rPr>
      </w:pPr>
      <w:bookmarkStart w:id="36" w:name="ref-imai2010"/>
      <w:bookmarkEnd w:id="35"/>
      <w:r w:rsidRPr="003015D7">
        <w:rPr>
          <w:rFonts w:ascii="Arial" w:hAnsi="Arial" w:cs="Arial"/>
          <w:sz w:val="22"/>
          <w:szCs w:val="22"/>
        </w:rPr>
        <w:t xml:space="preserve">Imai, Kosuke, Luke Keele, and Dustin Tingley. 2010. “A General Approach to Causal Mediation Analysis.” </w:t>
      </w:r>
      <w:r w:rsidRPr="003015D7">
        <w:rPr>
          <w:rFonts w:ascii="Arial" w:hAnsi="Arial" w:cs="Arial"/>
          <w:i/>
          <w:iCs/>
          <w:sz w:val="22"/>
          <w:szCs w:val="22"/>
        </w:rPr>
        <w:t>Psychological Methods</w:t>
      </w:r>
      <w:r w:rsidRPr="003015D7">
        <w:rPr>
          <w:rFonts w:ascii="Arial" w:hAnsi="Arial" w:cs="Arial"/>
          <w:sz w:val="22"/>
          <w:szCs w:val="22"/>
        </w:rPr>
        <w:t xml:space="preserve"> 15 (4): 309–34. </w:t>
      </w:r>
      <w:hyperlink r:id="rId46">
        <w:r w:rsidRPr="003015D7">
          <w:rPr>
            <w:rStyle w:val="Hyperlink"/>
            <w:rFonts w:ascii="Arial" w:hAnsi="Arial" w:cs="Arial"/>
            <w:color w:val="auto"/>
            <w:sz w:val="22"/>
            <w:szCs w:val="22"/>
          </w:rPr>
          <w:t>https://doi.org/10.1037/a0020761</w:t>
        </w:r>
      </w:hyperlink>
      <w:r w:rsidRPr="003015D7">
        <w:rPr>
          <w:rFonts w:ascii="Arial" w:hAnsi="Arial" w:cs="Arial"/>
          <w:sz w:val="22"/>
          <w:szCs w:val="22"/>
        </w:rPr>
        <w:t>.</w:t>
      </w:r>
    </w:p>
    <w:p w14:paraId="7A120B17" w14:textId="77777777" w:rsidR="00792322" w:rsidRPr="003015D7" w:rsidRDefault="00000000" w:rsidP="003015D7">
      <w:pPr>
        <w:pStyle w:val="Bibliography"/>
        <w:rPr>
          <w:rFonts w:ascii="Arial" w:hAnsi="Arial" w:cs="Arial"/>
          <w:sz w:val="22"/>
          <w:szCs w:val="22"/>
        </w:rPr>
      </w:pPr>
      <w:bookmarkStart w:id="37" w:name="ref-jylhä2009"/>
      <w:bookmarkEnd w:id="36"/>
      <w:r w:rsidRPr="003015D7">
        <w:rPr>
          <w:rFonts w:ascii="Arial" w:hAnsi="Arial" w:cs="Arial"/>
          <w:sz w:val="22"/>
          <w:szCs w:val="22"/>
        </w:rPr>
        <w:t xml:space="preserve">Jylhä, Marja. 2009. “What Is Self-Rated Health and Why Does It Predict Mortality? Towards a Unified Conceptual Model.” </w:t>
      </w:r>
      <w:r w:rsidRPr="003015D7">
        <w:rPr>
          <w:rFonts w:ascii="Arial" w:hAnsi="Arial" w:cs="Arial"/>
          <w:i/>
          <w:iCs/>
          <w:sz w:val="22"/>
          <w:szCs w:val="22"/>
        </w:rPr>
        <w:t>Social Science &amp; Medicine</w:t>
      </w:r>
      <w:r w:rsidRPr="003015D7">
        <w:rPr>
          <w:rFonts w:ascii="Arial" w:hAnsi="Arial" w:cs="Arial"/>
          <w:sz w:val="22"/>
          <w:szCs w:val="22"/>
        </w:rPr>
        <w:t xml:space="preserve"> 69 (3): 307–16. </w:t>
      </w:r>
      <w:hyperlink r:id="rId47">
        <w:r w:rsidRPr="003015D7">
          <w:rPr>
            <w:rStyle w:val="Hyperlink"/>
            <w:rFonts w:ascii="Arial" w:hAnsi="Arial" w:cs="Arial"/>
            <w:color w:val="auto"/>
            <w:sz w:val="22"/>
            <w:szCs w:val="22"/>
          </w:rPr>
          <w:t>https://doi.org/10.1016/j.socscimed.2009.05.013</w:t>
        </w:r>
      </w:hyperlink>
      <w:r w:rsidRPr="003015D7">
        <w:rPr>
          <w:rFonts w:ascii="Arial" w:hAnsi="Arial" w:cs="Arial"/>
          <w:sz w:val="22"/>
          <w:szCs w:val="22"/>
        </w:rPr>
        <w:t>.</w:t>
      </w:r>
    </w:p>
    <w:p w14:paraId="21407D53" w14:textId="77777777" w:rsidR="00792322" w:rsidRPr="003015D7" w:rsidRDefault="00000000" w:rsidP="003015D7">
      <w:pPr>
        <w:pStyle w:val="Bibliography"/>
        <w:rPr>
          <w:rFonts w:ascii="Arial" w:hAnsi="Arial" w:cs="Arial"/>
          <w:sz w:val="22"/>
          <w:szCs w:val="22"/>
        </w:rPr>
      </w:pPr>
      <w:bookmarkStart w:id="38" w:name="ref-kindig2017"/>
      <w:bookmarkEnd w:id="37"/>
      <w:r w:rsidRPr="003015D7">
        <w:rPr>
          <w:rFonts w:ascii="Arial" w:hAnsi="Arial" w:cs="Arial"/>
          <w:sz w:val="22"/>
          <w:szCs w:val="22"/>
        </w:rPr>
        <w:t xml:space="preserve">Kindig, David. 2017. “Population Health Equity: Rate and Burden, Race and Class.” </w:t>
      </w:r>
      <w:r w:rsidRPr="003015D7">
        <w:rPr>
          <w:rFonts w:ascii="Arial" w:hAnsi="Arial" w:cs="Arial"/>
          <w:i/>
          <w:iCs/>
          <w:sz w:val="22"/>
          <w:szCs w:val="22"/>
        </w:rPr>
        <w:t>JAMA</w:t>
      </w:r>
      <w:r w:rsidRPr="003015D7">
        <w:rPr>
          <w:rFonts w:ascii="Arial" w:hAnsi="Arial" w:cs="Arial"/>
          <w:sz w:val="22"/>
          <w:szCs w:val="22"/>
        </w:rPr>
        <w:t xml:space="preserve"> 317 (5): 467–68. </w:t>
      </w:r>
      <w:hyperlink r:id="rId48">
        <w:r w:rsidRPr="003015D7">
          <w:rPr>
            <w:rStyle w:val="Hyperlink"/>
            <w:rFonts w:ascii="Arial" w:hAnsi="Arial" w:cs="Arial"/>
            <w:color w:val="auto"/>
            <w:sz w:val="22"/>
            <w:szCs w:val="22"/>
          </w:rPr>
          <w:t>https://doi.org/10.1001/jama.2016.19435</w:t>
        </w:r>
      </w:hyperlink>
      <w:r w:rsidRPr="003015D7">
        <w:rPr>
          <w:rFonts w:ascii="Arial" w:hAnsi="Arial" w:cs="Arial"/>
          <w:sz w:val="22"/>
          <w:szCs w:val="22"/>
        </w:rPr>
        <w:t>.</w:t>
      </w:r>
    </w:p>
    <w:p w14:paraId="42149851" w14:textId="77777777" w:rsidR="00792322" w:rsidRPr="003015D7" w:rsidRDefault="00000000" w:rsidP="003015D7">
      <w:pPr>
        <w:pStyle w:val="Bibliography"/>
        <w:rPr>
          <w:rFonts w:ascii="Arial" w:hAnsi="Arial" w:cs="Arial"/>
          <w:sz w:val="22"/>
          <w:szCs w:val="22"/>
        </w:rPr>
      </w:pPr>
      <w:bookmarkStart w:id="39" w:name="ref-kolda2008"/>
      <w:bookmarkEnd w:id="38"/>
      <w:r w:rsidRPr="003015D7">
        <w:rPr>
          <w:rFonts w:ascii="Arial" w:hAnsi="Arial" w:cs="Arial"/>
          <w:sz w:val="22"/>
          <w:szCs w:val="22"/>
        </w:rPr>
        <w:t>Kolda, Tamara G., and Brett W. Bader. 2008. “Tensor Decompositions and Applications.”</w:t>
      </w:r>
    </w:p>
    <w:p w14:paraId="2B2439FD" w14:textId="77777777" w:rsidR="00792322" w:rsidRPr="003015D7" w:rsidRDefault="00000000" w:rsidP="003015D7">
      <w:pPr>
        <w:pStyle w:val="Bibliography"/>
        <w:rPr>
          <w:rFonts w:ascii="Arial" w:hAnsi="Arial" w:cs="Arial"/>
          <w:sz w:val="22"/>
          <w:szCs w:val="22"/>
        </w:rPr>
      </w:pPr>
      <w:bookmarkStart w:id="40" w:name="ref-kuha2004"/>
      <w:bookmarkEnd w:id="39"/>
      <w:r w:rsidRPr="003015D7">
        <w:rPr>
          <w:rFonts w:ascii="Arial" w:hAnsi="Arial" w:cs="Arial"/>
          <w:sz w:val="22"/>
          <w:szCs w:val="22"/>
        </w:rPr>
        <w:t xml:space="preserve">Kuha, Jouni. 2004. “AIC and BIC: Comparisons of Assumptions and Performance.” </w:t>
      </w:r>
      <w:r w:rsidRPr="003015D7">
        <w:rPr>
          <w:rFonts w:ascii="Arial" w:hAnsi="Arial" w:cs="Arial"/>
          <w:i/>
          <w:iCs/>
          <w:sz w:val="22"/>
          <w:szCs w:val="22"/>
        </w:rPr>
        <w:t>Sociological Methods &amp; Research</w:t>
      </w:r>
      <w:r w:rsidRPr="003015D7">
        <w:rPr>
          <w:rFonts w:ascii="Arial" w:hAnsi="Arial" w:cs="Arial"/>
          <w:sz w:val="22"/>
          <w:szCs w:val="22"/>
        </w:rPr>
        <w:t xml:space="preserve"> 33 (2): 188–229. </w:t>
      </w:r>
      <w:hyperlink r:id="rId49">
        <w:r w:rsidRPr="003015D7">
          <w:rPr>
            <w:rStyle w:val="Hyperlink"/>
            <w:rFonts w:ascii="Arial" w:hAnsi="Arial" w:cs="Arial"/>
            <w:color w:val="auto"/>
            <w:sz w:val="22"/>
            <w:szCs w:val="22"/>
          </w:rPr>
          <w:t>https://doi.org/10.1177/0049124103262065</w:t>
        </w:r>
      </w:hyperlink>
      <w:r w:rsidRPr="003015D7">
        <w:rPr>
          <w:rFonts w:ascii="Arial" w:hAnsi="Arial" w:cs="Arial"/>
          <w:sz w:val="22"/>
          <w:szCs w:val="22"/>
        </w:rPr>
        <w:t>.</w:t>
      </w:r>
    </w:p>
    <w:p w14:paraId="27D15B3B" w14:textId="77777777" w:rsidR="00792322" w:rsidRPr="003015D7" w:rsidRDefault="00000000" w:rsidP="003015D7">
      <w:pPr>
        <w:pStyle w:val="Bibliography"/>
        <w:rPr>
          <w:rFonts w:ascii="Arial" w:hAnsi="Arial" w:cs="Arial"/>
          <w:sz w:val="22"/>
          <w:szCs w:val="22"/>
        </w:rPr>
      </w:pPr>
      <w:bookmarkStart w:id="41" w:name="ref-lee"/>
      <w:bookmarkEnd w:id="40"/>
      <w:r w:rsidRPr="003015D7">
        <w:rPr>
          <w:rFonts w:ascii="Arial" w:hAnsi="Arial" w:cs="Arial"/>
          <w:sz w:val="22"/>
          <w:szCs w:val="22"/>
        </w:rPr>
        <w:t>Lee, Everett S. n.d. “A Theory of Migration,” 11.</w:t>
      </w:r>
    </w:p>
    <w:p w14:paraId="25A5A261" w14:textId="77777777" w:rsidR="00792322" w:rsidRPr="003015D7" w:rsidRDefault="00000000" w:rsidP="003015D7">
      <w:pPr>
        <w:pStyle w:val="Bibliography"/>
        <w:rPr>
          <w:rFonts w:ascii="Arial" w:hAnsi="Arial" w:cs="Arial"/>
          <w:sz w:val="22"/>
          <w:szCs w:val="22"/>
        </w:rPr>
      </w:pPr>
      <w:bookmarkStart w:id="42" w:name="ref-lee1966"/>
      <w:bookmarkEnd w:id="41"/>
      <w:r w:rsidRPr="003015D7">
        <w:rPr>
          <w:rFonts w:ascii="Arial" w:hAnsi="Arial" w:cs="Arial"/>
          <w:sz w:val="22"/>
          <w:szCs w:val="22"/>
        </w:rPr>
        <w:t xml:space="preserve">Lee, Everett S. 1966. “A Theory of Migration.” </w:t>
      </w:r>
      <w:r w:rsidRPr="003015D7">
        <w:rPr>
          <w:rFonts w:ascii="Arial" w:hAnsi="Arial" w:cs="Arial"/>
          <w:i/>
          <w:iCs/>
          <w:sz w:val="22"/>
          <w:szCs w:val="22"/>
        </w:rPr>
        <w:t>Demography</w:t>
      </w:r>
      <w:r w:rsidRPr="003015D7">
        <w:rPr>
          <w:rFonts w:ascii="Arial" w:hAnsi="Arial" w:cs="Arial"/>
          <w:sz w:val="22"/>
          <w:szCs w:val="22"/>
        </w:rPr>
        <w:t xml:space="preserve"> 3 (1): 47–57. </w:t>
      </w:r>
      <w:hyperlink r:id="rId50">
        <w:r w:rsidRPr="003015D7">
          <w:rPr>
            <w:rStyle w:val="Hyperlink"/>
            <w:rFonts w:ascii="Arial" w:hAnsi="Arial" w:cs="Arial"/>
            <w:color w:val="auto"/>
            <w:sz w:val="22"/>
            <w:szCs w:val="22"/>
          </w:rPr>
          <w:t>https://doi.org/10.2307/2060063</w:t>
        </w:r>
      </w:hyperlink>
      <w:r w:rsidRPr="003015D7">
        <w:rPr>
          <w:rFonts w:ascii="Arial" w:hAnsi="Arial" w:cs="Arial"/>
          <w:sz w:val="22"/>
          <w:szCs w:val="22"/>
        </w:rPr>
        <w:t>.</w:t>
      </w:r>
    </w:p>
    <w:p w14:paraId="5E5322B3" w14:textId="77777777" w:rsidR="00792322" w:rsidRPr="003015D7" w:rsidRDefault="00000000" w:rsidP="003015D7">
      <w:pPr>
        <w:pStyle w:val="Bibliography"/>
        <w:rPr>
          <w:rFonts w:ascii="Arial" w:hAnsi="Arial" w:cs="Arial"/>
          <w:sz w:val="22"/>
          <w:szCs w:val="22"/>
        </w:rPr>
      </w:pPr>
      <w:bookmarkStart w:id="43" w:name="ref-lee2021"/>
      <w:bookmarkEnd w:id="42"/>
      <w:r w:rsidRPr="003015D7">
        <w:rPr>
          <w:rFonts w:ascii="Arial" w:hAnsi="Arial" w:cs="Arial"/>
          <w:sz w:val="22"/>
          <w:szCs w:val="22"/>
        </w:rPr>
        <w:t xml:space="preserve">Lee, Hyunjung, and Gopal K. Singh. 2021. “Monthly Trends in Self-Reported Health Status and Depression by Race/Ethnicity and Socioeconomic Status During the COVID-19 Pandemic, United States, April </w:t>
      </w:r>
      <w:proofErr w:type="gramStart"/>
      <w:r w:rsidRPr="003015D7">
        <w:rPr>
          <w:rFonts w:ascii="Arial" w:hAnsi="Arial" w:cs="Arial"/>
          <w:sz w:val="22"/>
          <w:szCs w:val="22"/>
        </w:rPr>
        <w:t>2020  May</w:t>
      </w:r>
      <w:proofErr w:type="gramEnd"/>
      <w:r w:rsidRPr="003015D7">
        <w:rPr>
          <w:rFonts w:ascii="Arial" w:hAnsi="Arial" w:cs="Arial"/>
          <w:sz w:val="22"/>
          <w:szCs w:val="22"/>
        </w:rPr>
        <w:t xml:space="preserve"> 2021.” </w:t>
      </w:r>
      <w:r w:rsidRPr="003015D7">
        <w:rPr>
          <w:rFonts w:ascii="Arial" w:hAnsi="Arial" w:cs="Arial"/>
          <w:i/>
          <w:iCs/>
          <w:sz w:val="22"/>
          <w:szCs w:val="22"/>
        </w:rPr>
        <w:t>Annals of Epidemiology</w:t>
      </w:r>
      <w:r w:rsidRPr="003015D7">
        <w:rPr>
          <w:rFonts w:ascii="Arial" w:hAnsi="Arial" w:cs="Arial"/>
          <w:sz w:val="22"/>
          <w:szCs w:val="22"/>
        </w:rPr>
        <w:t xml:space="preserve"> 63 (November): 52–62. </w:t>
      </w:r>
      <w:hyperlink r:id="rId51">
        <w:r w:rsidRPr="003015D7">
          <w:rPr>
            <w:rStyle w:val="Hyperlink"/>
            <w:rFonts w:ascii="Arial" w:hAnsi="Arial" w:cs="Arial"/>
            <w:color w:val="auto"/>
            <w:sz w:val="22"/>
            <w:szCs w:val="22"/>
          </w:rPr>
          <w:t>https://doi.org/10.1016/j.annepidem.2021.07.014</w:t>
        </w:r>
      </w:hyperlink>
      <w:r w:rsidRPr="003015D7">
        <w:rPr>
          <w:rFonts w:ascii="Arial" w:hAnsi="Arial" w:cs="Arial"/>
          <w:sz w:val="22"/>
          <w:szCs w:val="22"/>
        </w:rPr>
        <w:t>.</w:t>
      </w:r>
    </w:p>
    <w:p w14:paraId="36672776" w14:textId="77777777" w:rsidR="00792322" w:rsidRPr="003015D7" w:rsidRDefault="00000000" w:rsidP="003015D7">
      <w:pPr>
        <w:pStyle w:val="Bibliography"/>
        <w:rPr>
          <w:rFonts w:ascii="Arial" w:hAnsi="Arial" w:cs="Arial"/>
          <w:sz w:val="22"/>
          <w:szCs w:val="22"/>
        </w:rPr>
      </w:pPr>
      <w:bookmarkStart w:id="44" w:name="ref-li2017b"/>
      <w:bookmarkEnd w:id="43"/>
      <w:r w:rsidRPr="003015D7">
        <w:rPr>
          <w:rFonts w:ascii="Arial" w:hAnsi="Arial" w:cs="Arial"/>
          <w:sz w:val="22"/>
          <w:szCs w:val="22"/>
        </w:rPr>
        <w:t xml:space="preserve">Li, Hong, and Yang Lu. 2017. “COHERENT FORECASTING OF MORTALITY RATES: A SPARSE VECTOR-AUTOREGRESSION APPROACH.” </w:t>
      </w:r>
      <w:r w:rsidRPr="003015D7">
        <w:rPr>
          <w:rFonts w:ascii="Arial" w:hAnsi="Arial" w:cs="Arial"/>
          <w:i/>
          <w:iCs/>
          <w:sz w:val="22"/>
          <w:szCs w:val="22"/>
        </w:rPr>
        <w:t>ASTIN Bulletin: The Journal of the IAA</w:t>
      </w:r>
      <w:r w:rsidRPr="003015D7">
        <w:rPr>
          <w:rFonts w:ascii="Arial" w:hAnsi="Arial" w:cs="Arial"/>
          <w:sz w:val="22"/>
          <w:szCs w:val="22"/>
        </w:rPr>
        <w:t xml:space="preserve"> 47 (2): 563–600. </w:t>
      </w:r>
      <w:hyperlink r:id="rId52">
        <w:r w:rsidRPr="003015D7">
          <w:rPr>
            <w:rStyle w:val="Hyperlink"/>
            <w:rFonts w:ascii="Arial" w:hAnsi="Arial" w:cs="Arial"/>
            <w:color w:val="auto"/>
            <w:sz w:val="22"/>
            <w:szCs w:val="22"/>
          </w:rPr>
          <w:t>https://doi.org/10.1017/asb.2016.37</w:t>
        </w:r>
      </w:hyperlink>
      <w:r w:rsidRPr="003015D7">
        <w:rPr>
          <w:rFonts w:ascii="Arial" w:hAnsi="Arial" w:cs="Arial"/>
          <w:sz w:val="22"/>
          <w:szCs w:val="22"/>
        </w:rPr>
        <w:t>.</w:t>
      </w:r>
    </w:p>
    <w:p w14:paraId="2E61AC11" w14:textId="77777777" w:rsidR="00792322" w:rsidRPr="003015D7" w:rsidRDefault="00000000" w:rsidP="003015D7">
      <w:pPr>
        <w:pStyle w:val="Bibliography"/>
        <w:rPr>
          <w:rFonts w:ascii="Arial" w:hAnsi="Arial" w:cs="Arial"/>
          <w:sz w:val="22"/>
          <w:szCs w:val="22"/>
        </w:rPr>
      </w:pPr>
      <w:bookmarkStart w:id="45" w:name="ref-li2017"/>
      <w:bookmarkEnd w:id="44"/>
      <w:r w:rsidRPr="003015D7">
        <w:rPr>
          <w:rFonts w:ascii="Arial" w:hAnsi="Arial" w:cs="Arial"/>
          <w:sz w:val="22"/>
          <w:szCs w:val="22"/>
        </w:rPr>
        <w:t xml:space="preserve">Li, Jie, and Nikolas Rose. 2017. “Urban Social Exclusion and Mental Health of China’s Rural-Urban </w:t>
      </w:r>
      <w:proofErr w:type="gramStart"/>
      <w:r w:rsidRPr="003015D7">
        <w:rPr>
          <w:rFonts w:ascii="Arial" w:hAnsi="Arial" w:cs="Arial"/>
          <w:sz w:val="22"/>
          <w:szCs w:val="22"/>
        </w:rPr>
        <w:t>Migrants  A</w:t>
      </w:r>
      <w:proofErr w:type="gramEnd"/>
      <w:r w:rsidRPr="003015D7">
        <w:rPr>
          <w:rFonts w:ascii="Arial" w:hAnsi="Arial" w:cs="Arial"/>
          <w:sz w:val="22"/>
          <w:szCs w:val="22"/>
        </w:rPr>
        <w:t xml:space="preserve"> Review and Call for Research.” </w:t>
      </w:r>
      <w:r w:rsidRPr="003015D7">
        <w:rPr>
          <w:rFonts w:ascii="Arial" w:hAnsi="Arial" w:cs="Arial"/>
          <w:i/>
          <w:iCs/>
          <w:sz w:val="22"/>
          <w:szCs w:val="22"/>
        </w:rPr>
        <w:t>Health &amp; Place</w:t>
      </w:r>
      <w:r w:rsidRPr="003015D7">
        <w:rPr>
          <w:rFonts w:ascii="Arial" w:hAnsi="Arial" w:cs="Arial"/>
          <w:sz w:val="22"/>
          <w:szCs w:val="22"/>
        </w:rPr>
        <w:t xml:space="preserve"> 48 (November): 20–30. </w:t>
      </w:r>
      <w:hyperlink r:id="rId53">
        <w:r w:rsidRPr="003015D7">
          <w:rPr>
            <w:rStyle w:val="Hyperlink"/>
            <w:rFonts w:ascii="Arial" w:hAnsi="Arial" w:cs="Arial"/>
            <w:color w:val="auto"/>
            <w:sz w:val="22"/>
            <w:szCs w:val="22"/>
          </w:rPr>
          <w:t>https://doi.org/10.1016/j.healthplace.2017.08.009</w:t>
        </w:r>
      </w:hyperlink>
      <w:r w:rsidRPr="003015D7">
        <w:rPr>
          <w:rFonts w:ascii="Arial" w:hAnsi="Arial" w:cs="Arial"/>
          <w:sz w:val="22"/>
          <w:szCs w:val="22"/>
        </w:rPr>
        <w:t>.</w:t>
      </w:r>
    </w:p>
    <w:p w14:paraId="7412C59D" w14:textId="77777777" w:rsidR="00792322" w:rsidRPr="003015D7" w:rsidRDefault="00000000" w:rsidP="003015D7">
      <w:pPr>
        <w:pStyle w:val="Bibliography"/>
        <w:rPr>
          <w:rFonts w:ascii="Arial" w:hAnsi="Arial" w:cs="Arial"/>
          <w:sz w:val="22"/>
          <w:szCs w:val="22"/>
        </w:rPr>
      </w:pPr>
      <w:bookmarkStart w:id="46" w:name="ref-mapthe"/>
      <w:bookmarkEnd w:id="45"/>
      <w:r w:rsidRPr="003015D7">
        <w:rPr>
          <w:rFonts w:ascii="Arial" w:hAnsi="Arial" w:cs="Arial"/>
          <w:sz w:val="22"/>
          <w:szCs w:val="22"/>
        </w:rPr>
        <w:t xml:space="preserve">“Map the Meal Gap Data | Feeding America.” n.d. </w:t>
      </w:r>
      <w:hyperlink r:id="rId54">
        <w:r w:rsidRPr="003015D7">
          <w:rPr>
            <w:rStyle w:val="Hyperlink"/>
            <w:rFonts w:ascii="Arial" w:hAnsi="Arial" w:cs="Arial"/>
            <w:color w:val="auto"/>
            <w:sz w:val="22"/>
            <w:szCs w:val="22"/>
          </w:rPr>
          <w:t>https://www.feedingamerica.org/research/map-the-meal-gap/how-we-got-the-map-data</w:t>
        </w:r>
      </w:hyperlink>
      <w:r w:rsidRPr="003015D7">
        <w:rPr>
          <w:rFonts w:ascii="Arial" w:hAnsi="Arial" w:cs="Arial"/>
          <w:sz w:val="22"/>
          <w:szCs w:val="22"/>
        </w:rPr>
        <w:t>.</w:t>
      </w:r>
    </w:p>
    <w:p w14:paraId="0F341625" w14:textId="77777777" w:rsidR="00792322" w:rsidRPr="003015D7" w:rsidRDefault="00000000" w:rsidP="003015D7">
      <w:pPr>
        <w:pStyle w:val="Bibliography"/>
        <w:rPr>
          <w:rFonts w:ascii="Arial" w:hAnsi="Arial" w:cs="Arial"/>
          <w:sz w:val="22"/>
          <w:szCs w:val="22"/>
        </w:rPr>
      </w:pPr>
      <w:bookmarkStart w:id="47" w:name="ref-marmot1975"/>
      <w:bookmarkEnd w:id="46"/>
      <w:r w:rsidRPr="003015D7">
        <w:rPr>
          <w:rFonts w:ascii="Arial" w:hAnsi="Arial" w:cs="Arial"/>
          <w:sz w:val="22"/>
          <w:szCs w:val="22"/>
        </w:rPr>
        <w:t xml:space="preserve">Marmot, M. G., S. L. Syme, A. Kagan, H. Kato, J. B. Cohen, and J. Belsky. 1975. “EPIDEMIOLOGIC STUDIES OF CORONARY HEART DISEASE AND STROKE IN JAPANESE MEN LIVING IN JAPAN, HAWAII AND CALIFORNIA: PREVALENCE OF CORONARY AND HYPERTENSIVE HEART DISEASE AND ASSOCIATED RISK FACTORS1.” </w:t>
      </w:r>
      <w:r w:rsidRPr="003015D7">
        <w:rPr>
          <w:rFonts w:ascii="Arial" w:hAnsi="Arial" w:cs="Arial"/>
          <w:i/>
          <w:iCs/>
          <w:sz w:val="22"/>
          <w:szCs w:val="22"/>
        </w:rPr>
        <w:t>American Journal of Epidemiology</w:t>
      </w:r>
      <w:r w:rsidRPr="003015D7">
        <w:rPr>
          <w:rFonts w:ascii="Arial" w:hAnsi="Arial" w:cs="Arial"/>
          <w:sz w:val="22"/>
          <w:szCs w:val="22"/>
        </w:rPr>
        <w:t xml:space="preserve"> 102 (6): 514–25. </w:t>
      </w:r>
      <w:hyperlink r:id="rId55">
        <w:r w:rsidRPr="003015D7">
          <w:rPr>
            <w:rStyle w:val="Hyperlink"/>
            <w:rFonts w:ascii="Arial" w:hAnsi="Arial" w:cs="Arial"/>
            <w:color w:val="auto"/>
            <w:sz w:val="22"/>
            <w:szCs w:val="22"/>
          </w:rPr>
          <w:t>https://doi.org/10.1093/oxfordjournals.aje.a112189</w:t>
        </w:r>
      </w:hyperlink>
      <w:r w:rsidRPr="003015D7">
        <w:rPr>
          <w:rFonts w:ascii="Arial" w:hAnsi="Arial" w:cs="Arial"/>
          <w:sz w:val="22"/>
          <w:szCs w:val="22"/>
        </w:rPr>
        <w:t>.</w:t>
      </w:r>
    </w:p>
    <w:p w14:paraId="5C423187" w14:textId="77777777" w:rsidR="00792322" w:rsidRPr="003015D7" w:rsidRDefault="00000000" w:rsidP="003015D7">
      <w:pPr>
        <w:pStyle w:val="Bibliography"/>
        <w:rPr>
          <w:rFonts w:ascii="Arial" w:hAnsi="Arial" w:cs="Arial"/>
          <w:sz w:val="22"/>
          <w:szCs w:val="22"/>
        </w:rPr>
      </w:pPr>
      <w:bookmarkStart w:id="48" w:name="ref-miranda2011"/>
      <w:bookmarkEnd w:id="47"/>
      <w:r w:rsidRPr="003015D7">
        <w:rPr>
          <w:rFonts w:ascii="Arial" w:hAnsi="Arial" w:cs="Arial"/>
          <w:sz w:val="22"/>
          <w:szCs w:val="22"/>
        </w:rPr>
        <w:t xml:space="preserve">Miranda, J. Jaime, Robert H. Gilman, and Liam Smeeth. 2011. “Differences in Cardiovascular Risk Factors in Rural, Urban and Rural-to-Urban Migrants in Peru.” </w:t>
      </w:r>
      <w:r w:rsidRPr="003015D7">
        <w:rPr>
          <w:rFonts w:ascii="Arial" w:hAnsi="Arial" w:cs="Arial"/>
          <w:i/>
          <w:iCs/>
          <w:sz w:val="22"/>
          <w:szCs w:val="22"/>
        </w:rPr>
        <w:t>Heart</w:t>
      </w:r>
      <w:r w:rsidRPr="003015D7">
        <w:rPr>
          <w:rFonts w:ascii="Arial" w:hAnsi="Arial" w:cs="Arial"/>
          <w:sz w:val="22"/>
          <w:szCs w:val="22"/>
        </w:rPr>
        <w:t xml:space="preserve"> 97 (10): 787–96. </w:t>
      </w:r>
      <w:hyperlink r:id="rId56">
        <w:r w:rsidRPr="003015D7">
          <w:rPr>
            <w:rStyle w:val="Hyperlink"/>
            <w:rFonts w:ascii="Arial" w:hAnsi="Arial" w:cs="Arial"/>
            <w:color w:val="auto"/>
            <w:sz w:val="22"/>
            <w:szCs w:val="22"/>
          </w:rPr>
          <w:t>https://doi.org/10.1136/hrt.2010.218537</w:t>
        </w:r>
      </w:hyperlink>
      <w:r w:rsidRPr="003015D7">
        <w:rPr>
          <w:rFonts w:ascii="Arial" w:hAnsi="Arial" w:cs="Arial"/>
          <w:sz w:val="22"/>
          <w:szCs w:val="22"/>
        </w:rPr>
        <w:t>.</w:t>
      </w:r>
    </w:p>
    <w:p w14:paraId="7272E8B3" w14:textId="77777777" w:rsidR="00792322" w:rsidRPr="003015D7" w:rsidRDefault="00000000" w:rsidP="003015D7">
      <w:pPr>
        <w:pStyle w:val="Bibliography"/>
        <w:rPr>
          <w:rFonts w:ascii="Arial" w:hAnsi="Arial" w:cs="Arial"/>
          <w:sz w:val="22"/>
          <w:szCs w:val="22"/>
        </w:rPr>
      </w:pPr>
      <w:bookmarkStart w:id="49" w:name="ref-nguyen2017"/>
      <w:bookmarkEnd w:id="48"/>
      <w:r w:rsidRPr="003015D7">
        <w:rPr>
          <w:rFonts w:ascii="Arial" w:hAnsi="Arial" w:cs="Arial"/>
          <w:sz w:val="22"/>
          <w:szCs w:val="22"/>
        </w:rPr>
        <w:t xml:space="preserve">Nguyen, Hieu, and Kiran Garimella. 2017. “The 26th International Conference.” In, 829–30. Perth, Australia: ACM Press. </w:t>
      </w:r>
      <w:hyperlink r:id="rId57">
        <w:r w:rsidRPr="003015D7">
          <w:rPr>
            <w:rStyle w:val="Hyperlink"/>
            <w:rFonts w:ascii="Arial" w:hAnsi="Arial" w:cs="Arial"/>
            <w:color w:val="auto"/>
            <w:sz w:val="22"/>
            <w:szCs w:val="22"/>
          </w:rPr>
          <w:t>https://doi.org/10.1145/3041021.3054222</w:t>
        </w:r>
      </w:hyperlink>
      <w:r w:rsidRPr="003015D7">
        <w:rPr>
          <w:rFonts w:ascii="Arial" w:hAnsi="Arial" w:cs="Arial"/>
          <w:sz w:val="22"/>
          <w:szCs w:val="22"/>
        </w:rPr>
        <w:t>.</w:t>
      </w:r>
    </w:p>
    <w:p w14:paraId="3D560101" w14:textId="77777777" w:rsidR="00792322" w:rsidRPr="003015D7" w:rsidRDefault="00000000" w:rsidP="003015D7">
      <w:pPr>
        <w:pStyle w:val="Bibliography"/>
        <w:rPr>
          <w:rFonts w:ascii="Arial" w:hAnsi="Arial" w:cs="Arial"/>
          <w:sz w:val="22"/>
          <w:szCs w:val="22"/>
        </w:rPr>
      </w:pPr>
      <w:bookmarkStart w:id="50" w:name="ref-nimh"/>
      <w:bookmarkEnd w:id="49"/>
      <w:r w:rsidRPr="003015D7">
        <w:rPr>
          <w:rFonts w:ascii="Arial" w:hAnsi="Arial" w:cs="Arial"/>
          <w:sz w:val="22"/>
          <w:szCs w:val="22"/>
        </w:rPr>
        <w:t xml:space="preserve">“NIMH » Mental Illness.” n.d. </w:t>
      </w:r>
      <w:hyperlink r:id="rId58">
        <w:r w:rsidRPr="003015D7">
          <w:rPr>
            <w:rStyle w:val="Hyperlink"/>
            <w:rFonts w:ascii="Arial" w:hAnsi="Arial" w:cs="Arial"/>
            <w:color w:val="auto"/>
            <w:sz w:val="22"/>
            <w:szCs w:val="22"/>
          </w:rPr>
          <w:t>https://www.nimh.nih.gov/health/statistics/mental-illness.shtml</w:t>
        </w:r>
      </w:hyperlink>
      <w:r w:rsidRPr="003015D7">
        <w:rPr>
          <w:rFonts w:ascii="Arial" w:hAnsi="Arial" w:cs="Arial"/>
          <w:sz w:val="22"/>
          <w:szCs w:val="22"/>
        </w:rPr>
        <w:t>.</w:t>
      </w:r>
    </w:p>
    <w:p w14:paraId="27716572" w14:textId="77777777" w:rsidR="00792322" w:rsidRPr="003015D7" w:rsidRDefault="00000000" w:rsidP="003015D7">
      <w:pPr>
        <w:pStyle w:val="Bibliography"/>
        <w:rPr>
          <w:rFonts w:ascii="Arial" w:hAnsi="Arial" w:cs="Arial"/>
          <w:sz w:val="22"/>
          <w:szCs w:val="22"/>
        </w:rPr>
      </w:pPr>
      <w:bookmarkStart w:id="51" w:name="ref-norman2005"/>
      <w:bookmarkEnd w:id="50"/>
      <w:r w:rsidRPr="003015D7">
        <w:rPr>
          <w:rFonts w:ascii="Arial" w:hAnsi="Arial" w:cs="Arial"/>
          <w:sz w:val="22"/>
          <w:szCs w:val="22"/>
        </w:rPr>
        <w:lastRenderedPageBreak/>
        <w:t xml:space="preserve">Norman, Paul, Paul Boyle, and Philip Rees. 2005. “Selective Migration, Health and Deprivation: A Longitudinal Analysis.” </w:t>
      </w:r>
      <w:r w:rsidRPr="003015D7">
        <w:rPr>
          <w:rFonts w:ascii="Arial" w:hAnsi="Arial" w:cs="Arial"/>
          <w:i/>
          <w:iCs/>
          <w:sz w:val="22"/>
          <w:szCs w:val="22"/>
        </w:rPr>
        <w:t>Social Science &amp; Medicine</w:t>
      </w:r>
      <w:r w:rsidRPr="003015D7">
        <w:rPr>
          <w:rFonts w:ascii="Arial" w:hAnsi="Arial" w:cs="Arial"/>
          <w:sz w:val="22"/>
          <w:szCs w:val="22"/>
        </w:rPr>
        <w:t xml:space="preserve">, Burning Issues - Selected papers from the 10th International Symposium in Medical Geography, Manchester 2003, 60 (12): 2755–71. </w:t>
      </w:r>
      <w:hyperlink r:id="rId59">
        <w:r w:rsidRPr="003015D7">
          <w:rPr>
            <w:rStyle w:val="Hyperlink"/>
            <w:rFonts w:ascii="Arial" w:hAnsi="Arial" w:cs="Arial"/>
            <w:color w:val="auto"/>
            <w:sz w:val="22"/>
            <w:szCs w:val="22"/>
          </w:rPr>
          <w:t>https://doi.org/10.1016/j.socscimed.2004.11.008</w:t>
        </w:r>
      </w:hyperlink>
      <w:r w:rsidRPr="003015D7">
        <w:rPr>
          <w:rFonts w:ascii="Arial" w:hAnsi="Arial" w:cs="Arial"/>
          <w:sz w:val="22"/>
          <w:szCs w:val="22"/>
        </w:rPr>
        <w:t>.</w:t>
      </w:r>
    </w:p>
    <w:p w14:paraId="444D9756" w14:textId="79EE985E" w:rsidR="00792322" w:rsidRPr="003015D7" w:rsidRDefault="00000000" w:rsidP="003015D7">
      <w:pPr>
        <w:pStyle w:val="Bibliography"/>
        <w:rPr>
          <w:rFonts w:ascii="Arial" w:hAnsi="Arial" w:cs="Arial"/>
          <w:sz w:val="22"/>
          <w:szCs w:val="22"/>
        </w:rPr>
      </w:pPr>
      <w:bookmarkStart w:id="52" w:name="ref-olson-williams2023"/>
      <w:bookmarkEnd w:id="51"/>
      <w:r w:rsidRPr="003015D7">
        <w:rPr>
          <w:rFonts w:ascii="Arial" w:hAnsi="Arial" w:cs="Arial"/>
          <w:sz w:val="22"/>
          <w:szCs w:val="22"/>
        </w:rPr>
        <w:t>Olson-Williams, Hannah</w:t>
      </w:r>
      <w:r w:rsidR="003015D7">
        <w:rPr>
          <w:rFonts w:ascii="Arial" w:hAnsi="Arial" w:cs="Arial"/>
          <w:sz w:val="22"/>
          <w:szCs w:val="22"/>
        </w:rPr>
        <w:t xml:space="preserve">, Keith </w:t>
      </w:r>
      <w:proofErr w:type="spellStart"/>
      <w:r w:rsidR="003015D7">
        <w:rPr>
          <w:rFonts w:ascii="Arial" w:hAnsi="Arial" w:cs="Arial"/>
          <w:sz w:val="22"/>
          <w:szCs w:val="22"/>
        </w:rPr>
        <w:t>Gennuso</w:t>
      </w:r>
      <w:proofErr w:type="spellEnd"/>
      <w:r w:rsidR="003015D7">
        <w:rPr>
          <w:rFonts w:ascii="Arial" w:hAnsi="Arial" w:cs="Arial"/>
          <w:sz w:val="22"/>
          <w:szCs w:val="22"/>
        </w:rPr>
        <w:t xml:space="preserve">, Marjory Givens, and David </w:t>
      </w:r>
      <w:proofErr w:type="spellStart"/>
      <w:r w:rsidR="003015D7">
        <w:rPr>
          <w:rFonts w:ascii="Arial" w:hAnsi="Arial" w:cs="Arial"/>
          <w:sz w:val="22"/>
          <w:szCs w:val="22"/>
        </w:rPr>
        <w:t>Kindig</w:t>
      </w:r>
      <w:proofErr w:type="spellEnd"/>
      <w:r w:rsidRPr="003015D7">
        <w:rPr>
          <w:rFonts w:ascii="Arial" w:hAnsi="Arial" w:cs="Arial"/>
          <w:sz w:val="22"/>
          <w:szCs w:val="22"/>
        </w:rPr>
        <w:t xml:space="preserve">. 2023. “Discounting Health Grades for Disparity: The 2021 Wisconsin Population Health and Equity Report Card.” </w:t>
      </w:r>
      <w:r w:rsidRPr="003015D7">
        <w:rPr>
          <w:rFonts w:ascii="Arial" w:hAnsi="Arial" w:cs="Arial"/>
          <w:i/>
          <w:iCs/>
          <w:sz w:val="22"/>
          <w:szCs w:val="22"/>
        </w:rPr>
        <w:t>Preventing Chronic Disease</w:t>
      </w:r>
      <w:r w:rsidRPr="003015D7">
        <w:rPr>
          <w:rFonts w:ascii="Arial" w:hAnsi="Arial" w:cs="Arial"/>
          <w:sz w:val="22"/>
          <w:szCs w:val="22"/>
        </w:rPr>
        <w:t xml:space="preserve"> 20. </w:t>
      </w:r>
      <w:hyperlink r:id="rId60">
        <w:r w:rsidRPr="003015D7">
          <w:rPr>
            <w:rStyle w:val="Hyperlink"/>
            <w:rFonts w:ascii="Arial" w:hAnsi="Arial" w:cs="Arial"/>
            <w:color w:val="auto"/>
            <w:sz w:val="22"/>
            <w:szCs w:val="22"/>
          </w:rPr>
          <w:t>https://doi.org/10.5888/pcd20.220301</w:t>
        </w:r>
      </w:hyperlink>
      <w:r w:rsidRPr="003015D7">
        <w:rPr>
          <w:rFonts w:ascii="Arial" w:hAnsi="Arial" w:cs="Arial"/>
          <w:sz w:val="22"/>
          <w:szCs w:val="22"/>
        </w:rPr>
        <w:t>.</w:t>
      </w:r>
    </w:p>
    <w:p w14:paraId="6FB39EAC" w14:textId="77777777" w:rsidR="00792322" w:rsidRPr="003015D7" w:rsidRDefault="00000000" w:rsidP="003015D7">
      <w:pPr>
        <w:pStyle w:val="Bibliography"/>
        <w:rPr>
          <w:rFonts w:ascii="Arial" w:hAnsi="Arial" w:cs="Arial"/>
          <w:sz w:val="22"/>
          <w:szCs w:val="22"/>
        </w:rPr>
      </w:pPr>
      <w:bookmarkStart w:id="53" w:name="ref-paykel2000"/>
      <w:bookmarkEnd w:id="52"/>
      <w:r w:rsidRPr="003015D7">
        <w:rPr>
          <w:rFonts w:ascii="Arial" w:hAnsi="Arial" w:cs="Arial"/>
          <w:sz w:val="22"/>
          <w:szCs w:val="22"/>
        </w:rPr>
        <w:t xml:space="preserve">Paykel, E. S., R. Abbott, R. Jenkins, T. S. Brugha, and H. Meltzer. 2000. “Urbanrural Mental Health Differences in Great Britain: Findings from the National Morbidity Survey.” </w:t>
      </w:r>
      <w:r w:rsidRPr="003015D7">
        <w:rPr>
          <w:rFonts w:ascii="Arial" w:hAnsi="Arial" w:cs="Arial"/>
          <w:i/>
          <w:iCs/>
          <w:sz w:val="22"/>
          <w:szCs w:val="22"/>
        </w:rPr>
        <w:t>Psychological Medicine</w:t>
      </w:r>
      <w:r w:rsidRPr="003015D7">
        <w:rPr>
          <w:rFonts w:ascii="Arial" w:hAnsi="Arial" w:cs="Arial"/>
          <w:sz w:val="22"/>
          <w:szCs w:val="22"/>
        </w:rPr>
        <w:t xml:space="preserve"> 30 (2): 269–80. </w:t>
      </w:r>
      <w:hyperlink r:id="rId61">
        <w:r w:rsidRPr="003015D7">
          <w:rPr>
            <w:rStyle w:val="Hyperlink"/>
            <w:rFonts w:ascii="Arial" w:hAnsi="Arial" w:cs="Arial"/>
            <w:color w:val="auto"/>
            <w:sz w:val="22"/>
            <w:szCs w:val="22"/>
          </w:rPr>
          <w:t>https://doi.org/10.1017/S003329179900183X</w:t>
        </w:r>
      </w:hyperlink>
      <w:r w:rsidRPr="003015D7">
        <w:rPr>
          <w:rFonts w:ascii="Arial" w:hAnsi="Arial" w:cs="Arial"/>
          <w:sz w:val="22"/>
          <w:szCs w:val="22"/>
        </w:rPr>
        <w:t>.</w:t>
      </w:r>
    </w:p>
    <w:p w14:paraId="58DB23EB" w14:textId="77777777" w:rsidR="00792322" w:rsidRPr="003015D7" w:rsidRDefault="00000000" w:rsidP="003015D7">
      <w:pPr>
        <w:pStyle w:val="Bibliography"/>
        <w:rPr>
          <w:rFonts w:ascii="Arial" w:hAnsi="Arial" w:cs="Arial"/>
          <w:sz w:val="22"/>
          <w:szCs w:val="22"/>
        </w:rPr>
      </w:pPr>
      <w:bookmarkStart w:id="54" w:name="ref-pierannunzi2013"/>
      <w:bookmarkEnd w:id="53"/>
      <w:r w:rsidRPr="003015D7">
        <w:rPr>
          <w:rFonts w:ascii="Arial" w:hAnsi="Arial" w:cs="Arial"/>
          <w:sz w:val="22"/>
          <w:szCs w:val="22"/>
        </w:rPr>
        <w:t xml:space="preserve">Pierannunzi, Carol, Shaohua Sean Hu, and Lina Balluz. 2013. “A Systematic Review of Publications Assessing Reliability and Validity of the Behavioral Risk Factor Surveillance System (BRFSS), 20042011.” </w:t>
      </w:r>
      <w:r w:rsidRPr="003015D7">
        <w:rPr>
          <w:rFonts w:ascii="Arial" w:hAnsi="Arial" w:cs="Arial"/>
          <w:i/>
          <w:iCs/>
          <w:sz w:val="22"/>
          <w:szCs w:val="22"/>
        </w:rPr>
        <w:t>BMC Medical Research Methodology</w:t>
      </w:r>
      <w:r w:rsidRPr="003015D7">
        <w:rPr>
          <w:rFonts w:ascii="Arial" w:hAnsi="Arial" w:cs="Arial"/>
          <w:sz w:val="22"/>
          <w:szCs w:val="22"/>
        </w:rPr>
        <w:t xml:space="preserve"> 13 (1): 49. </w:t>
      </w:r>
      <w:hyperlink r:id="rId62">
        <w:r w:rsidRPr="003015D7">
          <w:rPr>
            <w:rStyle w:val="Hyperlink"/>
            <w:rFonts w:ascii="Arial" w:hAnsi="Arial" w:cs="Arial"/>
            <w:color w:val="auto"/>
            <w:sz w:val="22"/>
            <w:szCs w:val="22"/>
          </w:rPr>
          <w:t>https://doi.org/10.1186/1471-2288-13-49</w:t>
        </w:r>
      </w:hyperlink>
      <w:r w:rsidRPr="003015D7">
        <w:rPr>
          <w:rFonts w:ascii="Arial" w:hAnsi="Arial" w:cs="Arial"/>
          <w:sz w:val="22"/>
          <w:szCs w:val="22"/>
        </w:rPr>
        <w:t>.</w:t>
      </w:r>
    </w:p>
    <w:p w14:paraId="69FDDCE3" w14:textId="77777777" w:rsidR="00792322" w:rsidRPr="003015D7" w:rsidRDefault="00000000" w:rsidP="003015D7">
      <w:pPr>
        <w:pStyle w:val="Bibliography"/>
        <w:rPr>
          <w:rFonts w:ascii="Arial" w:hAnsi="Arial" w:cs="Arial"/>
          <w:sz w:val="22"/>
          <w:szCs w:val="22"/>
        </w:rPr>
      </w:pPr>
      <w:bookmarkStart w:id="55" w:name="ref-pierce2015"/>
      <w:bookmarkEnd w:id="54"/>
      <w:r w:rsidRPr="003015D7">
        <w:rPr>
          <w:rFonts w:ascii="Arial" w:hAnsi="Arial" w:cs="Arial"/>
          <w:sz w:val="22"/>
          <w:szCs w:val="22"/>
        </w:rPr>
        <w:t>Pierce, Kevin. 2015. “SOI Migration Data: A New Approach,” 4.</w:t>
      </w:r>
    </w:p>
    <w:p w14:paraId="4B0FED98" w14:textId="77777777" w:rsidR="00792322" w:rsidRPr="003015D7" w:rsidRDefault="00000000" w:rsidP="003015D7">
      <w:pPr>
        <w:pStyle w:val="Bibliography"/>
        <w:rPr>
          <w:rFonts w:ascii="Arial" w:hAnsi="Arial" w:cs="Arial"/>
          <w:sz w:val="22"/>
          <w:szCs w:val="22"/>
        </w:rPr>
      </w:pPr>
      <w:bookmarkStart w:id="56" w:name="ref-ross1995"/>
      <w:bookmarkEnd w:id="55"/>
      <w:r w:rsidRPr="003015D7">
        <w:rPr>
          <w:rFonts w:ascii="Arial" w:hAnsi="Arial" w:cs="Arial"/>
          <w:sz w:val="22"/>
          <w:szCs w:val="22"/>
        </w:rPr>
        <w:t xml:space="preserve">Ross, Catherine E., and Chia-ling Wu. 1995. “The Links Between Education and Health.” </w:t>
      </w:r>
      <w:r w:rsidRPr="003015D7">
        <w:rPr>
          <w:rFonts w:ascii="Arial" w:hAnsi="Arial" w:cs="Arial"/>
          <w:i/>
          <w:iCs/>
          <w:sz w:val="22"/>
          <w:szCs w:val="22"/>
        </w:rPr>
        <w:t>American Sociological Review</w:t>
      </w:r>
      <w:r w:rsidRPr="003015D7">
        <w:rPr>
          <w:rFonts w:ascii="Arial" w:hAnsi="Arial" w:cs="Arial"/>
          <w:sz w:val="22"/>
          <w:szCs w:val="22"/>
        </w:rPr>
        <w:t xml:space="preserve"> 60 (5): 719. </w:t>
      </w:r>
      <w:hyperlink r:id="rId63">
        <w:r w:rsidRPr="003015D7">
          <w:rPr>
            <w:rStyle w:val="Hyperlink"/>
            <w:rFonts w:ascii="Arial" w:hAnsi="Arial" w:cs="Arial"/>
            <w:color w:val="auto"/>
            <w:sz w:val="22"/>
            <w:szCs w:val="22"/>
          </w:rPr>
          <w:t>https://www.proquest.com/docview/218816876/abstract/68AE22FD29504EF9PQ/1</w:t>
        </w:r>
      </w:hyperlink>
      <w:r w:rsidRPr="003015D7">
        <w:rPr>
          <w:rFonts w:ascii="Arial" w:hAnsi="Arial" w:cs="Arial"/>
          <w:sz w:val="22"/>
          <w:szCs w:val="22"/>
        </w:rPr>
        <w:t>.</w:t>
      </w:r>
    </w:p>
    <w:p w14:paraId="3D1AC719" w14:textId="77777777" w:rsidR="00792322" w:rsidRPr="003015D7" w:rsidRDefault="00000000" w:rsidP="003015D7">
      <w:pPr>
        <w:pStyle w:val="Bibliography"/>
        <w:rPr>
          <w:rFonts w:ascii="Arial" w:hAnsi="Arial" w:cs="Arial"/>
          <w:sz w:val="22"/>
          <w:szCs w:val="22"/>
        </w:rPr>
      </w:pPr>
      <w:bookmarkStart w:id="57" w:name="ref-rothwell"/>
      <w:bookmarkEnd w:id="56"/>
      <w:r w:rsidRPr="003015D7">
        <w:rPr>
          <w:rFonts w:ascii="Arial" w:hAnsi="Arial" w:cs="Arial"/>
          <w:sz w:val="22"/>
          <w:szCs w:val="22"/>
        </w:rPr>
        <w:t>Rothwell, Charles J, Jennifer H Madans, and Irma E Arispe. n.d. “National Center for Health Statistics,” 81.</w:t>
      </w:r>
    </w:p>
    <w:p w14:paraId="4754CC9E" w14:textId="77777777" w:rsidR="00792322" w:rsidRPr="003015D7" w:rsidRDefault="00000000" w:rsidP="003015D7">
      <w:pPr>
        <w:pStyle w:val="Bibliography"/>
        <w:rPr>
          <w:rFonts w:ascii="Arial" w:hAnsi="Arial" w:cs="Arial"/>
          <w:sz w:val="22"/>
          <w:szCs w:val="22"/>
        </w:rPr>
      </w:pPr>
      <w:bookmarkStart w:id="58" w:name="ref-roubal2021"/>
      <w:bookmarkEnd w:id="57"/>
      <w:r w:rsidRPr="003015D7">
        <w:rPr>
          <w:rFonts w:ascii="Arial" w:hAnsi="Arial" w:cs="Arial"/>
          <w:sz w:val="22"/>
          <w:szCs w:val="22"/>
        </w:rPr>
        <w:t xml:space="preserve">Roubal, Anne M., Elizabeth A. Pollock, Keith P. Gennuso, Courtney K. Blomme, and Marjory L. Givens. 2021. “Comparative Methodologic and Practical Considerations for Life Expectancy as a Public Health Mortality Measure.” </w:t>
      </w:r>
      <w:r w:rsidRPr="003015D7">
        <w:rPr>
          <w:rFonts w:ascii="Arial" w:hAnsi="Arial" w:cs="Arial"/>
          <w:i/>
          <w:iCs/>
          <w:sz w:val="22"/>
          <w:szCs w:val="22"/>
        </w:rPr>
        <w:t>Public Health Reports</w:t>
      </w:r>
      <w:r w:rsidRPr="003015D7">
        <w:rPr>
          <w:rFonts w:ascii="Arial" w:hAnsi="Arial" w:cs="Arial"/>
          <w:sz w:val="22"/>
          <w:szCs w:val="22"/>
        </w:rPr>
        <w:t xml:space="preserve"> 137 (2): 255–62. </w:t>
      </w:r>
      <w:hyperlink r:id="rId64">
        <w:r w:rsidRPr="003015D7">
          <w:rPr>
            <w:rStyle w:val="Hyperlink"/>
            <w:rFonts w:ascii="Arial" w:hAnsi="Arial" w:cs="Arial"/>
            <w:color w:val="auto"/>
            <w:sz w:val="22"/>
            <w:szCs w:val="22"/>
          </w:rPr>
          <w:t>https://doi.org/10.1177/0033354921999407</w:t>
        </w:r>
      </w:hyperlink>
      <w:r w:rsidRPr="003015D7">
        <w:rPr>
          <w:rFonts w:ascii="Arial" w:hAnsi="Arial" w:cs="Arial"/>
          <w:sz w:val="22"/>
          <w:szCs w:val="22"/>
        </w:rPr>
        <w:t>.</w:t>
      </w:r>
    </w:p>
    <w:p w14:paraId="1B3AAEA1" w14:textId="77777777" w:rsidR="00792322" w:rsidRPr="003015D7" w:rsidRDefault="00000000" w:rsidP="003015D7">
      <w:pPr>
        <w:pStyle w:val="Bibliography"/>
        <w:rPr>
          <w:rFonts w:ascii="Arial" w:hAnsi="Arial" w:cs="Arial"/>
          <w:sz w:val="22"/>
          <w:szCs w:val="22"/>
        </w:rPr>
      </w:pPr>
      <w:bookmarkStart w:id="59" w:name="ref-s0701:g"/>
      <w:bookmarkEnd w:id="58"/>
      <w:r w:rsidRPr="003015D7">
        <w:rPr>
          <w:rFonts w:ascii="Arial" w:hAnsi="Arial" w:cs="Arial"/>
          <w:sz w:val="22"/>
          <w:szCs w:val="22"/>
        </w:rPr>
        <w:t xml:space="preserve">“S0701: GEOGRAPHIC MOBILITY BY ... - Census Bureau Table.” n.d. </w:t>
      </w:r>
      <w:hyperlink r:id="rId65">
        <w:r w:rsidRPr="003015D7">
          <w:rPr>
            <w:rStyle w:val="Hyperlink"/>
            <w:rFonts w:ascii="Arial" w:hAnsi="Arial" w:cs="Arial"/>
            <w:color w:val="auto"/>
            <w:sz w:val="22"/>
            <w:szCs w:val="22"/>
          </w:rPr>
          <w:t>https://data.census.gov/table?q=S0701&amp;g=050XX00US21019&amp;tid=ACSST5Y2019.S0701</w:t>
        </w:r>
      </w:hyperlink>
      <w:r w:rsidRPr="003015D7">
        <w:rPr>
          <w:rFonts w:ascii="Arial" w:hAnsi="Arial" w:cs="Arial"/>
          <w:sz w:val="22"/>
          <w:szCs w:val="22"/>
        </w:rPr>
        <w:t>.</w:t>
      </w:r>
    </w:p>
    <w:p w14:paraId="354A192D" w14:textId="77777777" w:rsidR="00792322" w:rsidRPr="003015D7" w:rsidRDefault="00000000" w:rsidP="003015D7">
      <w:pPr>
        <w:pStyle w:val="Bibliography"/>
        <w:rPr>
          <w:rFonts w:ascii="Arial" w:hAnsi="Arial" w:cs="Arial"/>
          <w:sz w:val="22"/>
          <w:szCs w:val="22"/>
        </w:rPr>
      </w:pPr>
      <w:bookmarkStart w:id="60" w:name="ref-schein2015"/>
      <w:bookmarkEnd w:id="59"/>
      <w:r w:rsidRPr="003015D7">
        <w:rPr>
          <w:rFonts w:ascii="Arial" w:hAnsi="Arial" w:cs="Arial"/>
          <w:sz w:val="22"/>
          <w:szCs w:val="22"/>
        </w:rPr>
        <w:t xml:space="preserve">Schein, Aaron, John Paisley, David M. Blei, and Hanna Wallach. 2015a. “Bayesian Poisson Tensor Factorization for Inferring Multilateral Relations from Sparse Dyadic Event Counts.” </w:t>
      </w:r>
      <w:hyperlink r:id="rId66">
        <w:r w:rsidRPr="003015D7">
          <w:rPr>
            <w:rStyle w:val="Hyperlink"/>
            <w:rFonts w:ascii="Arial" w:hAnsi="Arial" w:cs="Arial"/>
            <w:color w:val="auto"/>
            <w:sz w:val="22"/>
            <w:szCs w:val="22"/>
          </w:rPr>
          <w:t>http://arxiv.org/abs/1506.03493</w:t>
        </w:r>
      </w:hyperlink>
      <w:r w:rsidRPr="003015D7">
        <w:rPr>
          <w:rFonts w:ascii="Arial" w:hAnsi="Arial" w:cs="Arial"/>
          <w:sz w:val="22"/>
          <w:szCs w:val="22"/>
        </w:rPr>
        <w:t>.</w:t>
      </w:r>
    </w:p>
    <w:p w14:paraId="2080FE97" w14:textId="10026088" w:rsidR="00792322" w:rsidRPr="003015D7" w:rsidRDefault="008145C3" w:rsidP="003015D7">
      <w:pPr>
        <w:pStyle w:val="Bibliography"/>
        <w:rPr>
          <w:rFonts w:ascii="Arial" w:hAnsi="Arial" w:cs="Arial"/>
          <w:sz w:val="22"/>
          <w:szCs w:val="22"/>
        </w:rPr>
      </w:pPr>
      <w:bookmarkStart w:id="61" w:name="ref-self-rat1997"/>
      <w:bookmarkEnd w:id="60"/>
      <w:proofErr w:type="spellStart"/>
      <w:r w:rsidRPr="008145C3">
        <w:rPr>
          <w:rFonts w:ascii="Arial" w:hAnsi="Arial" w:cs="Arial"/>
          <w:sz w:val="22"/>
          <w:szCs w:val="22"/>
        </w:rPr>
        <w:t>Miilunpalo</w:t>
      </w:r>
      <w:proofErr w:type="spellEnd"/>
      <w:r>
        <w:rPr>
          <w:rFonts w:ascii="Arial" w:hAnsi="Arial" w:cs="Arial"/>
          <w:sz w:val="22"/>
          <w:szCs w:val="22"/>
        </w:rPr>
        <w:t>, S</w:t>
      </w:r>
      <w:r w:rsidRPr="008145C3">
        <w:rPr>
          <w:rFonts w:ascii="Arial" w:hAnsi="Arial" w:cs="Arial"/>
          <w:sz w:val="22"/>
          <w:szCs w:val="22"/>
        </w:rPr>
        <w:t xml:space="preserve">, I </w:t>
      </w:r>
      <w:proofErr w:type="spellStart"/>
      <w:r w:rsidRPr="008145C3">
        <w:rPr>
          <w:rFonts w:ascii="Arial" w:hAnsi="Arial" w:cs="Arial"/>
          <w:sz w:val="22"/>
          <w:szCs w:val="22"/>
        </w:rPr>
        <w:t>Vuori</w:t>
      </w:r>
      <w:proofErr w:type="spellEnd"/>
      <w:r w:rsidRPr="008145C3">
        <w:rPr>
          <w:rFonts w:ascii="Arial" w:hAnsi="Arial" w:cs="Arial"/>
          <w:sz w:val="22"/>
          <w:szCs w:val="22"/>
        </w:rPr>
        <w:t xml:space="preserve">, P </w:t>
      </w:r>
      <w:proofErr w:type="spellStart"/>
      <w:r w:rsidRPr="008145C3">
        <w:rPr>
          <w:rFonts w:ascii="Arial" w:hAnsi="Arial" w:cs="Arial"/>
          <w:sz w:val="22"/>
          <w:szCs w:val="22"/>
        </w:rPr>
        <w:t>Oja</w:t>
      </w:r>
      <w:proofErr w:type="spellEnd"/>
      <w:r w:rsidRPr="008145C3">
        <w:rPr>
          <w:rFonts w:ascii="Arial" w:hAnsi="Arial" w:cs="Arial"/>
          <w:sz w:val="22"/>
          <w:szCs w:val="22"/>
        </w:rPr>
        <w:t xml:space="preserve">, M </w:t>
      </w:r>
      <w:proofErr w:type="spellStart"/>
      <w:r w:rsidRPr="008145C3">
        <w:rPr>
          <w:rFonts w:ascii="Arial" w:hAnsi="Arial" w:cs="Arial"/>
          <w:sz w:val="22"/>
          <w:szCs w:val="22"/>
        </w:rPr>
        <w:t>Pasanen</w:t>
      </w:r>
      <w:proofErr w:type="spellEnd"/>
      <w:r w:rsidRPr="008145C3">
        <w:rPr>
          <w:rFonts w:ascii="Arial" w:hAnsi="Arial" w:cs="Arial"/>
          <w:sz w:val="22"/>
          <w:szCs w:val="22"/>
        </w:rPr>
        <w:t>,</w:t>
      </w:r>
      <w:r>
        <w:rPr>
          <w:rFonts w:ascii="Arial" w:hAnsi="Arial" w:cs="Arial"/>
          <w:sz w:val="22"/>
          <w:szCs w:val="22"/>
        </w:rPr>
        <w:t xml:space="preserve"> and</w:t>
      </w:r>
      <w:r w:rsidRPr="008145C3">
        <w:rPr>
          <w:rFonts w:ascii="Arial" w:hAnsi="Arial" w:cs="Arial"/>
          <w:sz w:val="22"/>
          <w:szCs w:val="22"/>
        </w:rPr>
        <w:t xml:space="preserve"> H </w:t>
      </w:r>
      <w:proofErr w:type="spellStart"/>
      <w:r w:rsidRPr="008145C3">
        <w:rPr>
          <w:rFonts w:ascii="Arial" w:hAnsi="Arial" w:cs="Arial"/>
          <w:sz w:val="22"/>
          <w:szCs w:val="22"/>
        </w:rPr>
        <w:t>Urponen</w:t>
      </w:r>
      <w:proofErr w:type="spellEnd"/>
      <w:r w:rsidRPr="008145C3">
        <w:rPr>
          <w:rFonts w:ascii="Arial" w:hAnsi="Arial" w:cs="Arial"/>
          <w:sz w:val="22"/>
          <w:szCs w:val="22"/>
        </w:rPr>
        <w:t xml:space="preserve"> </w:t>
      </w:r>
      <w:r w:rsidR="00000000" w:rsidRPr="003015D7">
        <w:rPr>
          <w:rFonts w:ascii="Arial" w:hAnsi="Arial" w:cs="Arial"/>
          <w:sz w:val="22"/>
          <w:szCs w:val="22"/>
        </w:rPr>
        <w:t xml:space="preserve">“Self-Rated Health Status as a Health Measure: The Predictive Value of Self-Reported Health Status on the Use of Physician Services and on Mortality in the Working-Age Population.” 1997. </w:t>
      </w:r>
      <w:r w:rsidR="00000000" w:rsidRPr="003015D7">
        <w:rPr>
          <w:rFonts w:ascii="Arial" w:hAnsi="Arial" w:cs="Arial"/>
          <w:i/>
          <w:iCs/>
          <w:sz w:val="22"/>
          <w:szCs w:val="22"/>
        </w:rPr>
        <w:t>Journal of Clinical Epidemiology</w:t>
      </w:r>
      <w:r w:rsidR="00000000" w:rsidRPr="003015D7">
        <w:rPr>
          <w:rFonts w:ascii="Arial" w:hAnsi="Arial" w:cs="Arial"/>
          <w:sz w:val="22"/>
          <w:szCs w:val="22"/>
        </w:rPr>
        <w:t xml:space="preserve"> 50 (5): 517–28. </w:t>
      </w:r>
      <w:hyperlink r:id="rId67">
        <w:r w:rsidR="00000000" w:rsidRPr="003015D7">
          <w:rPr>
            <w:rStyle w:val="Hyperlink"/>
            <w:rFonts w:ascii="Arial" w:hAnsi="Arial" w:cs="Arial"/>
            <w:color w:val="auto"/>
            <w:sz w:val="22"/>
            <w:szCs w:val="22"/>
          </w:rPr>
          <w:t>https://doi.org/10.1016/S0895-4356(97)00045-0</w:t>
        </w:r>
      </w:hyperlink>
      <w:r w:rsidR="00000000" w:rsidRPr="003015D7">
        <w:rPr>
          <w:rFonts w:ascii="Arial" w:hAnsi="Arial" w:cs="Arial"/>
          <w:sz w:val="22"/>
          <w:szCs w:val="22"/>
        </w:rPr>
        <w:t>.</w:t>
      </w:r>
    </w:p>
    <w:p w14:paraId="0FB39A42" w14:textId="77777777" w:rsidR="00792322" w:rsidRPr="003015D7" w:rsidRDefault="00000000" w:rsidP="003015D7">
      <w:pPr>
        <w:pStyle w:val="Bibliography"/>
        <w:rPr>
          <w:rFonts w:ascii="Arial" w:hAnsi="Arial" w:cs="Arial"/>
          <w:sz w:val="22"/>
          <w:szCs w:val="22"/>
        </w:rPr>
      </w:pPr>
      <w:bookmarkStart w:id="62" w:name="ref-shi2021"/>
      <w:bookmarkEnd w:id="61"/>
      <w:r w:rsidRPr="003015D7">
        <w:rPr>
          <w:rFonts w:ascii="Arial" w:hAnsi="Arial" w:cs="Arial"/>
          <w:sz w:val="22"/>
          <w:szCs w:val="22"/>
        </w:rPr>
        <w:t xml:space="preserve">Shi, Yanlin. 2021. “Forecasting Mortality Rates with the Adaptive Spatial Temporal Autoregressive Model.” </w:t>
      </w:r>
      <w:r w:rsidRPr="003015D7">
        <w:rPr>
          <w:rFonts w:ascii="Arial" w:hAnsi="Arial" w:cs="Arial"/>
          <w:i/>
          <w:iCs/>
          <w:sz w:val="22"/>
          <w:szCs w:val="22"/>
        </w:rPr>
        <w:t>Journal of Forecasting</w:t>
      </w:r>
      <w:r w:rsidRPr="003015D7">
        <w:rPr>
          <w:rFonts w:ascii="Arial" w:hAnsi="Arial" w:cs="Arial"/>
          <w:sz w:val="22"/>
          <w:szCs w:val="22"/>
        </w:rPr>
        <w:t xml:space="preserve"> 40 (3): 528–46. </w:t>
      </w:r>
      <w:hyperlink r:id="rId68">
        <w:r w:rsidRPr="003015D7">
          <w:rPr>
            <w:rStyle w:val="Hyperlink"/>
            <w:rFonts w:ascii="Arial" w:hAnsi="Arial" w:cs="Arial"/>
            <w:color w:val="auto"/>
            <w:sz w:val="22"/>
            <w:szCs w:val="22"/>
          </w:rPr>
          <w:t>https://doi.org/10.1002/for.2730</w:t>
        </w:r>
      </w:hyperlink>
      <w:r w:rsidRPr="003015D7">
        <w:rPr>
          <w:rFonts w:ascii="Arial" w:hAnsi="Arial" w:cs="Arial"/>
          <w:sz w:val="22"/>
          <w:szCs w:val="22"/>
        </w:rPr>
        <w:t>.</w:t>
      </w:r>
    </w:p>
    <w:p w14:paraId="7831A0AD" w14:textId="77777777" w:rsidR="00792322" w:rsidRPr="003015D7" w:rsidRDefault="00000000" w:rsidP="003015D7">
      <w:pPr>
        <w:pStyle w:val="Bibliography"/>
        <w:rPr>
          <w:rFonts w:ascii="Arial" w:hAnsi="Arial" w:cs="Arial"/>
          <w:sz w:val="22"/>
          <w:szCs w:val="22"/>
        </w:rPr>
      </w:pPr>
      <w:bookmarkStart w:id="63" w:name="ref-shumway2014"/>
      <w:bookmarkEnd w:id="62"/>
      <w:r w:rsidRPr="003015D7">
        <w:rPr>
          <w:rFonts w:ascii="Arial" w:hAnsi="Arial" w:cs="Arial"/>
          <w:sz w:val="22"/>
          <w:szCs w:val="22"/>
        </w:rPr>
        <w:t xml:space="preserve">Shumway, J. Matthew, Samuel Otterstrom, and Sonya Glavac. 2014. “Environmental Hazards as Disamenities: Selective Migration and Income Change in the United States from 20002010.” </w:t>
      </w:r>
      <w:r w:rsidRPr="003015D7">
        <w:rPr>
          <w:rFonts w:ascii="Arial" w:hAnsi="Arial" w:cs="Arial"/>
          <w:i/>
          <w:iCs/>
          <w:sz w:val="22"/>
          <w:szCs w:val="22"/>
        </w:rPr>
        <w:t>Annals of the Association of American Geographers</w:t>
      </w:r>
      <w:r w:rsidRPr="003015D7">
        <w:rPr>
          <w:rFonts w:ascii="Arial" w:hAnsi="Arial" w:cs="Arial"/>
          <w:sz w:val="22"/>
          <w:szCs w:val="22"/>
        </w:rPr>
        <w:t xml:space="preserve"> 104 (2): 280–91. </w:t>
      </w:r>
      <w:hyperlink r:id="rId69">
        <w:r w:rsidRPr="003015D7">
          <w:rPr>
            <w:rStyle w:val="Hyperlink"/>
            <w:rFonts w:ascii="Arial" w:hAnsi="Arial" w:cs="Arial"/>
            <w:color w:val="auto"/>
            <w:sz w:val="22"/>
            <w:szCs w:val="22"/>
          </w:rPr>
          <w:t>https://doi.org/10.1080/00045608.2013.873322</w:t>
        </w:r>
      </w:hyperlink>
      <w:r w:rsidRPr="003015D7">
        <w:rPr>
          <w:rFonts w:ascii="Arial" w:hAnsi="Arial" w:cs="Arial"/>
          <w:sz w:val="22"/>
          <w:szCs w:val="22"/>
        </w:rPr>
        <w:t>.</w:t>
      </w:r>
    </w:p>
    <w:p w14:paraId="22EE10B9" w14:textId="77777777" w:rsidR="00792322" w:rsidRPr="003015D7" w:rsidRDefault="00000000" w:rsidP="003015D7">
      <w:pPr>
        <w:pStyle w:val="Bibliography"/>
        <w:rPr>
          <w:rFonts w:ascii="Arial" w:hAnsi="Arial" w:cs="Arial"/>
          <w:sz w:val="22"/>
          <w:szCs w:val="22"/>
        </w:rPr>
      </w:pPr>
      <w:bookmarkStart w:id="64" w:name="ref-soitax"/>
      <w:bookmarkEnd w:id="63"/>
      <w:r w:rsidRPr="003015D7">
        <w:rPr>
          <w:rFonts w:ascii="Arial" w:hAnsi="Arial" w:cs="Arial"/>
          <w:sz w:val="22"/>
          <w:szCs w:val="22"/>
        </w:rPr>
        <w:t xml:space="preserve">“SOI Tax Stats - Migration Data | Internal Revenue Service.” n.d. </w:t>
      </w:r>
      <w:hyperlink r:id="rId70">
        <w:r w:rsidRPr="003015D7">
          <w:rPr>
            <w:rStyle w:val="Hyperlink"/>
            <w:rFonts w:ascii="Arial" w:hAnsi="Arial" w:cs="Arial"/>
            <w:color w:val="auto"/>
            <w:sz w:val="22"/>
            <w:szCs w:val="22"/>
          </w:rPr>
          <w:t>https://www.irs.gov/statistics/soi-tax-stats-migration-data</w:t>
        </w:r>
      </w:hyperlink>
      <w:r w:rsidRPr="003015D7">
        <w:rPr>
          <w:rFonts w:ascii="Arial" w:hAnsi="Arial" w:cs="Arial"/>
          <w:sz w:val="22"/>
          <w:szCs w:val="22"/>
        </w:rPr>
        <w:t>.</w:t>
      </w:r>
    </w:p>
    <w:p w14:paraId="2204570F" w14:textId="77777777" w:rsidR="00792322" w:rsidRPr="003015D7" w:rsidRDefault="00000000" w:rsidP="003015D7">
      <w:pPr>
        <w:pStyle w:val="Bibliography"/>
        <w:rPr>
          <w:rFonts w:ascii="Arial" w:hAnsi="Arial" w:cs="Arial"/>
          <w:sz w:val="22"/>
          <w:szCs w:val="22"/>
        </w:rPr>
      </w:pPr>
      <w:bookmarkStart w:id="65" w:name="ref-sparks2010"/>
      <w:bookmarkEnd w:id="64"/>
      <w:r w:rsidRPr="003015D7">
        <w:rPr>
          <w:rFonts w:ascii="Arial" w:hAnsi="Arial" w:cs="Arial"/>
          <w:sz w:val="22"/>
          <w:szCs w:val="22"/>
        </w:rPr>
        <w:t xml:space="preserve">Sparks, Patrice Johnelle, and Corey S. Sparks. 2010. “An Application of Spatially Autoregressive Models to the Study of US County Mortality Rates.” </w:t>
      </w:r>
      <w:r w:rsidRPr="003015D7">
        <w:rPr>
          <w:rFonts w:ascii="Arial" w:hAnsi="Arial" w:cs="Arial"/>
          <w:i/>
          <w:iCs/>
          <w:sz w:val="22"/>
          <w:szCs w:val="22"/>
        </w:rPr>
        <w:t>Population, Space and Place</w:t>
      </w:r>
      <w:r w:rsidRPr="003015D7">
        <w:rPr>
          <w:rFonts w:ascii="Arial" w:hAnsi="Arial" w:cs="Arial"/>
          <w:sz w:val="22"/>
          <w:szCs w:val="22"/>
        </w:rPr>
        <w:t xml:space="preserve"> 16 (6): 465–81. </w:t>
      </w:r>
      <w:hyperlink r:id="rId71">
        <w:r w:rsidRPr="003015D7">
          <w:rPr>
            <w:rStyle w:val="Hyperlink"/>
            <w:rFonts w:ascii="Arial" w:hAnsi="Arial" w:cs="Arial"/>
            <w:color w:val="auto"/>
            <w:sz w:val="22"/>
            <w:szCs w:val="22"/>
          </w:rPr>
          <w:t>https://doi.org/10.1002/psp.564</w:t>
        </w:r>
      </w:hyperlink>
      <w:r w:rsidRPr="003015D7">
        <w:rPr>
          <w:rFonts w:ascii="Arial" w:hAnsi="Arial" w:cs="Arial"/>
          <w:sz w:val="22"/>
          <w:szCs w:val="22"/>
        </w:rPr>
        <w:t>.</w:t>
      </w:r>
    </w:p>
    <w:p w14:paraId="1B8CA9BA" w14:textId="77777777" w:rsidR="00792322" w:rsidRPr="003015D7" w:rsidRDefault="00000000" w:rsidP="003015D7">
      <w:pPr>
        <w:pStyle w:val="Bibliography"/>
        <w:rPr>
          <w:rFonts w:ascii="Arial" w:hAnsi="Arial" w:cs="Arial"/>
          <w:sz w:val="22"/>
          <w:szCs w:val="22"/>
        </w:rPr>
      </w:pPr>
      <w:bookmarkStart w:id="66" w:name="ref-sun"/>
      <w:bookmarkEnd w:id="65"/>
      <w:r w:rsidRPr="003015D7">
        <w:rPr>
          <w:rFonts w:ascii="Arial" w:hAnsi="Arial" w:cs="Arial"/>
          <w:sz w:val="22"/>
          <w:szCs w:val="22"/>
        </w:rPr>
        <w:t xml:space="preserve">Sun, Lijun, and Kay Axhausen. n.d. “Understanding Urban Mobility Patterns with a Probabilistic Tensor Factorization Framework.” </w:t>
      </w:r>
      <w:hyperlink r:id="rId72">
        <w:r w:rsidRPr="003015D7">
          <w:rPr>
            <w:rStyle w:val="Hyperlink"/>
            <w:rFonts w:ascii="Arial" w:hAnsi="Arial" w:cs="Arial"/>
            <w:color w:val="auto"/>
            <w:sz w:val="22"/>
            <w:szCs w:val="22"/>
          </w:rPr>
          <w:t>file:///C:/Users/holsonwillia/Downloads/1-s2.0-S0191261516300261-main%20(2).pdf</w:t>
        </w:r>
      </w:hyperlink>
      <w:r w:rsidRPr="003015D7">
        <w:rPr>
          <w:rFonts w:ascii="Arial" w:hAnsi="Arial" w:cs="Arial"/>
          <w:sz w:val="22"/>
          <w:szCs w:val="22"/>
        </w:rPr>
        <w:t>.</w:t>
      </w:r>
    </w:p>
    <w:p w14:paraId="7E57FEC9" w14:textId="77777777" w:rsidR="00792322" w:rsidRPr="003015D7" w:rsidRDefault="00000000" w:rsidP="003015D7">
      <w:pPr>
        <w:pStyle w:val="Bibliography"/>
        <w:rPr>
          <w:rFonts w:ascii="Arial" w:hAnsi="Arial" w:cs="Arial"/>
          <w:sz w:val="22"/>
          <w:szCs w:val="22"/>
        </w:rPr>
      </w:pPr>
      <w:bookmarkStart w:id="67" w:name="ref-tsai2018"/>
      <w:bookmarkEnd w:id="66"/>
      <w:r w:rsidRPr="003015D7">
        <w:rPr>
          <w:rFonts w:ascii="Arial" w:hAnsi="Arial" w:cs="Arial"/>
          <w:sz w:val="22"/>
          <w:szCs w:val="22"/>
        </w:rPr>
        <w:lastRenderedPageBreak/>
        <w:t xml:space="preserve">Tsai, Wei-Lun, Melissa R. McHale, Viniece Jennings, Oriol Marquet, J. Aaron Hipp, Yu-Fai Leung, and Myron F. Floyd. 2018. “Relationships Between Characteristics of Urban Green Land Cover and Mental Health in U.S. Metropolitan Areas.” </w:t>
      </w:r>
      <w:r w:rsidRPr="003015D7">
        <w:rPr>
          <w:rFonts w:ascii="Arial" w:hAnsi="Arial" w:cs="Arial"/>
          <w:i/>
          <w:iCs/>
          <w:sz w:val="22"/>
          <w:szCs w:val="22"/>
        </w:rPr>
        <w:t>International Journal of Environmental Research and Public Health</w:t>
      </w:r>
      <w:r w:rsidRPr="003015D7">
        <w:rPr>
          <w:rFonts w:ascii="Arial" w:hAnsi="Arial" w:cs="Arial"/>
          <w:sz w:val="22"/>
          <w:szCs w:val="22"/>
        </w:rPr>
        <w:t xml:space="preserve"> 15 (2): 340. </w:t>
      </w:r>
      <w:hyperlink r:id="rId73">
        <w:r w:rsidRPr="003015D7">
          <w:rPr>
            <w:rStyle w:val="Hyperlink"/>
            <w:rFonts w:ascii="Arial" w:hAnsi="Arial" w:cs="Arial"/>
            <w:color w:val="auto"/>
            <w:sz w:val="22"/>
            <w:szCs w:val="22"/>
          </w:rPr>
          <w:t>https://doi.org/10.3390/ijerph15020340</w:t>
        </w:r>
      </w:hyperlink>
      <w:r w:rsidRPr="003015D7">
        <w:rPr>
          <w:rFonts w:ascii="Arial" w:hAnsi="Arial" w:cs="Arial"/>
          <w:sz w:val="22"/>
          <w:szCs w:val="22"/>
        </w:rPr>
        <w:t>.</w:t>
      </w:r>
    </w:p>
    <w:p w14:paraId="10D66A65" w14:textId="77777777" w:rsidR="00792322" w:rsidRPr="003015D7" w:rsidRDefault="00000000" w:rsidP="003015D7">
      <w:pPr>
        <w:pStyle w:val="Bibliography"/>
        <w:rPr>
          <w:rFonts w:ascii="Arial" w:hAnsi="Arial" w:cs="Arial"/>
          <w:sz w:val="22"/>
          <w:szCs w:val="22"/>
        </w:rPr>
      </w:pPr>
      <w:bookmarkStart w:id="68" w:name="ref-uzomah2020"/>
      <w:bookmarkEnd w:id="67"/>
      <w:r w:rsidRPr="003015D7">
        <w:rPr>
          <w:rFonts w:ascii="Arial" w:hAnsi="Arial" w:cs="Arial"/>
          <w:sz w:val="22"/>
          <w:szCs w:val="22"/>
        </w:rPr>
        <w:t xml:space="preserve">Uzomah, Ngozi L., and Ignatius A. Madu. 2020. “Factors of Migration of ECOWAS Citizens into Nigeria: A Principal Component Analysis Approach.” </w:t>
      </w:r>
      <w:r w:rsidRPr="003015D7">
        <w:rPr>
          <w:rFonts w:ascii="Arial" w:hAnsi="Arial" w:cs="Arial"/>
          <w:i/>
          <w:iCs/>
          <w:sz w:val="22"/>
          <w:szCs w:val="22"/>
        </w:rPr>
        <w:t>International Journal of Migration and Border Studies</w:t>
      </w:r>
      <w:r w:rsidRPr="003015D7">
        <w:rPr>
          <w:rFonts w:ascii="Arial" w:hAnsi="Arial" w:cs="Arial"/>
          <w:sz w:val="22"/>
          <w:szCs w:val="22"/>
        </w:rPr>
        <w:t xml:space="preserve"> 6 (3): 234–57. </w:t>
      </w:r>
      <w:hyperlink r:id="rId74">
        <w:r w:rsidRPr="003015D7">
          <w:rPr>
            <w:rStyle w:val="Hyperlink"/>
            <w:rFonts w:ascii="Arial" w:hAnsi="Arial" w:cs="Arial"/>
            <w:color w:val="auto"/>
            <w:sz w:val="22"/>
            <w:szCs w:val="22"/>
          </w:rPr>
          <w:t>https://doi.org/10.1504/IJMBS.2020.111441</w:t>
        </w:r>
      </w:hyperlink>
      <w:r w:rsidRPr="003015D7">
        <w:rPr>
          <w:rFonts w:ascii="Arial" w:hAnsi="Arial" w:cs="Arial"/>
          <w:sz w:val="22"/>
          <w:szCs w:val="22"/>
        </w:rPr>
        <w:t>.</w:t>
      </w:r>
    </w:p>
    <w:p w14:paraId="0CBC6475" w14:textId="77777777" w:rsidR="00792322" w:rsidRPr="003015D7" w:rsidRDefault="00000000" w:rsidP="003015D7">
      <w:pPr>
        <w:pStyle w:val="Bibliography"/>
        <w:rPr>
          <w:rFonts w:ascii="Arial" w:hAnsi="Arial" w:cs="Arial"/>
          <w:sz w:val="22"/>
          <w:szCs w:val="22"/>
        </w:rPr>
      </w:pPr>
      <w:bookmarkStart w:id="69" w:name="ref-vanderweele2014"/>
      <w:bookmarkEnd w:id="68"/>
      <w:r w:rsidRPr="003015D7">
        <w:rPr>
          <w:rFonts w:ascii="Arial" w:hAnsi="Arial" w:cs="Arial"/>
          <w:sz w:val="22"/>
          <w:szCs w:val="22"/>
        </w:rPr>
        <w:t xml:space="preserve">VanderWeele, T. J., and S. Vansteelandt. 2014. “Mediation Analysis with Multiple Mediators.” </w:t>
      </w:r>
      <w:r w:rsidRPr="003015D7">
        <w:rPr>
          <w:rFonts w:ascii="Arial" w:hAnsi="Arial" w:cs="Arial"/>
          <w:i/>
          <w:iCs/>
          <w:sz w:val="22"/>
          <w:szCs w:val="22"/>
        </w:rPr>
        <w:t>Epidemiologic Methods</w:t>
      </w:r>
      <w:r w:rsidRPr="003015D7">
        <w:rPr>
          <w:rFonts w:ascii="Arial" w:hAnsi="Arial" w:cs="Arial"/>
          <w:sz w:val="22"/>
          <w:szCs w:val="22"/>
        </w:rPr>
        <w:t xml:space="preserve"> 2 (1): 95–115. </w:t>
      </w:r>
      <w:hyperlink r:id="rId75">
        <w:r w:rsidRPr="003015D7">
          <w:rPr>
            <w:rStyle w:val="Hyperlink"/>
            <w:rFonts w:ascii="Arial" w:hAnsi="Arial" w:cs="Arial"/>
            <w:color w:val="auto"/>
            <w:sz w:val="22"/>
            <w:szCs w:val="22"/>
          </w:rPr>
          <w:t>https://doi.org/10.1515/em-2012-0010</w:t>
        </w:r>
      </w:hyperlink>
      <w:r w:rsidRPr="003015D7">
        <w:rPr>
          <w:rFonts w:ascii="Arial" w:hAnsi="Arial" w:cs="Arial"/>
          <w:sz w:val="22"/>
          <w:szCs w:val="22"/>
        </w:rPr>
        <w:t>.</w:t>
      </w:r>
    </w:p>
    <w:p w14:paraId="3266A616" w14:textId="77777777" w:rsidR="00792322" w:rsidRPr="003015D7" w:rsidRDefault="00000000" w:rsidP="003015D7">
      <w:pPr>
        <w:pStyle w:val="Bibliography"/>
        <w:rPr>
          <w:rFonts w:ascii="Arial" w:hAnsi="Arial" w:cs="Arial"/>
          <w:sz w:val="22"/>
          <w:szCs w:val="22"/>
        </w:rPr>
      </w:pPr>
      <w:bookmarkStart w:id="70" w:name="ref-weckroth2022"/>
      <w:bookmarkEnd w:id="69"/>
      <w:r w:rsidRPr="003015D7">
        <w:rPr>
          <w:rFonts w:ascii="Arial" w:hAnsi="Arial" w:cs="Arial"/>
          <w:sz w:val="22"/>
          <w:szCs w:val="22"/>
        </w:rPr>
        <w:t xml:space="preserve">Weckroth, Mikko, Sanna Ala-Mantila, Dimitris Ballas, Thanasis Ziogas, and Jonna Ikonen. 2022. “Urbanity, Neighbourhood Characteristics and Perceived Quality of Life (QoL): Analysis of Individual and Contextual Determinants for Perceived QoL in 3300 Postal Code Areas in Finland.” </w:t>
      </w:r>
      <w:r w:rsidRPr="003015D7">
        <w:rPr>
          <w:rFonts w:ascii="Arial" w:hAnsi="Arial" w:cs="Arial"/>
          <w:i/>
          <w:iCs/>
          <w:sz w:val="22"/>
          <w:szCs w:val="22"/>
        </w:rPr>
        <w:t>Social Indicators Research</w:t>
      </w:r>
      <w:r w:rsidRPr="003015D7">
        <w:rPr>
          <w:rFonts w:ascii="Arial" w:hAnsi="Arial" w:cs="Arial"/>
          <w:sz w:val="22"/>
          <w:szCs w:val="22"/>
        </w:rPr>
        <w:t xml:space="preserve">, February. </w:t>
      </w:r>
      <w:hyperlink r:id="rId76">
        <w:r w:rsidRPr="003015D7">
          <w:rPr>
            <w:rStyle w:val="Hyperlink"/>
            <w:rFonts w:ascii="Arial" w:hAnsi="Arial" w:cs="Arial"/>
            <w:color w:val="auto"/>
            <w:sz w:val="22"/>
            <w:szCs w:val="22"/>
          </w:rPr>
          <w:t>https://doi.org/10.1007/s11205-021-02835-z</w:t>
        </w:r>
      </w:hyperlink>
      <w:r w:rsidRPr="003015D7">
        <w:rPr>
          <w:rFonts w:ascii="Arial" w:hAnsi="Arial" w:cs="Arial"/>
          <w:sz w:val="22"/>
          <w:szCs w:val="22"/>
        </w:rPr>
        <w:t>.</w:t>
      </w:r>
    </w:p>
    <w:p w14:paraId="26FE5BB5" w14:textId="77777777" w:rsidR="00792322" w:rsidRPr="003015D7" w:rsidRDefault="00000000" w:rsidP="003015D7">
      <w:pPr>
        <w:pStyle w:val="Bibliography"/>
        <w:rPr>
          <w:rFonts w:ascii="Arial" w:hAnsi="Arial" w:cs="Arial"/>
          <w:sz w:val="22"/>
          <w:szCs w:val="22"/>
        </w:rPr>
      </w:pPr>
      <w:bookmarkStart w:id="71" w:name="ref-yang2012"/>
      <w:bookmarkEnd w:id="70"/>
      <w:r w:rsidRPr="003015D7">
        <w:rPr>
          <w:rFonts w:ascii="Arial" w:hAnsi="Arial" w:cs="Arial"/>
          <w:sz w:val="22"/>
          <w:szCs w:val="22"/>
        </w:rPr>
        <w:t xml:space="preserve">Yang, Lei, Guoyou Qin, Naiqing Zhao, Chunfang Wang, and Guixiang Song. 2012. “Using a Generalized Additive Model with Autoregressive Terms to Study the Effects of Daily Temperature on Mortality.” </w:t>
      </w:r>
      <w:r w:rsidRPr="003015D7">
        <w:rPr>
          <w:rFonts w:ascii="Arial" w:hAnsi="Arial" w:cs="Arial"/>
          <w:i/>
          <w:iCs/>
          <w:sz w:val="22"/>
          <w:szCs w:val="22"/>
        </w:rPr>
        <w:t>BMC Medical Research Methodology</w:t>
      </w:r>
      <w:r w:rsidRPr="003015D7">
        <w:rPr>
          <w:rFonts w:ascii="Arial" w:hAnsi="Arial" w:cs="Arial"/>
          <w:sz w:val="22"/>
          <w:szCs w:val="22"/>
        </w:rPr>
        <w:t xml:space="preserve"> 12 (1): 165. </w:t>
      </w:r>
      <w:hyperlink r:id="rId77">
        <w:r w:rsidRPr="003015D7">
          <w:rPr>
            <w:rStyle w:val="Hyperlink"/>
            <w:rFonts w:ascii="Arial" w:hAnsi="Arial" w:cs="Arial"/>
            <w:color w:val="auto"/>
            <w:sz w:val="22"/>
            <w:szCs w:val="22"/>
          </w:rPr>
          <w:t>https://doi.org/10.1186/1471-2288-12-165</w:t>
        </w:r>
      </w:hyperlink>
      <w:r w:rsidRPr="003015D7">
        <w:rPr>
          <w:rFonts w:ascii="Arial" w:hAnsi="Arial" w:cs="Arial"/>
          <w:sz w:val="22"/>
          <w:szCs w:val="22"/>
        </w:rPr>
        <w:t>.</w:t>
      </w:r>
    </w:p>
    <w:p w14:paraId="0710EDB3" w14:textId="77777777" w:rsidR="00792322" w:rsidRPr="003015D7" w:rsidRDefault="00000000" w:rsidP="003015D7">
      <w:pPr>
        <w:pStyle w:val="Bibliography"/>
        <w:rPr>
          <w:rFonts w:ascii="Arial" w:hAnsi="Arial" w:cs="Arial"/>
          <w:sz w:val="22"/>
          <w:szCs w:val="22"/>
        </w:rPr>
      </w:pPr>
      <w:bookmarkStart w:id="72" w:name="ref-yang2019"/>
      <w:bookmarkEnd w:id="71"/>
      <w:r w:rsidRPr="003015D7">
        <w:rPr>
          <w:rFonts w:ascii="Arial" w:hAnsi="Arial" w:cs="Arial"/>
          <w:sz w:val="22"/>
          <w:szCs w:val="22"/>
        </w:rPr>
        <w:t xml:space="preserve">Yang, Tse-Chuan. 2019. “Modeling the Importance of Within- and Between-County Effects in an Ecological Study of the Association Between Social Capital and Mental Distress.” </w:t>
      </w:r>
      <w:r w:rsidRPr="003015D7">
        <w:rPr>
          <w:rFonts w:ascii="Arial" w:hAnsi="Arial" w:cs="Arial"/>
          <w:i/>
          <w:iCs/>
          <w:sz w:val="22"/>
          <w:szCs w:val="22"/>
        </w:rPr>
        <w:t>Preventing Chronic Disease</w:t>
      </w:r>
      <w:r w:rsidRPr="003015D7">
        <w:rPr>
          <w:rFonts w:ascii="Arial" w:hAnsi="Arial" w:cs="Arial"/>
          <w:sz w:val="22"/>
          <w:szCs w:val="22"/>
        </w:rPr>
        <w:t xml:space="preserve"> 16. </w:t>
      </w:r>
      <w:hyperlink r:id="rId78">
        <w:r w:rsidRPr="003015D7">
          <w:rPr>
            <w:rStyle w:val="Hyperlink"/>
            <w:rFonts w:ascii="Arial" w:hAnsi="Arial" w:cs="Arial"/>
            <w:color w:val="auto"/>
            <w:sz w:val="22"/>
            <w:szCs w:val="22"/>
          </w:rPr>
          <w:t>https://doi.org/10.5888/pcd16.180491</w:t>
        </w:r>
      </w:hyperlink>
      <w:r w:rsidRPr="003015D7">
        <w:rPr>
          <w:rFonts w:ascii="Arial" w:hAnsi="Arial" w:cs="Arial"/>
          <w:sz w:val="22"/>
          <w:szCs w:val="22"/>
        </w:rPr>
        <w:t>.</w:t>
      </w:r>
    </w:p>
    <w:p w14:paraId="2F7B8F52" w14:textId="77777777" w:rsidR="00792322" w:rsidRPr="003015D7" w:rsidRDefault="00000000" w:rsidP="003015D7">
      <w:pPr>
        <w:pStyle w:val="Bibliography"/>
        <w:rPr>
          <w:rFonts w:ascii="Arial" w:hAnsi="Arial" w:cs="Arial"/>
          <w:sz w:val="22"/>
          <w:szCs w:val="22"/>
        </w:rPr>
      </w:pPr>
      <w:bookmarkStart w:id="73" w:name="ref-yang2011"/>
      <w:bookmarkEnd w:id="72"/>
      <w:r w:rsidRPr="003015D7">
        <w:rPr>
          <w:rFonts w:ascii="Arial" w:hAnsi="Arial" w:cs="Arial"/>
          <w:sz w:val="22"/>
          <w:szCs w:val="22"/>
        </w:rPr>
        <w:t xml:space="preserve">Yang, Tse-Chuan, Leif Jensen, and Murali Haran. 2011. “Social Capital and Human Mortality: Explaining the Rural Paradox with County-Level Mortality Data.” </w:t>
      </w:r>
      <w:r w:rsidRPr="003015D7">
        <w:rPr>
          <w:rFonts w:ascii="Arial" w:hAnsi="Arial" w:cs="Arial"/>
          <w:i/>
          <w:iCs/>
          <w:sz w:val="22"/>
          <w:szCs w:val="22"/>
        </w:rPr>
        <w:t>Rural Sociology</w:t>
      </w:r>
      <w:r w:rsidRPr="003015D7">
        <w:rPr>
          <w:rFonts w:ascii="Arial" w:hAnsi="Arial" w:cs="Arial"/>
          <w:sz w:val="22"/>
          <w:szCs w:val="22"/>
        </w:rPr>
        <w:t xml:space="preserve"> 76 (3): 347–74. </w:t>
      </w:r>
      <w:hyperlink r:id="rId79">
        <w:r w:rsidRPr="003015D7">
          <w:rPr>
            <w:rStyle w:val="Hyperlink"/>
            <w:rFonts w:ascii="Arial" w:hAnsi="Arial" w:cs="Arial"/>
            <w:color w:val="auto"/>
            <w:sz w:val="22"/>
            <w:szCs w:val="22"/>
          </w:rPr>
          <w:t>https://doi.org/10.1111/j.1549-0831.2011.00055.x</w:t>
        </w:r>
      </w:hyperlink>
      <w:r w:rsidRPr="003015D7">
        <w:rPr>
          <w:rFonts w:ascii="Arial" w:hAnsi="Arial" w:cs="Arial"/>
          <w:sz w:val="22"/>
          <w:szCs w:val="22"/>
        </w:rPr>
        <w:t>.</w:t>
      </w:r>
    </w:p>
    <w:p w14:paraId="32360578" w14:textId="77777777" w:rsidR="00792322" w:rsidRPr="003015D7" w:rsidRDefault="00000000" w:rsidP="003015D7">
      <w:pPr>
        <w:pStyle w:val="Bibliography"/>
        <w:rPr>
          <w:rFonts w:ascii="Arial" w:hAnsi="Arial" w:cs="Arial"/>
          <w:sz w:val="22"/>
          <w:szCs w:val="22"/>
        </w:rPr>
      </w:pPr>
      <w:bookmarkStart w:id="74" w:name="ref-zijlema2015"/>
      <w:bookmarkEnd w:id="73"/>
      <w:r w:rsidRPr="003015D7">
        <w:rPr>
          <w:rFonts w:ascii="Arial" w:hAnsi="Arial" w:cs="Arial"/>
          <w:sz w:val="22"/>
          <w:szCs w:val="22"/>
        </w:rPr>
        <w:t xml:space="preserve">Zijlema, Wilma L., Bart Klijs, Ronald P. Stolk, and Judith G. M. Rosmalen. 2015. “(Un)Healthy in the City: Respiratory, Cardiometabolic and Mental Health Associated with Urbanity.” </w:t>
      </w:r>
      <w:r w:rsidRPr="003015D7">
        <w:rPr>
          <w:rFonts w:ascii="Arial" w:hAnsi="Arial" w:cs="Arial"/>
          <w:i/>
          <w:iCs/>
          <w:sz w:val="22"/>
          <w:szCs w:val="22"/>
        </w:rPr>
        <w:t>PLOS ONE</w:t>
      </w:r>
      <w:r w:rsidRPr="003015D7">
        <w:rPr>
          <w:rFonts w:ascii="Arial" w:hAnsi="Arial" w:cs="Arial"/>
          <w:sz w:val="22"/>
          <w:szCs w:val="22"/>
        </w:rPr>
        <w:t xml:space="preserve"> 10 (12): e0143910. </w:t>
      </w:r>
      <w:hyperlink r:id="rId80">
        <w:r w:rsidRPr="003015D7">
          <w:rPr>
            <w:rStyle w:val="Hyperlink"/>
            <w:rFonts w:ascii="Arial" w:hAnsi="Arial" w:cs="Arial"/>
            <w:color w:val="auto"/>
            <w:sz w:val="22"/>
            <w:szCs w:val="22"/>
          </w:rPr>
          <w:t>https://doi.org/10.1371/journal.pone.0143910</w:t>
        </w:r>
      </w:hyperlink>
      <w:r w:rsidRPr="003015D7">
        <w:rPr>
          <w:rFonts w:ascii="Arial" w:hAnsi="Arial" w:cs="Arial"/>
          <w:sz w:val="22"/>
          <w:szCs w:val="22"/>
        </w:rPr>
        <w:t>.</w:t>
      </w:r>
    </w:p>
    <w:p w14:paraId="5D7CADC6" w14:textId="77777777" w:rsidR="00792322" w:rsidRPr="003015D7" w:rsidRDefault="00000000" w:rsidP="003015D7">
      <w:pPr>
        <w:pStyle w:val="Bibliography"/>
        <w:rPr>
          <w:rFonts w:ascii="Arial" w:hAnsi="Arial" w:cs="Arial"/>
          <w:sz w:val="22"/>
          <w:szCs w:val="22"/>
        </w:rPr>
      </w:pPr>
      <w:bookmarkStart w:id="75" w:name="ref-zimmerman2006"/>
      <w:bookmarkEnd w:id="74"/>
      <w:r w:rsidRPr="003015D7">
        <w:rPr>
          <w:rFonts w:ascii="Arial" w:hAnsi="Arial" w:cs="Arial"/>
          <w:sz w:val="22"/>
          <w:szCs w:val="22"/>
        </w:rPr>
        <w:t xml:space="preserve">Zimmerman, F. J. 2006. “Income Inequality and Physical and Mental Health: Testing Associations Consistent with Proposed Causal Pathways.” </w:t>
      </w:r>
      <w:r w:rsidRPr="003015D7">
        <w:rPr>
          <w:rFonts w:ascii="Arial" w:hAnsi="Arial" w:cs="Arial"/>
          <w:i/>
          <w:iCs/>
          <w:sz w:val="22"/>
          <w:szCs w:val="22"/>
        </w:rPr>
        <w:t>Journal of Epidemiology &amp; Community Health</w:t>
      </w:r>
      <w:r w:rsidRPr="003015D7">
        <w:rPr>
          <w:rFonts w:ascii="Arial" w:hAnsi="Arial" w:cs="Arial"/>
          <w:sz w:val="22"/>
          <w:szCs w:val="22"/>
        </w:rPr>
        <w:t xml:space="preserve"> 60 (6): 513–21. </w:t>
      </w:r>
      <w:hyperlink r:id="rId81">
        <w:r w:rsidRPr="003015D7">
          <w:rPr>
            <w:rStyle w:val="Hyperlink"/>
            <w:rFonts w:ascii="Arial" w:hAnsi="Arial" w:cs="Arial"/>
            <w:color w:val="auto"/>
            <w:sz w:val="22"/>
            <w:szCs w:val="22"/>
          </w:rPr>
          <w:t>https://doi.org/10.1136/jech.2005.040154</w:t>
        </w:r>
      </w:hyperlink>
      <w:r w:rsidRPr="003015D7">
        <w:rPr>
          <w:rFonts w:ascii="Arial" w:hAnsi="Arial" w:cs="Arial"/>
          <w:sz w:val="22"/>
          <w:szCs w:val="22"/>
        </w:rPr>
        <w:t>.</w:t>
      </w:r>
      <w:bookmarkEnd w:id="1"/>
      <w:bookmarkEnd w:id="75"/>
    </w:p>
    <w:sectPr w:rsidR="00792322" w:rsidRPr="003015D7" w:rsidSect="003015D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BD905" w14:textId="77777777" w:rsidR="00D4344D" w:rsidRDefault="00D4344D">
      <w:pPr>
        <w:spacing w:after="0"/>
      </w:pPr>
      <w:r>
        <w:separator/>
      </w:r>
    </w:p>
  </w:endnote>
  <w:endnote w:type="continuationSeparator" w:id="0">
    <w:p w14:paraId="4213A0BB" w14:textId="77777777" w:rsidR="00D4344D" w:rsidRDefault="00D434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A0449" w14:textId="77777777" w:rsidR="00D4344D" w:rsidRDefault="00D4344D">
      <w:r>
        <w:separator/>
      </w:r>
    </w:p>
  </w:footnote>
  <w:footnote w:type="continuationSeparator" w:id="0">
    <w:p w14:paraId="3C035C20" w14:textId="77777777" w:rsidR="00D4344D" w:rsidRDefault="00D43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41EE7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46775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2322"/>
    <w:rsid w:val="003015D7"/>
    <w:rsid w:val="00792322"/>
    <w:rsid w:val="008145C3"/>
    <w:rsid w:val="00D4344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175E"/>
  <w15:docId w15:val="{60487B00-7A32-475B-8DA3-E648E299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3524-015-0400-7" TargetMode="External"/><Relationship Id="rId21" Type="http://schemas.openxmlformats.org/officeDocument/2006/relationships/hyperlink" Target="https://wonder.cdc.gov/" TargetMode="External"/><Relationship Id="rId42" Type="http://schemas.openxmlformats.org/officeDocument/2006/relationships/hyperlink" Target="https://doi.org/10.1080/1369183X.2010.489361" TargetMode="External"/><Relationship Id="rId47" Type="http://schemas.openxmlformats.org/officeDocument/2006/relationships/hyperlink" Target="https://doi.org/10.1016/j.socscimed.2009.05.013" TargetMode="External"/><Relationship Id="rId63" Type="http://schemas.openxmlformats.org/officeDocument/2006/relationships/hyperlink" Target="https://www.proquest.com/docview/218816876/abstract/68AE22FD29504EF9PQ/1" TargetMode="External"/><Relationship Id="rId68" Type="http://schemas.openxmlformats.org/officeDocument/2006/relationships/hyperlink" Target="https://doi.org/10.1002/for.2730" TargetMode="External"/><Relationship Id="rId16" Type="http://schemas.openxmlformats.org/officeDocument/2006/relationships/hyperlink" Target="https://rajatvd.github.io/Factor-Graphs/" TargetMode="External"/><Relationship Id="rId11" Type="http://schemas.openxmlformats.org/officeDocument/2006/relationships/hyperlink" Target="https://doi.org/10.1093/jtm/tay107" TargetMode="External"/><Relationship Id="rId32" Type="http://schemas.openxmlformats.org/officeDocument/2006/relationships/hyperlink" Target="https://www.countyhealthrankings.org/explore-health-rankings/rankings-data-documentation" TargetMode="External"/><Relationship Id="rId37" Type="http://schemas.openxmlformats.org/officeDocument/2006/relationships/hyperlink" Target="https://doi.org/10.1046/j.1525-1497.2002.10321.x" TargetMode="External"/><Relationship Id="rId53" Type="http://schemas.openxmlformats.org/officeDocument/2006/relationships/hyperlink" Target="https://doi.org/10.1016/j.healthplace.2017.08.009" TargetMode="External"/><Relationship Id="rId58" Type="http://schemas.openxmlformats.org/officeDocument/2006/relationships/hyperlink" Target="https://www.nimh.nih.gov/health/statistics/mental-illness.shtml" TargetMode="External"/><Relationship Id="rId74" Type="http://schemas.openxmlformats.org/officeDocument/2006/relationships/hyperlink" Target="https://doi.org/10.1504/IJMBS.2020.111441" TargetMode="External"/><Relationship Id="rId79" Type="http://schemas.openxmlformats.org/officeDocument/2006/relationships/hyperlink" Target="https://doi.org/10.1111/j.1549-0831.2011.00055.x" TargetMode="External"/><Relationship Id="rId5" Type="http://schemas.openxmlformats.org/officeDocument/2006/relationships/footnotes" Target="footnotes.xml"/><Relationship Id="rId61" Type="http://schemas.openxmlformats.org/officeDocument/2006/relationships/hyperlink" Target="https://doi.org/10.1017/S003329179900183X" TargetMode="External"/><Relationship Id="rId82" Type="http://schemas.openxmlformats.org/officeDocument/2006/relationships/fontTable" Target="fontTable.xml"/><Relationship Id="rId19" Type="http://schemas.openxmlformats.org/officeDocument/2006/relationships/hyperlink" Target="https://www.census.gov/programs-surveys/acs/guidance/estimates.html" TargetMode="External"/><Relationship Id="rId14" Type="http://schemas.openxmlformats.org/officeDocument/2006/relationships/hyperlink" Target="http://arxiv.org/abs/2112.15296" TargetMode="External"/><Relationship Id="rId22" Type="http://schemas.openxmlformats.org/officeDocument/2006/relationships/hyperlink" Target="https://doi.org/10.1016/0037-7856(77)90004-X" TargetMode="External"/><Relationship Id="rId27" Type="http://schemas.openxmlformats.org/officeDocument/2006/relationships/hyperlink" Target="https://doi.org/10.3386/w17738" TargetMode="External"/><Relationship Id="rId30" Type="http://schemas.openxmlformats.org/officeDocument/2006/relationships/hyperlink" Target="https://doi.org/10.1007/s12665-009-0301-4" TargetMode="External"/><Relationship Id="rId35" Type="http://schemas.openxmlformats.org/officeDocument/2006/relationships/hyperlink" Target="https://doi.org/10.1093/ije/18.1.269" TargetMode="External"/><Relationship Id="rId43" Type="http://schemas.openxmlformats.org/officeDocument/2006/relationships/hyperlink" Target="https://doi.org/10.1080/00324720802339806" TargetMode="External"/><Relationship Id="rId48" Type="http://schemas.openxmlformats.org/officeDocument/2006/relationships/hyperlink" Target="https://doi.org/10.1001/jama.2016.19435" TargetMode="External"/><Relationship Id="rId56" Type="http://schemas.openxmlformats.org/officeDocument/2006/relationships/hyperlink" Target="https://doi.org/10.1136/hrt.2010.218537" TargetMode="External"/><Relationship Id="rId64" Type="http://schemas.openxmlformats.org/officeDocument/2006/relationships/hyperlink" Target="https://doi.org/10.1177/0033354921999407" TargetMode="External"/><Relationship Id="rId69" Type="http://schemas.openxmlformats.org/officeDocument/2006/relationships/hyperlink" Target="https://doi.org/10.1080/00045608.2013.873322" TargetMode="External"/><Relationship Id="rId77" Type="http://schemas.openxmlformats.org/officeDocument/2006/relationships/hyperlink" Target="https://doi.org/10.1186/1471-2288-12-165" TargetMode="External"/><Relationship Id="rId8" Type="http://schemas.openxmlformats.org/officeDocument/2006/relationships/image" Target="media/image1.png"/><Relationship Id="rId51" Type="http://schemas.openxmlformats.org/officeDocument/2006/relationships/hyperlink" Target="https://doi.org/10.1016/j.annepidem.2021.07.014" TargetMode="External"/><Relationship Id="rId72" Type="http://schemas.openxmlformats.org/officeDocument/2006/relationships/hyperlink" Target="file:///C:/Users/holsonwillia/Downloads/1-s2.0-S0191261516300261-main%20(2).pdf" TargetMode="External"/><Relationship Id="rId80" Type="http://schemas.openxmlformats.org/officeDocument/2006/relationships/hyperlink" Target="https://doi.org/10.1371/journal.pone.0143910" TargetMode="External"/><Relationship Id="rId3" Type="http://schemas.openxmlformats.org/officeDocument/2006/relationships/settings" Target="settings.xml"/><Relationship Id="rId12" Type="http://schemas.openxmlformats.org/officeDocument/2006/relationships/hyperlink" Target="https://doi.org/10.1038/s41569-021-00644-y" TargetMode="External"/><Relationship Id="rId17" Type="http://schemas.openxmlformats.org/officeDocument/2006/relationships/hyperlink" Target="https://www.census.gov/library/working-papers/2021/acs/2021_Rothbaum_01.html" TargetMode="External"/><Relationship Id="rId25" Type="http://schemas.openxmlformats.org/officeDocument/2006/relationships/hyperlink" Target="https://doi.org/10.1016/j.socscimed.2007.05.036" TargetMode="External"/><Relationship Id="rId33" Type="http://schemas.openxmlformats.org/officeDocument/2006/relationships/hyperlink" Target="https://doi.org/10.1016/j.knosys.2016.01.027" TargetMode="External"/><Relationship Id="rId38" Type="http://schemas.openxmlformats.org/officeDocument/2006/relationships/hyperlink" Target="https://doi.org/10.1186/1742-7622-3-3" TargetMode="External"/><Relationship Id="rId46" Type="http://schemas.openxmlformats.org/officeDocument/2006/relationships/hyperlink" Target="https://doi.org/10.1037/a0020761" TargetMode="External"/><Relationship Id="rId59" Type="http://schemas.openxmlformats.org/officeDocument/2006/relationships/hyperlink" Target="https://doi.org/10.1016/j.socscimed.2004.11.008" TargetMode="External"/><Relationship Id="rId67" Type="http://schemas.openxmlformats.org/officeDocument/2006/relationships/hyperlink" Target="https://doi.org/10.1016/S0895-4356(97)00045-0" TargetMode="External"/><Relationship Id="rId20" Type="http://schemas.openxmlformats.org/officeDocument/2006/relationships/hyperlink" Target="https://www.cdc.gov/brfss/about/index.htm" TargetMode="External"/><Relationship Id="rId41" Type="http://schemas.openxmlformats.org/officeDocument/2006/relationships/hyperlink" Target="https://ora.ox.ac.uk/objects/uuid:94db8a0c-f78b-4fd2-b40f-1aa43d5a3b60" TargetMode="External"/><Relationship Id="rId54" Type="http://schemas.openxmlformats.org/officeDocument/2006/relationships/hyperlink" Target="https://www.feedingamerica.org/research/map-the-meal-gap/how-we-got-the-map-data" TargetMode="External"/><Relationship Id="rId62" Type="http://schemas.openxmlformats.org/officeDocument/2006/relationships/hyperlink" Target="https://doi.org/10.1186/1471-2288-13-49" TargetMode="External"/><Relationship Id="rId70" Type="http://schemas.openxmlformats.org/officeDocument/2006/relationships/hyperlink" Target="https://www.irs.gov/statistics/soi-tax-stats-migration-data" TargetMode="External"/><Relationship Id="rId75" Type="http://schemas.openxmlformats.org/officeDocument/2006/relationships/hyperlink" Target="https://doi.org/10.1515/em-2012-0010"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36/jech.57.7.501" TargetMode="External"/><Relationship Id="rId23" Type="http://schemas.openxmlformats.org/officeDocument/2006/relationships/hyperlink" Target="https://papers.ssrn.com/abstract=923530" TargetMode="External"/><Relationship Id="rId28" Type="http://schemas.openxmlformats.org/officeDocument/2006/relationships/hyperlink" Target="https://doi.org/10.3386/w12352" TargetMode="External"/><Relationship Id="rId36" Type="http://schemas.openxmlformats.org/officeDocument/2006/relationships/hyperlink" Target="https://www.jstor.org/stable/2722115" TargetMode="External"/><Relationship Id="rId49" Type="http://schemas.openxmlformats.org/officeDocument/2006/relationships/hyperlink" Target="https://doi.org/10.1177/0049124103262065" TargetMode="External"/><Relationship Id="rId57" Type="http://schemas.openxmlformats.org/officeDocument/2006/relationships/hyperlink" Target="https://doi.org/10.1145/3041021.3054222" TargetMode="External"/><Relationship Id="rId10" Type="http://schemas.openxmlformats.org/officeDocument/2006/relationships/image" Target="media/image3.png"/><Relationship Id="rId31" Type="http://schemas.openxmlformats.org/officeDocument/2006/relationships/hyperlink" Target="https://doi.org/10.1371/journal.pone.0259031" TargetMode="External"/><Relationship Id="rId44" Type="http://schemas.openxmlformats.org/officeDocument/2006/relationships/hyperlink" Target="https://doi.org/10.1038/nclimate3271" TargetMode="External"/><Relationship Id="rId52" Type="http://schemas.openxmlformats.org/officeDocument/2006/relationships/hyperlink" Target="https://doi.org/10.1017/asb.2016.37" TargetMode="External"/><Relationship Id="rId60" Type="http://schemas.openxmlformats.org/officeDocument/2006/relationships/hyperlink" Target="https://doi.org/10.5888/pcd20.220301" TargetMode="External"/><Relationship Id="rId65" Type="http://schemas.openxmlformats.org/officeDocument/2006/relationships/hyperlink" Target="https://data.census.gov/table?q=S0701&amp;g=050XX00US21019&amp;tid=ACSST5Y2019.S0701" TargetMode="External"/><Relationship Id="rId73" Type="http://schemas.openxmlformats.org/officeDocument/2006/relationships/hyperlink" Target="https://doi.org/10.3390/ijerph15020340" TargetMode="External"/><Relationship Id="rId78" Type="http://schemas.openxmlformats.org/officeDocument/2006/relationships/hyperlink" Target="https://doi.org/10.5888/pcd16.180491" TargetMode="External"/><Relationship Id="rId81" Type="http://schemas.openxmlformats.org/officeDocument/2006/relationships/hyperlink" Target="https://doi.org/10.1136/jech.2005.040154"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doi.org/10.48550/arXiv.1202.2476" TargetMode="External"/><Relationship Id="rId18" Type="http://schemas.openxmlformats.org/officeDocument/2006/relationships/hyperlink" Target="https://www.census.gov/programs-surveys/acs/technical-documentation/data-suppression.html" TargetMode="External"/><Relationship Id="rId39" Type="http://schemas.openxmlformats.org/officeDocument/2006/relationships/hyperlink" Target="https://doi.org/10.1089/ham.2016.0137" TargetMode="External"/><Relationship Id="rId34" Type="http://schemas.openxmlformats.org/officeDocument/2006/relationships/hyperlink" Target="https://doi.org/10.1371/journal.pone.0240151" TargetMode="External"/><Relationship Id="rId50" Type="http://schemas.openxmlformats.org/officeDocument/2006/relationships/hyperlink" Target="https://doi.org/10.2307/2060063" TargetMode="External"/><Relationship Id="rId55" Type="http://schemas.openxmlformats.org/officeDocument/2006/relationships/hyperlink" Target="https://doi.org/10.1093/oxfordjournals.aje.a112189" TargetMode="External"/><Relationship Id="rId76" Type="http://schemas.openxmlformats.org/officeDocument/2006/relationships/hyperlink" Target="https://doi.org/10.1007/s11205-021-02835-z" TargetMode="External"/><Relationship Id="rId7" Type="http://schemas.openxmlformats.org/officeDocument/2006/relationships/hyperlink" Target="https://doi.org/10.1007%2Fs10597-022-01082-x" TargetMode="External"/><Relationship Id="rId71" Type="http://schemas.openxmlformats.org/officeDocument/2006/relationships/hyperlink" Target="https://doi.org/10.1002/psp.564" TargetMode="External"/><Relationship Id="rId2" Type="http://schemas.openxmlformats.org/officeDocument/2006/relationships/styles" Target="styles.xml"/><Relationship Id="rId29" Type="http://schemas.openxmlformats.org/officeDocument/2006/relationships/hyperlink" Target="https://doi.org/10.1007/s11113-021-09663-6" TargetMode="External"/><Relationship Id="rId24" Type="http://schemas.openxmlformats.org/officeDocument/2006/relationships/hyperlink" Target="https://doi.org/10.1080/00330124.2012.724343" TargetMode="External"/><Relationship Id="rId40" Type="http://schemas.openxmlformats.org/officeDocument/2006/relationships/hyperlink" Target="https://doi.org/10.1080/09603123.2019.1669768" TargetMode="External"/><Relationship Id="rId45" Type="http://schemas.openxmlformats.org/officeDocument/2006/relationships/hyperlink" Target="https://doi.org/10.2307/2657501" TargetMode="External"/><Relationship Id="rId66" Type="http://schemas.openxmlformats.org/officeDocument/2006/relationships/hyperlink" Target="http://arxiv.org/abs/1506.03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17</Pages>
  <Words>11341</Words>
  <Characters>64647</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An ecological investigation of county-level migration as a mechanism for place-based health</vt:lpstr>
    </vt:vector>
  </TitlesOfParts>
  <Company/>
  <LinksUpToDate>false</LinksUpToDate>
  <CharactersWithSpaces>75837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ecological investigation of county-level migration as a mechanism for place-based health</dc:title>
  <dc:creator>Hannah Olson-Williams</dc:creator>
  <cp:keywords/>
  <cp:lastModifiedBy>Hannah Olson-Williams</cp:lastModifiedBy>
  <cp:revision>2</cp:revision>
  <dcterms:created xsi:type="dcterms:W3CDTF">2023-07-18T09:09:00Z</dcterms:created>
  <dcterms:modified xsi:type="dcterms:W3CDTF">2023-07-18T09:27:00Z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2023-08-01</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Epidemiology Preliminary B Exam</vt:lpwstr>
  </property>
  <property fmtid="{D5CDD505-2E9C-101B-9397-08002B2CF9AE}" pid="13" name="toc-title">
    <vt:lpwstr>Table of contents</vt:lpwstr>
  </property>
</Properties>
</file>