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CE9AF" w14:textId="77777777" w:rsidR="00792322" w:rsidRPr="003015D7" w:rsidRDefault="00000000" w:rsidP="003015D7">
      <w:pPr>
        <w:pStyle w:val="Title"/>
        <w:rPr>
          <w:rFonts w:ascii="Arial" w:hAnsi="Arial" w:cs="Arial"/>
          <w:color w:val="auto"/>
          <w:sz w:val="22"/>
          <w:szCs w:val="22"/>
        </w:rPr>
      </w:pPr>
      <w:r w:rsidRPr="003015D7">
        <w:rPr>
          <w:rFonts w:ascii="Arial" w:hAnsi="Arial" w:cs="Arial"/>
          <w:color w:val="auto"/>
          <w:sz w:val="22"/>
          <w:szCs w:val="22"/>
        </w:rPr>
        <w:t>An ecological investigation of county-level migration as a mechanism for place-based health</w:t>
      </w:r>
    </w:p>
    <w:p w14:paraId="455DAC0D" w14:textId="77777777" w:rsidR="00792322" w:rsidRPr="003015D7" w:rsidRDefault="00000000" w:rsidP="003015D7">
      <w:pPr>
        <w:pStyle w:val="Subtitle"/>
        <w:rPr>
          <w:rFonts w:ascii="Arial" w:hAnsi="Arial" w:cs="Arial"/>
          <w:color w:val="auto"/>
          <w:sz w:val="22"/>
          <w:szCs w:val="22"/>
        </w:rPr>
      </w:pPr>
      <w:r w:rsidRPr="003015D7">
        <w:rPr>
          <w:rFonts w:ascii="Arial" w:hAnsi="Arial" w:cs="Arial"/>
          <w:color w:val="auto"/>
          <w:sz w:val="22"/>
          <w:szCs w:val="22"/>
        </w:rPr>
        <w:t>Epidemiology Preliminary B Exam</w:t>
      </w:r>
    </w:p>
    <w:p w14:paraId="359E4185" w14:textId="77777777" w:rsidR="00792322" w:rsidRPr="003015D7" w:rsidRDefault="00000000" w:rsidP="003015D7">
      <w:pPr>
        <w:pStyle w:val="Author"/>
        <w:rPr>
          <w:rFonts w:ascii="Arial" w:hAnsi="Arial" w:cs="Arial"/>
          <w:sz w:val="22"/>
          <w:szCs w:val="22"/>
        </w:rPr>
      </w:pPr>
      <w:r w:rsidRPr="003015D7">
        <w:rPr>
          <w:rFonts w:ascii="Arial" w:hAnsi="Arial" w:cs="Arial"/>
          <w:sz w:val="22"/>
          <w:szCs w:val="22"/>
        </w:rPr>
        <w:t>Hannah Olson-Williams</w:t>
      </w:r>
    </w:p>
    <w:p w14:paraId="13445A25" w14:textId="77777777" w:rsidR="00792322" w:rsidRPr="003015D7" w:rsidRDefault="00000000" w:rsidP="003015D7">
      <w:pPr>
        <w:pStyle w:val="Date"/>
        <w:rPr>
          <w:rFonts w:ascii="Arial" w:hAnsi="Arial" w:cs="Arial"/>
          <w:sz w:val="22"/>
          <w:szCs w:val="22"/>
        </w:rPr>
      </w:pPr>
      <w:r w:rsidRPr="003015D7">
        <w:rPr>
          <w:rFonts w:ascii="Arial" w:hAnsi="Arial" w:cs="Arial"/>
          <w:sz w:val="22"/>
          <w:szCs w:val="22"/>
        </w:rPr>
        <w:t>2023-08-01</w:t>
      </w:r>
    </w:p>
    <w:p w14:paraId="4042F437" w14:textId="77777777" w:rsidR="00792322" w:rsidRPr="003015D7" w:rsidRDefault="00000000" w:rsidP="003015D7">
      <w:pPr>
        <w:pStyle w:val="FirstParagraph"/>
        <w:rPr>
          <w:rFonts w:ascii="Arial" w:hAnsi="Arial" w:cs="Arial"/>
          <w:sz w:val="22"/>
          <w:szCs w:val="22"/>
        </w:rPr>
      </w:pPr>
      <w:r w:rsidRPr="003015D7">
        <w:rPr>
          <w:rFonts w:ascii="Arial" w:hAnsi="Arial" w:cs="Arial"/>
          <w:sz w:val="22"/>
          <w:szCs w:val="22"/>
        </w:rPr>
        <w:t>Although the relationship between place and health is well studied and measured, typical place-based measures of health are static, representing a single point in time without accounting for movement or mobility. Among the well-established understanding that place influences health is the understanding that place differentially impacts some groups of people more than others. What remains unknown is to what extent population migration explains place-based health and health disparities. Thus, there is a critical need to measure the degree to which county-level patterns in health factors and outcomes can be attributed to county-level patterns in mobility. Without such knowledge, we are unable to fully capture the complexities of county-level health, limiting our ability to inform local policy making.</w:t>
      </w:r>
    </w:p>
    <w:p w14:paraId="639FB35A" w14:textId="56BE199A"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Our overarching goal is to advance our understanding of the mechanisms by which mobility may be related to place-based health disparities so that local decision-makers may account for patterns in mobility when creating policy towards improved health for all people in all places. The overall objective of this thesis is to both quantify and devise techniques for quantifying the relationship between county-level mobility and county-level health. Our central hypothesis is that poor county-level health factors and outcomes are associated with extremely high and extremely low rates of county-level mobility. We base this hypothesis on Lee’s theory of migration which indicates that migration is often bimodal - often the most and least advantaged individuals </w:t>
      </w:r>
      <w:r w:rsidR="003015D7" w:rsidRPr="003015D7">
        <w:rPr>
          <w:rFonts w:ascii="Arial" w:hAnsi="Arial" w:cs="Arial"/>
          <w:sz w:val="22"/>
          <w:szCs w:val="22"/>
        </w:rPr>
        <w:t>relocate (</w:t>
      </w:r>
      <w:r w:rsidRPr="003015D7">
        <w:rPr>
          <w:rFonts w:ascii="Arial" w:hAnsi="Arial" w:cs="Arial"/>
          <w:sz w:val="22"/>
          <w:szCs w:val="22"/>
        </w:rPr>
        <w:t>Everett S. Lee 1966). We suspect that these bimodal patterns may manifest differently in educational attainment and rural-urban subgroups. Therefore, the rationale for this project is that understanding educational attainment and rural-urban mobility patterns is a necessary first step towards understanding education and urbanicity-related health disparities.</w:t>
      </w:r>
    </w:p>
    <w:p w14:paraId="00B06794" w14:textId="6AC4F0BB" w:rsidR="00792322" w:rsidRPr="003015D7" w:rsidRDefault="00000000" w:rsidP="003015D7">
      <w:pPr>
        <w:pStyle w:val="BodyText"/>
        <w:rPr>
          <w:rFonts w:ascii="Arial" w:hAnsi="Arial" w:cs="Arial"/>
          <w:sz w:val="22"/>
          <w:szCs w:val="22"/>
        </w:rPr>
      </w:pPr>
      <w:r w:rsidRPr="003015D7">
        <w:rPr>
          <w:rFonts w:ascii="Arial" w:hAnsi="Arial" w:cs="Arial"/>
          <w:b/>
          <w:bCs/>
          <w:sz w:val="22"/>
          <w:szCs w:val="22"/>
          <w:u w:val="single"/>
        </w:rPr>
        <w:t>Aim 1:</w:t>
      </w:r>
      <w:r w:rsidRPr="003015D7">
        <w:rPr>
          <w:rFonts w:ascii="Arial" w:hAnsi="Arial" w:cs="Arial"/>
          <w:sz w:val="22"/>
          <w:szCs w:val="22"/>
          <w:u w:val="single"/>
        </w:rPr>
        <w:t xml:space="preserve"> Quantify the associations between place and self-reported mental health at the county level</w:t>
      </w:r>
      <w:r w:rsidRPr="003015D7">
        <w:rPr>
          <w:rFonts w:ascii="Arial" w:hAnsi="Arial" w:cs="Arial"/>
          <w:sz w:val="22"/>
          <w:szCs w:val="22"/>
        </w:rPr>
        <w:t xml:space="preserve">. </w:t>
      </w:r>
      <w:r w:rsidRPr="003015D7">
        <w:rPr>
          <w:rFonts w:ascii="Arial" w:hAnsi="Arial" w:cs="Arial"/>
          <w:b/>
          <w:bCs/>
          <w:sz w:val="22"/>
          <w:szCs w:val="22"/>
        </w:rPr>
        <w:t>Hypothesis 1A:</w:t>
      </w:r>
      <w:r w:rsidRPr="003015D7">
        <w:rPr>
          <w:rFonts w:ascii="Arial" w:hAnsi="Arial" w:cs="Arial"/>
          <w:sz w:val="22"/>
          <w:szCs w:val="22"/>
        </w:rPr>
        <w:t xml:space="preserve"> County-level averages of poor mental helath days are related to urbanicity. </w:t>
      </w:r>
      <w:r w:rsidRPr="003015D7">
        <w:rPr>
          <w:rFonts w:ascii="Arial" w:hAnsi="Arial" w:cs="Arial"/>
          <w:b/>
          <w:bCs/>
          <w:sz w:val="22"/>
          <w:szCs w:val="22"/>
        </w:rPr>
        <w:t>Hypothesis 1B:</w:t>
      </w:r>
      <w:r w:rsidRPr="003015D7">
        <w:rPr>
          <w:rFonts w:ascii="Arial" w:hAnsi="Arial" w:cs="Arial"/>
          <w:sz w:val="22"/>
          <w:szCs w:val="22"/>
        </w:rPr>
        <w:t xml:space="preserve"> This relationship can be explained by differences in factors linked to the built environment (</w:t>
      </w:r>
      <w:r w:rsidR="003015D7" w:rsidRPr="003015D7">
        <w:rPr>
          <w:rFonts w:ascii="Arial" w:hAnsi="Arial" w:cs="Arial"/>
          <w:sz w:val="22"/>
          <w:szCs w:val="22"/>
        </w:rPr>
        <w:t>e.g.,</w:t>
      </w:r>
      <w:r w:rsidRPr="003015D7">
        <w:rPr>
          <w:rFonts w:ascii="Arial" w:hAnsi="Arial" w:cs="Arial"/>
          <w:sz w:val="22"/>
          <w:szCs w:val="22"/>
        </w:rPr>
        <w:t xml:space="preserve"> access to exercise, mental health providers, air pollution, violent crime, and severe housing problems). </w:t>
      </w:r>
      <w:r w:rsidRPr="003015D7">
        <w:rPr>
          <w:rFonts w:ascii="Arial" w:hAnsi="Arial" w:cs="Arial"/>
          <w:b/>
          <w:bCs/>
          <w:sz w:val="22"/>
          <w:szCs w:val="22"/>
        </w:rPr>
        <w:t>Hypothesis 1C:</w:t>
      </w:r>
      <w:r w:rsidRPr="003015D7">
        <w:rPr>
          <w:rFonts w:ascii="Arial" w:hAnsi="Arial" w:cs="Arial"/>
          <w:sz w:val="22"/>
          <w:szCs w:val="22"/>
        </w:rPr>
        <w:t xml:space="preserve"> The way in which factors linked to the built environment explain the connection between urbanicity and mental health varies between the most rural and the most urban counties.</w:t>
      </w:r>
    </w:p>
    <w:p w14:paraId="0A82511E" w14:textId="59ADAE76" w:rsidR="00792322" w:rsidRPr="003015D7" w:rsidRDefault="00000000" w:rsidP="003015D7">
      <w:pPr>
        <w:pStyle w:val="BodyText"/>
        <w:rPr>
          <w:rFonts w:ascii="Arial" w:hAnsi="Arial" w:cs="Arial"/>
          <w:sz w:val="22"/>
          <w:szCs w:val="22"/>
        </w:rPr>
      </w:pPr>
      <w:r w:rsidRPr="003015D7">
        <w:rPr>
          <w:rFonts w:ascii="Arial" w:hAnsi="Arial" w:cs="Arial"/>
          <w:b/>
          <w:bCs/>
          <w:sz w:val="22"/>
          <w:szCs w:val="22"/>
          <w:u w:val="single"/>
        </w:rPr>
        <w:t>Aim 2:</w:t>
      </w:r>
      <w:r w:rsidRPr="003015D7">
        <w:rPr>
          <w:rFonts w:ascii="Arial" w:hAnsi="Arial" w:cs="Arial"/>
          <w:sz w:val="22"/>
          <w:szCs w:val="22"/>
          <w:u w:val="single"/>
        </w:rPr>
        <w:t xml:space="preserve"> Explore how county-level migration can enhance our capacity to understand and explain county-level health</w:t>
      </w:r>
      <w:r w:rsidRPr="003015D7">
        <w:rPr>
          <w:rFonts w:ascii="Arial" w:hAnsi="Arial" w:cs="Arial"/>
          <w:sz w:val="22"/>
          <w:szCs w:val="22"/>
        </w:rPr>
        <w:t xml:space="preserve">. </w:t>
      </w:r>
      <w:r w:rsidRPr="003015D7">
        <w:rPr>
          <w:rFonts w:ascii="Arial" w:hAnsi="Arial" w:cs="Arial"/>
          <w:b/>
          <w:bCs/>
          <w:sz w:val="22"/>
          <w:szCs w:val="22"/>
        </w:rPr>
        <w:t>Hypothesis 2A:</w:t>
      </w:r>
      <w:r w:rsidRPr="003015D7">
        <w:rPr>
          <w:rFonts w:ascii="Arial" w:hAnsi="Arial" w:cs="Arial"/>
          <w:sz w:val="22"/>
          <w:szCs w:val="22"/>
        </w:rPr>
        <w:t xml:space="preserve"> County-to-county migration patterns improve the explainability of autoregressive models of county-level mortality. </w:t>
      </w:r>
      <w:r w:rsidRPr="003015D7">
        <w:rPr>
          <w:rFonts w:ascii="Arial" w:hAnsi="Arial" w:cs="Arial"/>
          <w:b/>
          <w:bCs/>
          <w:sz w:val="22"/>
          <w:szCs w:val="22"/>
        </w:rPr>
        <w:t>Hypothesis 2B:</w:t>
      </w:r>
      <w:r w:rsidRPr="003015D7">
        <w:rPr>
          <w:rFonts w:ascii="Arial" w:hAnsi="Arial" w:cs="Arial"/>
          <w:sz w:val="22"/>
          <w:szCs w:val="22"/>
        </w:rPr>
        <w:t xml:space="preserve"> The role that intercounty migration plays in county-level mortality differs significantly between rural and urban counties. </w:t>
      </w:r>
      <w:r w:rsidRPr="003015D7">
        <w:rPr>
          <w:rFonts w:ascii="Arial" w:hAnsi="Arial" w:cs="Arial"/>
          <w:b/>
          <w:bCs/>
          <w:sz w:val="22"/>
          <w:szCs w:val="22"/>
        </w:rPr>
        <w:t>Hypothesis 2C:</w:t>
      </w:r>
      <w:r w:rsidRPr="003015D7">
        <w:rPr>
          <w:rFonts w:ascii="Arial" w:hAnsi="Arial" w:cs="Arial"/>
          <w:sz w:val="22"/>
          <w:szCs w:val="22"/>
        </w:rPr>
        <w:t xml:space="preserve"> </w:t>
      </w:r>
      <w:r w:rsidR="003015D7" w:rsidRPr="003015D7">
        <w:rPr>
          <w:rFonts w:ascii="Arial" w:hAnsi="Arial" w:cs="Arial"/>
          <w:sz w:val="22"/>
          <w:szCs w:val="22"/>
        </w:rPr>
        <w:t>Considering</w:t>
      </w:r>
      <w:r w:rsidRPr="003015D7">
        <w:rPr>
          <w:rFonts w:ascii="Arial" w:hAnsi="Arial" w:cs="Arial"/>
          <w:sz w:val="22"/>
          <w:szCs w:val="22"/>
        </w:rPr>
        <w:t xml:space="preserve"> bias in migration patterns improves our ability to explain county-level mortality as well as the differential role that migration plays in urban versus rural counties.</w:t>
      </w:r>
    </w:p>
    <w:p w14:paraId="446E8FCA" w14:textId="3E81797C" w:rsidR="00792322" w:rsidRPr="003015D7" w:rsidRDefault="00000000" w:rsidP="003015D7">
      <w:pPr>
        <w:pStyle w:val="BodyText"/>
        <w:rPr>
          <w:rFonts w:ascii="Arial" w:hAnsi="Arial" w:cs="Arial"/>
          <w:sz w:val="22"/>
          <w:szCs w:val="22"/>
        </w:rPr>
      </w:pPr>
      <w:r w:rsidRPr="003015D7">
        <w:rPr>
          <w:rFonts w:ascii="Arial" w:hAnsi="Arial" w:cs="Arial"/>
          <w:b/>
          <w:bCs/>
          <w:sz w:val="22"/>
          <w:szCs w:val="22"/>
          <w:u w:val="single"/>
        </w:rPr>
        <w:t>Aim 3:</w:t>
      </w:r>
      <w:r w:rsidRPr="003015D7">
        <w:rPr>
          <w:rFonts w:ascii="Arial" w:hAnsi="Arial" w:cs="Arial"/>
          <w:sz w:val="22"/>
          <w:szCs w:val="22"/>
          <w:u w:val="single"/>
        </w:rPr>
        <w:t xml:space="preserve"> Identify counties, time periods, and education groups that experience anomalous county-to-county migration patterns.</w:t>
      </w:r>
      <w:r w:rsidRPr="003015D7">
        <w:rPr>
          <w:rFonts w:ascii="Arial" w:hAnsi="Arial" w:cs="Arial"/>
          <w:sz w:val="22"/>
          <w:szCs w:val="22"/>
        </w:rPr>
        <w:t xml:space="preserve"> </w:t>
      </w:r>
      <w:r w:rsidRPr="003015D7">
        <w:rPr>
          <w:rFonts w:ascii="Arial" w:hAnsi="Arial" w:cs="Arial"/>
          <w:b/>
          <w:bCs/>
          <w:sz w:val="22"/>
          <w:szCs w:val="22"/>
        </w:rPr>
        <w:t>Hypothesis 3A:</w:t>
      </w:r>
      <w:r w:rsidRPr="003015D7">
        <w:rPr>
          <w:rFonts w:ascii="Arial" w:hAnsi="Arial" w:cs="Arial"/>
          <w:sz w:val="22"/>
          <w:szCs w:val="22"/>
        </w:rPr>
        <w:t xml:space="preserve"> The components of </w:t>
      </w:r>
      <w:r w:rsidR="006410AB">
        <w:rPr>
          <w:rFonts w:ascii="Arial" w:hAnsi="Arial" w:cs="Arial"/>
          <w:sz w:val="22"/>
          <w:szCs w:val="22"/>
        </w:rPr>
        <w:t>our</w:t>
      </w:r>
      <w:r w:rsidRPr="003015D7">
        <w:rPr>
          <w:rFonts w:ascii="Arial" w:hAnsi="Arial" w:cs="Arial"/>
          <w:sz w:val="22"/>
          <w:szCs w:val="22"/>
        </w:rPr>
        <w:t xml:space="preserve"> tensor of population mobility</w:t>
      </w:r>
      <w:r w:rsidR="006410AB">
        <w:rPr>
          <w:rFonts w:ascii="Arial" w:hAnsi="Arial" w:cs="Arial"/>
          <w:sz w:val="22"/>
          <w:szCs w:val="22"/>
        </w:rPr>
        <w:t xml:space="preserve"> with the highest Gini coefficients</w:t>
      </w:r>
      <w:r w:rsidRPr="003015D7">
        <w:rPr>
          <w:rFonts w:ascii="Arial" w:hAnsi="Arial" w:cs="Arial"/>
          <w:sz w:val="22"/>
          <w:szCs w:val="22"/>
        </w:rPr>
        <w:t xml:space="preserve"> (</w:t>
      </w:r>
      <w:proofErr w:type="gramStart"/>
      <w:r w:rsidR="006410AB" w:rsidRPr="003015D7">
        <w:rPr>
          <w:rFonts w:ascii="Arial" w:hAnsi="Arial" w:cs="Arial"/>
          <w:sz w:val="22"/>
          <w:szCs w:val="22"/>
        </w:rPr>
        <w:t>i.e.</w:t>
      </w:r>
      <w:proofErr w:type="gramEnd"/>
      <w:r w:rsidRPr="003015D7">
        <w:rPr>
          <w:rFonts w:ascii="Arial" w:hAnsi="Arial" w:cs="Arial"/>
          <w:sz w:val="22"/>
          <w:szCs w:val="22"/>
        </w:rPr>
        <w:t xml:space="preserve"> components that are not part of the core migration system) will be among migrants with less than high school education. </w:t>
      </w:r>
      <w:r w:rsidRPr="003015D7">
        <w:rPr>
          <w:rFonts w:ascii="Arial" w:hAnsi="Arial" w:cs="Arial"/>
          <w:b/>
          <w:bCs/>
          <w:sz w:val="22"/>
          <w:szCs w:val="22"/>
        </w:rPr>
        <w:t>Hypothesis 3B:</w:t>
      </w:r>
      <w:r w:rsidRPr="003015D7">
        <w:rPr>
          <w:rFonts w:ascii="Arial" w:hAnsi="Arial" w:cs="Arial"/>
          <w:sz w:val="22"/>
          <w:szCs w:val="22"/>
        </w:rPr>
        <w:t xml:space="preserve"> The average health of counties not in the core migration system is significantly different from the average health of counties in the core migration system. </w:t>
      </w:r>
    </w:p>
    <w:p w14:paraId="608F1DF2" w14:textId="1C7C0D68"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At the conclusion of this work, we will be able to better characterize and measure the relationship between population </w:t>
      </w:r>
      <w:r w:rsidR="006410AB">
        <w:rPr>
          <w:rFonts w:ascii="Arial" w:hAnsi="Arial" w:cs="Arial"/>
          <w:sz w:val="22"/>
          <w:szCs w:val="22"/>
        </w:rPr>
        <w:t>migration</w:t>
      </w:r>
      <w:r w:rsidRPr="003015D7">
        <w:rPr>
          <w:rFonts w:ascii="Arial" w:hAnsi="Arial" w:cs="Arial"/>
          <w:sz w:val="22"/>
          <w:szCs w:val="22"/>
        </w:rPr>
        <w:t xml:space="preserve"> and population health. We will have established rural-urban differences in health at a single time point, established rural-urban differences in health as they relate to </w:t>
      </w:r>
      <w:r w:rsidR="006410AB">
        <w:rPr>
          <w:rFonts w:ascii="Arial" w:hAnsi="Arial" w:cs="Arial"/>
          <w:sz w:val="22"/>
          <w:szCs w:val="22"/>
        </w:rPr>
        <w:t>migration</w:t>
      </w:r>
      <w:r w:rsidRPr="003015D7">
        <w:rPr>
          <w:rFonts w:ascii="Arial" w:hAnsi="Arial" w:cs="Arial"/>
          <w:sz w:val="22"/>
          <w:szCs w:val="22"/>
        </w:rPr>
        <w:t xml:space="preserve">, and investigated outliers in the relationship between </w:t>
      </w:r>
      <w:r w:rsidR="006410AB">
        <w:rPr>
          <w:rFonts w:ascii="Arial" w:hAnsi="Arial" w:cs="Arial"/>
          <w:sz w:val="22"/>
          <w:szCs w:val="22"/>
        </w:rPr>
        <w:t>migration</w:t>
      </w:r>
      <w:r w:rsidRPr="003015D7">
        <w:rPr>
          <w:rFonts w:ascii="Arial" w:hAnsi="Arial" w:cs="Arial"/>
          <w:sz w:val="22"/>
          <w:szCs w:val="22"/>
        </w:rPr>
        <w:t xml:space="preserve"> and health. These findings will illuminate the mechanisms by which population health evolves alongside population changes due to migration. By recognizing the patterns in county-level </w:t>
      </w:r>
      <w:r w:rsidR="006410AB">
        <w:rPr>
          <w:rFonts w:ascii="Arial" w:hAnsi="Arial" w:cs="Arial"/>
          <w:sz w:val="22"/>
          <w:szCs w:val="22"/>
        </w:rPr>
        <w:t>migration</w:t>
      </w:r>
      <w:r w:rsidRPr="003015D7">
        <w:rPr>
          <w:rFonts w:ascii="Arial" w:hAnsi="Arial" w:cs="Arial"/>
          <w:sz w:val="22"/>
          <w:szCs w:val="22"/>
        </w:rPr>
        <w:t xml:space="preserve"> and its relation to county health, local decision-makers can effectively shape policies for improving health outcomes.</w:t>
      </w:r>
    </w:p>
    <w:p w14:paraId="6D7CC219" w14:textId="77777777" w:rsidR="00792322" w:rsidRPr="003015D7" w:rsidRDefault="00000000" w:rsidP="003015D7">
      <w:pPr>
        <w:pStyle w:val="BodyText"/>
        <w:rPr>
          <w:rFonts w:ascii="Arial" w:hAnsi="Arial" w:cs="Arial"/>
          <w:sz w:val="22"/>
          <w:szCs w:val="22"/>
        </w:rPr>
      </w:pPr>
      <w:r w:rsidRPr="003015D7">
        <w:rPr>
          <w:rFonts w:ascii="Arial" w:hAnsi="Arial" w:cs="Arial"/>
          <w:b/>
          <w:bCs/>
          <w:sz w:val="22"/>
          <w:szCs w:val="22"/>
          <w:u w:val="single"/>
        </w:rPr>
        <w:lastRenderedPageBreak/>
        <w:t>Background and Significance</w:t>
      </w:r>
    </w:p>
    <w:p w14:paraId="662F3C94"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Much of physical and mental health is place-based. There are well-established relationships between the built-environment and health outcomes. However, less is understood about how changes in place can affect health. Changes in place can occur both </w:t>
      </w:r>
      <w:r w:rsidRPr="003015D7">
        <w:rPr>
          <w:rFonts w:ascii="Arial" w:hAnsi="Arial" w:cs="Arial"/>
          <w:i/>
          <w:iCs/>
          <w:sz w:val="22"/>
          <w:szCs w:val="22"/>
        </w:rPr>
        <w:t>to</w:t>
      </w:r>
      <w:r w:rsidRPr="003015D7">
        <w:rPr>
          <w:rFonts w:ascii="Arial" w:hAnsi="Arial" w:cs="Arial"/>
          <w:sz w:val="22"/>
          <w:szCs w:val="22"/>
        </w:rPr>
        <w:t xml:space="preserve"> and </w:t>
      </w:r>
      <w:r w:rsidRPr="003015D7">
        <w:rPr>
          <w:rFonts w:ascii="Arial" w:hAnsi="Arial" w:cs="Arial"/>
          <w:i/>
          <w:iCs/>
          <w:sz w:val="22"/>
          <w:szCs w:val="22"/>
        </w:rPr>
        <w:t>by</w:t>
      </w:r>
      <w:r w:rsidRPr="003015D7">
        <w:rPr>
          <w:rFonts w:ascii="Arial" w:hAnsi="Arial" w:cs="Arial"/>
          <w:sz w:val="22"/>
          <w:szCs w:val="22"/>
        </w:rPr>
        <w:t xml:space="preserve"> people: when individuals relocate, not only do they experience a change in place, but they take their sociodemographic identities, income, health, employment, and education with them. As a result, the population, culture, and health of the place they are leaving and the place they are arriving changes, if only slightly. In aggregate, these migration-related changes could potentially change the health of the </w:t>
      </w:r>
      <w:proofErr w:type="gramStart"/>
      <w:r w:rsidRPr="003015D7">
        <w:rPr>
          <w:rFonts w:ascii="Arial" w:hAnsi="Arial" w:cs="Arial"/>
          <w:sz w:val="22"/>
          <w:szCs w:val="22"/>
        </w:rPr>
        <w:t>population as a whole</w:t>
      </w:r>
      <w:proofErr w:type="gramEnd"/>
      <w:r w:rsidRPr="003015D7">
        <w:rPr>
          <w:rFonts w:ascii="Arial" w:hAnsi="Arial" w:cs="Arial"/>
          <w:sz w:val="22"/>
          <w:szCs w:val="22"/>
        </w:rPr>
        <w:t>. In this proposal, we aim to measure the effects of migration on county-level measures of health. First, we study place-based determinants of mental health through the lens of urbanicity at a single time point. Then we assess the selection of migrants into and out of counties based on the health of each destination over time. Finally, we use a data science dimension reduction technique to determine which destinations, time periods, and demographic groups experience the most and least migration on average.</w:t>
      </w:r>
    </w:p>
    <w:p w14:paraId="3D33F194" w14:textId="7B41572E"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As individuals move from one place to another, the resources in their counties of origin and destination change. Therefore, the relationship between health and place can be viewed as “mutually reinforcing and </w:t>
      </w:r>
      <w:r w:rsidR="003015D7" w:rsidRPr="003015D7">
        <w:rPr>
          <w:rFonts w:ascii="Arial" w:hAnsi="Arial" w:cs="Arial"/>
          <w:sz w:val="22"/>
          <w:szCs w:val="22"/>
        </w:rPr>
        <w:t>reciprocal” (</w:t>
      </w:r>
      <w:r w:rsidRPr="003015D7">
        <w:rPr>
          <w:rFonts w:ascii="Arial" w:hAnsi="Arial" w:cs="Arial"/>
          <w:sz w:val="22"/>
          <w:szCs w:val="22"/>
        </w:rPr>
        <w:t xml:space="preserve">Cummins et al. 2007). For instance, when individuals relocate, they bring their social connections with </w:t>
      </w:r>
      <w:r w:rsidR="003015D7" w:rsidRPr="003015D7">
        <w:rPr>
          <w:rFonts w:ascii="Arial" w:hAnsi="Arial" w:cs="Arial"/>
          <w:sz w:val="22"/>
          <w:szCs w:val="22"/>
        </w:rPr>
        <w:t>them (</w:t>
      </w:r>
      <w:r w:rsidRPr="003015D7">
        <w:rPr>
          <w:rFonts w:ascii="Arial" w:hAnsi="Arial" w:cs="Arial"/>
          <w:sz w:val="22"/>
          <w:szCs w:val="22"/>
        </w:rPr>
        <w:t xml:space="preserve">Hein de Haas 2010a). These social connections might lead to greater migration and more people (resources) in the future which could lead to better health outcomes on average and increased “pull” of the destination. The idea that migration can be self-perpetuating has been explored many times in the </w:t>
      </w:r>
      <w:r w:rsidR="003015D7" w:rsidRPr="003015D7">
        <w:rPr>
          <w:rFonts w:ascii="Arial" w:hAnsi="Arial" w:cs="Arial"/>
          <w:sz w:val="22"/>
          <w:szCs w:val="22"/>
        </w:rPr>
        <w:t>past (</w:t>
      </w:r>
      <w:r w:rsidRPr="003015D7">
        <w:rPr>
          <w:rFonts w:ascii="Arial" w:hAnsi="Arial" w:cs="Arial"/>
          <w:sz w:val="22"/>
          <w:szCs w:val="22"/>
        </w:rPr>
        <w:t>Hein de Haas 2010b; H. de Haas 2021) mostly to describe “pull” factors – factors that make a location more desirable after migration has occurred. The perceived average health of a community may be one of these “pull” factors.</w:t>
      </w:r>
    </w:p>
    <w:p w14:paraId="0CC77F41" w14:textId="4B9AF379"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Previous research has found that the health of migrants often differs from the average health of their origin and the average health of their destination. For instance, relocation from rural areas to urban areas has been associated with increased risk of </w:t>
      </w:r>
      <w:r w:rsidR="006410AB">
        <w:rPr>
          <w:rFonts w:ascii="Arial" w:hAnsi="Arial" w:cs="Arial"/>
          <w:sz w:val="22"/>
          <w:szCs w:val="22"/>
        </w:rPr>
        <w:t xml:space="preserve">cardiovascular disease </w:t>
      </w:r>
      <w:r w:rsidRPr="003015D7">
        <w:rPr>
          <w:rFonts w:ascii="Arial" w:hAnsi="Arial" w:cs="Arial"/>
          <w:sz w:val="22"/>
          <w:szCs w:val="22"/>
        </w:rPr>
        <w:t>in some populations</w:t>
      </w:r>
      <w:r w:rsidR="006410AB">
        <w:rPr>
          <w:rFonts w:ascii="Arial" w:hAnsi="Arial" w:cs="Arial"/>
          <w:sz w:val="22"/>
          <w:szCs w:val="22"/>
        </w:rPr>
        <w:t xml:space="preserve"> </w:t>
      </w:r>
      <w:r w:rsidRPr="003015D7">
        <w:rPr>
          <w:rFonts w:ascii="Arial" w:hAnsi="Arial" w:cs="Arial"/>
          <w:sz w:val="22"/>
          <w:szCs w:val="22"/>
        </w:rPr>
        <w:t>(Miranda, Gilman, and Smeeth 2011)</w:t>
      </w:r>
      <w:r w:rsidR="006410AB">
        <w:rPr>
          <w:rFonts w:ascii="Arial" w:hAnsi="Arial" w:cs="Arial"/>
          <w:sz w:val="22"/>
          <w:szCs w:val="22"/>
        </w:rPr>
        <w:t>.</w:t>
      </w:r>
      <w:r w:rsidRPr="003015D7">
        <w:rPr>
          <w:rFonts w:ascii="Arial" w:hAnsi="Arial" w:cs="Arial"/>
          <w:sz w:val="22"/>
          <w:szCs w:val="22"/>
        </w:rPr>
        <w:t xml:space="preserve"> Similarly, relocation to high-income countries has been associated with adverse cardiovascular health effects</w:t>
      </w:r>
      <w:r w:rsidR="006410AB">
        <w:rPr>
          <w:rFonts w:ascii="Arial" w:hAnsi="Arial" w:cs="Arial"/>
          <w:sz w:val="22"/>
          <w:szCs w:val="22"/>
        </w:rPr>
        <w:t xml:space="preserve"> </w:t>
      </w:r>
      <w:r w:rsidRPr="003015D7">
        <w:rPr>
          <w:rFonts w:ascii="Arial" w:hAnsi="Arial" w:cs="Arial"/>
          <w:sz w:val="22"/>
          <w:szCs w:val="22"/>
        </w:rPr>
        <w:t>(Agyemang and Born 2019)</w:t>
      </w:r>
      <w:r w:rsidR="006410AB">
        <w:rPr>
          <w:rFonts w:ascii="Arial" w:hAnsi="Arial" w:cs="Arial"/>
          <w:sz w:val="22"/>
          <w:szCs w:val="22"/>
        </w:rPr>
        <w:t>.</w:t>
      </w:r>
      <w:r w:rsidRPr="003015D7">
        <w:rPr>
          <w:rFonts w:ascii="Arial" w:hAnsi="Arial" w:cs="Arial"/>
          <w:sz w:val="22"/>
          <w:szCs w:val="22"/>
        </w:rPr>
        <w:t xml:space="preserve"> Several studies have found that rates of </w:t>
      </w:r>
      <w:r w:rsidR="006410AB">
        <w:rPr>
          <w:rFonts w:ascii="Arial" w:hAnsi="Arial" w:cs="Arial"/>
          <w:sz w:val="22"/>
          <w:szCs w:val="22"/>
        </w:rPr>
        <w:t>cardiovascular disease</w:t>
      </w:r>
      <w:r w:rsidRPr="003015D7">
        <w:rPr>
          <w:rFonts w:ascii="Arial" w:hAnsi="Arial" w:cs="Arial"/>
          <w:sz w:val="22"/>
          <w:szCs w:val="22"/>
        </w:rPr>
        <w:t xml:space="preserve"> are higher among migrants than among their peers who did not migrate</w:t>
      </w:r>
      <w:r w:rsidR="006410AB">
        <w:rPr>
          <w:rFonts w:ascii="Arial" w:hAnsi="Arial" w:cs="Arial"/>
          <w:sz w:val="22"/>
          <w:szCs w:val="22"/>
        </w:rPr>
        <w:t xml:space="preserve"> </w:t>
      </w:r>
      <w:r w:rsidRPr="003015D7">
        <w:rPr>
          <w:rFonts w:ascii="Arial" w:hAnsi="Arial" w:cs="Arial"/>
          <w:sz w:val="22"/>
          <w:szCs w:val="22"/>
        </w:rPr>
        <w:t>(Agyemang and Born 2022)</w:t>
      </w:r>
      <w:r w:rsidR="006410AB">
        <w:rPr>
          <w:rFonts w:ascii="Arial" w:hAnsi="Arial" w:cs="Arial"/>
          <w:sz w:val="22"/>
          <w:szCs w:val="22"/>
        </w:rPr>
        <w:t>.</w:t>
      </w:r>
      <w:r w:rsidRPr="003015D7">
        <w:rPr>
          <w:rFonts w:ascii="Arial" w:hAnsi="Arial" w:cs="Arial"/>
          <w:sz w:val="22"/>
          <w:szCs w:val="22"/>
        </w:rPr>
        <w:t xml:space="preserve"> For instance, a study of people who migrated to the US from Japan found that Japanese migrants to California had age-adjusted prevalence rates of </w:t>
      </w:r>
      <w:r w:rsidR="006410AB">
        <w:rPr>
          <w:rFonts w:ascii="Arial" w:hAnsi="Arial" w:cs="Arial"/>
          <w:sz w:val="22"/>
          <w:szCs w:val="22"/>
        </w:rPr>
        <w:t>cardiovascular disease</w:t>
      </w:r>
      <w:r w:rsidRPr="003015D7">
        <w:rPr>
          <w:rFonts w:ascii="Arial" w:hAnsi="Arial" w:cs="Arial"/>
          <w:sz w:val="22"/>
          <w:szCs w:val="22"/>
        </w:rPr>
        <w:t xml:space="preserve"> that were more than twice as high as their peers who migrated to Hawaii or did not migrate at all</w:t>
      </w:r>
      <w:r w:rsidR="006410AB">
        <w:rPr>
          <w:rFonts w:ascii="Arial" w:hAnsi="Arial" w:cs="Arial"/>
          <w:sz w:val="22"/>
          <w:szCs w:val="22"/>
        </w:rPr>
        <w:t xml:space="preserve"> </w:t>
      </w:r>
      <w:r w:rsidRPr="003015D7">
        <w:rPr>
          <w:rFonts w:ascii="Arial" w:hAnsi="Arial" w:cs="Arial"/>
          <w:sz w:val="22"/>
          <w:szCs w:val="22"/>
        </w:rPr>
        <w:t>(Marmot et al. 1975)</w:t>
      </w:r>
      <w:r w:rsidR="006410AB">
        <w:rPr>
          <w:rFonts w:ascii="Arial" w:hAnsi="Arial" w:cs="Arial"/>
          <w:sz w:val="22"/>
          <w:szCs w:val="22"/>
        </w:rPr>
        <w:t>.</w:t>
      </w:r>
      <w:r w:rsidRPr="003015D7">
        <w:rPr>
          <w:rFonts w:ascii="Arial" w:hAnsi="Arial" w:cs="Arial"/>
          <w:sz w:val="22"/>
          <w:szCs w:val="22"/>
        </w:rPr>
        <w:t xml:space="preserve"> This suggests that the average health of migratory populations becomes more similar to the average health of their destination than that of their origin, possibly because migrants take on the diets, habits, and other health factors of the place to which they relocate. Another possible explanation is that people who migrated from Japan to California were “pushed” to California while people who migrated from Japan to Hawaii were “pulled” to Hawaii.  </w:t>
      </w:r>
    </w:p>
    <w:p w14:paraId="5C6994D6" w14:textId="0DF5F19F" w:rsidR="00792322" w:rsidRPr="003015D7" w:rsidRDefault="00000000" w:rsidP="003015D7">
      <w:pPr>
        <w:pStyle w:val="BodyText"/>
        <w:rPr>
          <w:rFonts w:ascii="Arial" w:hAnsi="Arial" w:cs="Arial"/>
          <w:sz w:val="22"/>
          <w:szCs w:val="22"/>
        </w:rPr>
      </w:pPr>
      <w:r w:rsidRPr="003015D7">
        <w:rPr>
          <w:rFonts w:ascii="Arial" w:hAnsi="Arial" w:cs="Arial"/>
          <w:sz w:val="22"/>
          <w:szCs w:val="22"/>
        </w:rPr>
        <w:t>Income inequality has been found to be associated with poor health among some populations</w:t>
      </w:r>
      <w:r w:rsidR="003015D7">
        <w:rPr>
          <w:rFonts w:ascii="Arial" w:hAnsi="Arial" w:cs="Arial"/>
          <w:sz w:val="22"/>
          <w:szCs w:val="22"/>
        </w:rPr>
        <w:t xml:space="preserve"> </w:t>
      </w:r>
      <w:r w:rsidRPr="003015D7">
        <w:rPr>
          <w:rFonts w:ascii="Arial" w:hAnsi="Arial" w:cs="Arial"/>
          <w:sz w:val="22"/>
          <w:szCs w:val="22"/>
        </w:rPr>
        <w:t>(Zimmerman 2006)</w:t>
      </w:r>
      <w:r w:rsidR="003015D7">
        <w:rPr>
          <w:rFonts w:ascii="Arial" w:hAnsi="Arial" w:cs="Arial"/>
          <w:sz w:val="22"/>
          <w:szCs w:val="22"/>
        </w:rPr>
        <w:t>.</w:t>
      </w:r>
      <w:r w:rsidRPr="003015D7">
        <w:rPr>
          <w:rFonts w:ascii="Arial" w:hAnsi="Arial" w:cs="Arial"/>
          <w:sz w:val="22"/>
          <w:szCs w:val="22"/>
        </w:rPr>
        <w:t xml:space="preserve"> Populations that experience high levels of income inequality may also experience declining rates of migration, as shown by Cooke 2013</w:t>
      </w:r>
      <w:r w:rsidR="003015D7">
        <w:rPr>
          <w:rFonts w:ascii="Arial" w:hAnsi="Arial" w:cs="Arial"/>
          <w:sz w:val="22"/>
          <w:szCs w:val="22"/>
        </w:rPr>
        <w:t xml:space="preserve"> </w:t>
      </w:r>
      <w:r w:rsidRPr="003015D7">
        <w:rPr>
          <w:rFonts w:ascii="Arial" w:hAnsi="Arial" w:cs="Arial"/>
          <w:sz w:val="22"/>
          <w:szCs w:val="22"/>
        </w:rPr>
        <w:t>(Cooke 2013)</w:t>
      </w:r>
      <w:r w:rsidR="003015D7">
        <w:rPr>
          <w:rFonts w:ascii="Arial" w:hAnsi="Arial" w:cs="Arial"/>
          <w:sz w:val="22"/>
          <w:szCs w:val="22"/>
        </w:rPr>
        <w:t>.</w:t>
      </w:r>
      <w:r w:rsidRPr="003015D7">
        <w:rPr>
          <w:rFonts w:ascii="Arial" w:hAnsi="Arial" w:cs="Arial"/>
          <w:sz w:val="22"/>
          <w:szCs w:val="22"/>
        </w:rPr>
        <w:t xml:space="preserve"> Therefore, the effects of migration on health may be mediated by income inequality. Additionally, Lee’s theory of migration suggests that regions with high levels of diversity are more likely to experience high rates of migration since migration is associated with imbalance between the origin and the destination and since diverse groups of people typically gravitate towards individuals like themselves</w:t>
      </w:r>
      <w:r w:rsidR="003015D7">
        <w:rPr>
          <w:rFonts w:ascii="Arial" w:hAnsi="Arial" w:cs="Arial"/>
          <w:sz w:val="22"/>
          <w:szCs w:val="22"/>
        </w:rPr>
        <w:t xml:space="preserve"> </w:t>
      </w:r>
      <w:r w:rsidRPr="003015D7">
        <w:rPr>
          <w:rFonts w:ascii="Arial" w:hAnsi="Arial" w:cs="Arial"/>
          <w:sz w:val="22"/>
          <w:szCs w:val="22"/>
        </w:rPr>
        <w:t>(Everett S. Lee 1966)</w:t>
      </w:r>
      <w:r w:rsidR="003015D7">
        <w:rPr>
          <w:rFonts w:ascii="Arial" w:hAnsi="Arial" w:cs="Arial"/>
          <w:sz w:val="22"/>
          <w:szCs w:val="22"/>
        </w:rPr>
        <w:t>.</w:t>
      </w:r>
      <w:r w:rsidRPr="003015D7">
        <w:rPr>
          <w:rFonts w:ascii="Arial" w:hAnsi="Arial" w:cs="Arial"/>
          <w:sz w:val="22"/>
          <w:szCs w:val="22"/>
        </w:rPr>
        <w:t xml:space="preserve"> Therefore, though perceived health may operate as a “pull” factor, not all people in a community are likely to experience improved health.  </w:t>
      </w:r>
    </w:p>
    <w:p w14:paraId="597FC6BC" w14:textId="2009DA4C"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There are many potential mechanisms by which urbanicity and the movement between urban centers could impact health. One might expect worse health in urban areas considering that limited access to green space (Tsai et al. 2018), concentration of populations marginalized from resources, crowded living conditions, and air </w:t>
      </w:r>
      <w:r w:rsidR="003015D7" w:rsidRPr="003015D7">
        <w:rPr>
          <w:rFonts w:ascii="Arial" w:hAnsi="Arial" w:cs="Arial"/>
          <w:sz w:val="22"/>
          <w:szCs w:val="22"/>
        </w:rPr>
        <w:t>pollution (</w:t>
      </w:r>
      <w:r w:rsidRPr="003015D7">
        <w:rPr>
          <w:rFonts w:ascii="Arial" w:hAnsi="Arial" w:cs="Arial"/>
          <w:sz w:val="22"/>
          <w:szCs w:val="22"/>
        </w:rPr>
        <w:t xml:space="preserve">Ha 2017) are associated with negative health outcomes. On the other hand, urban populations are also more likely to have access to health care, more likely to participate in social organizations which offer psycho-social support (T.-C. Yang 2019), and more likely to have educational and financial opportunities (Ha and Shao 2019), all of which are associated with positive health outcomes. A recently published paper assessing quality of life in Finland found higher rates of high quality of life in rural areas but not after controlling for perceived loneliness (Weckroth et al. 2022). Another study found that people in urban areas have higher prevalence of both depression and anxiety despite having lower prevalence of other risk factors (Zijlema et al. </w:t>
      </w:r>
      <w:r w:rsidRPr="003015D7">
        <w:rPr>
          <w:rFonts w:ascii="Arial" w:hAnsi="Arial" w:cs="Arial"/>
          <w:sz w:val="22"/>
          <w:szCs w:val="22"/>
        </w:rPr>
        <w:lastRenderedPageBreak/>
        <w:t>2015). Disentangling the contribution of each of these potential mechanisms has important public health implications by pointing to possible solutions (e.g., increase access) for improving health. Relating urbanicity to health in the US, however, requires confronting several challenges. Urbanicity is a complex phenomenon, and its effects are impossible to isolate completely. There are many potential variables that confound the relationship between urbanicity and health. Most notably, counties that differ in urbanicity will also differ in the sociodemographic makeup of their population in terms of distributions of racial identity, age, income, and education. Even controlling for observed sociodemographic differences, there may still be </w:t>
      </w:r>
      <w:r w:rsidRPr="003015D7">
        <w:rPr>
          <w:rFonts w:ascii="Arial" w:hAnsi="Arial" w:cs="Arial"/>
          <w:i/>
          <w:iCs/>
          <w:sz w:val="22"/>
          <w:szCs w:val="22"/>
        </w:rPr>
        <w:t>unobserved</w:t>
      </w:r>
      <w:r w:rsidRPr="003015D7">
        <w:rPr>
          <w:rFonts w:ascii="Arial" w:hAnsi="Arial" w:cs="Arial"/>
          <w:sz w:val="22"/>
          <w:szCs w:val="22"/>
        </w:rPr>
        <w:t> confounding variables. For example, some people may choose to live in urban places and others in rural environments. These choices could be influenced by the past and present sociocultural context of each community which affects who feels welcomed into which communities. Factors such as personality and familial ties play large roles in both health and choice of living location (Chan 1977). Thus, analyses and conclusions must be carefully crafted to account for the complexity of where people live and why.</w:t>
      </w:r>
    </w:p>
    <w:p w14:paraId="15F7F0D8"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rPr>
        <w:t>According to Lee’s theory of migration (Everett S. Lee 1966), migration is selective, meaning that the individuals who migrate are not a random sample of the population of the origin. Migration occurs in response to a “push” or a “pull” – migrants are “pushed” to leave an origin and “pulled” to a destination. “Pull” factors are more often associated with positive selection; migrants who are “pulled” to a destination due to perceived benefits are more likely to have high income or education status. Contrarily, migrants who are “pushed” to leave an origin are likely to have faced hardship in some form. In some cases, this is a negatively selected group including individuals who have lost jobs or suffered from climate change events; in other cases, an entire population may be “pushed” to migrate due to war or famine. Migration is often bimodal in that only the most advantaged and the least advantaged individuals relocate. This logic could be extended to the health distribution of migrants: only the most and least healthy individuals migrate. According to Norman and colleagues, migrants who move from more resource depleted regions to less resource depleted regions have better health on average than the population in their destination while migrants who move from less depleted regions to more depleted regions have worse health on average than the population in their destination (Norman, Boyle, and Rees 2005). Additionally, when the barriers between origin and destination are particularly high, migrants are often healthier on average than the people living in their destination, either because they have been selected through the migration process or because unhealthy people are less likely to choose to move when the barriers are high (Halliday and Kimmitt 2008). Without understanding the individual decisions or circumstances that lead to migration, we cannot assess whether changes in health are the result of a “push” or a “pull.” Disentangling the directionality of changes in health versus changes in migration is one challenge of using county-level data.</w:t>
      </w:r>
    </w:p>
    <w:p w14:paraId="63DF3A13" w14:textId="04DB62AF"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Since we propose an ecological study using county-level data, we can only adjust for county-level differences and cannot attempt to measure individual-level differences. County-level data can be useful to understand how place is related to average health. </w:t>
      </w:r>
      <w:proofErr w:type="gramStart"/>
      <w:r w:rsidRPr="003015D7">
        <w:rPr>
          <w:rFonts w:ascii="Arial" w:hAnsi="Arial" w:cs="Arial"/>
          <w:sz w:val="22"/>
          <w:szCs w:val="22"/>
        </w:rPr>
        <w:t>In particular, county-level</w:t>
      </w:r>
      <w:proofErr w:type="gramEnd"/>
      <w:r w:rsidRPr="003015D7">
        <w:rPr>
          <w:rFonts w:ascii="Arial" w:hAnsi="Arial" w:cs="Arial"/>
          <w:sz w:val="22"/>
          <w:szCs w:val="22"/>
        </w:rPr>
        <w:t xml:space="preserve"> analyses may be useful in informing local policies to raise the </w:t>
      </w:r>
      <w:r w:rsidRPr="003015D7">
        <w:rPr>
          <w:rFonts w:ascii="Arial" w:hAnsi="Arial" w:cs="Arial"/>
          <w:i/>
          <w:iCs/>
          <w:sz w:val="22"/>
          <w:szCs w:val="22"/>
        </w:rPr>
        <w:t>average</w:t>
      </w:r>
      <w:r w:rsidRPr="003015D7">
        <w:rPr>
          <w:rFonts w:ascii="Arial" w:hAnsi="Arial" w:cs="Arial"/>
          <w:sz w:val="22"/>
          <w:szCs w:val="22"/>
        </w:rPr>
        <w:t xml:space="preserve"> health of a county, and county-level sociodemographic analyses may be useful in informing local policies to reduce disparities within a county – thus, county-level analyses are useful in addressing both of the primary goals of population health: increasing the health of the population overall and reducing health disparities (Kindig 2017). As we have seen during the COVID pandemic, local public health departments, school boards, and faith-based organizations have the power to make decisions which affect public health at an “average” level. County-level analyses may help local decision-makers understand the patterns and processes of their communities. Additionally, because we use a dataset which contains all 3142 US counties, rural counties are better represented than urban counties despite having smaller total population. We use county-level data because that is what is available, but also because we cannot know exactly which individuals are in each county at time 0 and at time 1, creating treatment and outcome groups that differ at the individual-level, but not at the county-level. </w:t>
      </w:r>
      <w:r w:rsidR="003015D7" w:rsidRPr="003015D7">
        <w:rPr>
          <w:rFonts w:ascii="Arial" w:hAnsi="Arial" w:cs="Arial"/>
          <w:sz w:val="22"/>
          <w:szCs w:val="22"/>
        </w:rPr>
        <w:t>Of course,</w:t>
      </w:r>
      <w:r w:rsidRPr="003015D7">
        <w:rPr>
          <w:rFonts w:ascii="Arial" w:hAnsi="Arial" w:cs="Arial"/>
          <w:sz w:val="22"/>
          <w:szCs w:val="22"/>
        </w:rPr>
        <w:t xml:space="preserve"> there is information lost when using group-level data, and the downsides of such an ecological study design have been enumerated many times previously (GREENLAND and MORGENSTERN 1989); however, by studying county-level data, we can draw attention to environmental county-level health factors - factors that are likely to have different effects when comparing individuals but may remain largely constant when comparing groups or counties. </w:t>
      </w:r>
    </w:p>
    <w:p w14:paraId="05C3E02B" w14:textId="77777777" w:rsidR="00792322" w:rsidRPr="003015D7" w:rsidRDefault="00000000" w:rsidP="003015D7">
      <w:pPr>
        <w:pStyle w:val="BodyText"/>
        <w:rPr>
          <w:rFonts w:ascii="Arial" w:hAnsi="Arial" w:cs="Arial"/>
          <w:sz w:val="22"/>
          <w:szCs w:val="22"/>
        </w:rPr>
      </w:pPr>
      <w:r w:rsidRPr="003015D7">
        <w:rPr>
          <w:rFonts w:ascii="Arial" w:hAnsi="Arial" w:cs="Arial"/>
          <w:b/>
          <w:bCs/>
          <w:sz w:val="22"/>
          <w:szCs w:val="22"/>
          <w:u w:val="single"/>
        </w:rPr>
        <w:t>Innovation</w:t>
      </w:r>
    </w:p>
    <w:p w14:paraId="467B8F5D"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The relationship between place and health has been studied many times before. However, many existing studies measure the effects of place on health at a single point in time, without accounting for interconnectedness via migration. Additionally, though time-series forecasting of county-level mortality rates </w:t>
      </w:r>
      <w:r w:rsidRPr="003015D7">
        <w:rPr>
          <w:rFonts w:ascii="Arial" w:hAnsi="Arial" w:cs="Arial"/>
          <w:sz w:val="22"/>
          <w:szCs w:val="22"/>
        </w:rPr>
        <w:lastRenderedPageBreak/>
        <w:t xml:space="preserve">has been done many times previously, our </w:t>
      </w:r>
      <w:r w:rsidRPr="003015D7">
        <w:rPr>
          <w:rFonts w:ascii="Arial" w:hAnsi="Arial" w:cs="Arial"/>
          <w:i/>
          <w:iCs/>
          <w:sz w:val="22"/>
          <w:szCs w:val="22"/>
        </w:rPr>
        <w:t>migrationally</w:t>
      </w:r>
      <w:r w:rsidRPr="003015D7">
        <w:rPr>
          <w:rFonts w:ascii="Arial" w:hAnsi="Arial" w:cs="Arial"/>
          <w:sz w:val="22"/>
          <w:szCs w:val="22"/>
        </w:rPr>
        <w:t xml:space="preserve"> autoregressive model (which accounts for county-to-county migration) is unique – many existing models account for spatial correlation between counties but do not account for migration between counties. There are many dimensions of migration: time, space, age, neighborhood, health, income, etc. In our third aim, tensor factorization allows us to assess each dimension of migration separately. Tensor factorization has been used to study migration using the IRS migration flow dataset, but to our knowledge, it has not yet been used to assess sociodemographic dimensions of migration. Our application of tensor factorization will allow us to create a better picture of who migrates, when they migrate, and where they migrate on average within the US which we can then use to study the relative effect of migration on county-level health.</w:t>
      </w:r>
    </w:p>
    <w:p w14:paraId="0D37B00A" w14:textId="77777777" w:rsidR="00792322" w:rsidRPr="003015D7" w:rsidRDefault="00000000" w:rsidP="003015D7">
      <w:pPr>
        <w:pStyle w:val="BodyText"/>
        <w:rPr>
          <w:rFonts w:ascii="Arial" w:hAnsi="Arial" w:cs="Arial"/>
          <w:sz w:val="22"/>
          <w:szCs w:val="22"/>
        </w:rPr>
      </w:pPr>
      <w:r w:rsidRPr="003015D7">
        <w:rPr>
          <w:rFonts w:ascii="Arial" w:hAnsi="Arial" w:cs="Arial"/>
          <w:b/>
          <w:bCs/>
          <w:sz w:val="22"/>
          <w:szCs w:val="22"/>
          <w:u w:val="single"/>
        </w:rPr>
        <w:t>Approach</w:t>
      </w:r>
    </w:p>
    <w:p w14:paraId="2C692D86" w14:textId="59101DC1" w:rsidR="00792322" w:rsidRPr="003015D7" w:rsidRDefault="00000000" w:rsidP="003015D7">
      <w:pPr>
        <w:pStyle w:val="BodyText"/>
        <w:rPr>
          <w:rFonts w:ascii="Arial" w:hAnsi="Arial" w:cs="Arial"/>
          <w:sz w:val="22"/>
          <w:szCs w:val="22"/>
        </w:rPr>
      </w:pPr>
      <w:r w:rsidRPr="003015D7">
        <w:rPr>
          <w:rFonts w:ascii="Arial" w:hAnsi="Arial" w:cs="Arial"/>
          <w:b/>
          <w:bCs/>
          <w:sz w:val="22"/>
          <w:szCs w:val="22"/>
          <w:u w:val="single"/>
        </w:rPr>
        <w:t>Aim 1:</w:t>
      </w:r>
      <w:r w:rsidRPr="003015D7">
        <w:rPr>
          <w:rFonts w:ascii="Arial" w:hAnsi="Arial" w:cs="Arial"/>
          <w:sz w:val="22"/>
          <w:szCs w:val="22"/>
          <w:u w:val="single"/>
        </w:rPr>
        <w:t xml:space="preserve"> Quantify the associations of place and self-reported mental health at the county level.</w:t>
      </w:r>
      <w:r w:rsidRPr="003015D7">
        <w:rPr>
          <w:rFonts w:ascii="Arial" w:hAnsi="Arial" w:cs="Arial"/>
          <w:sz w:val="22"/>
          <w:szCs w:val="22"/>
        </w:rPr>
        <w:t xml:space="preserve"> </w:t>
      </w:r>
      <w:r w:rsidRPr="003015D7">
        <w:rPr>
          <w:rFonts w:ascii="Arial" w:hAnsi="Arial" w:cs="Arial"/>
          <w:b/>
          <w:bCs/>
          <w:sz w:val="22"/>
          <w:szCs w:val="22"/>
        </w:rPr>
        <w:t>Hypothesis 1A:</w:t>
      </w:r>
      <w:r w:rsidRPr="003015D7">
        <w:rPr>
          <w:rFonts w:ascii="Arial" w:hAnsi="Arial" w:cs="Arial"/>
          <w:sz w:val="22"/>
          <w:szCs w:val="22"/>
        </w:rPr>
        <w:t xml:space="preserve"> County-level averages in poor mental health days are related to urbanicity after accounting for county-level demographic differences. </w:t>
      </w:r>
      <w:r w:rsidRPr="003015D7">
        <w:rPr>
          <w:rFonts w:ascii="Arial" w:hAnsi="Arial" w:cs="Arial"/>
          <w:b/>
          <w:bCs/>
          <w:sz w:val="22"/>
          <w:szCs w:val="22"/>
        </w:rPr>
        <w:t>Hypothesis 1B:</w:t>
      </w:r>
      <w:r w:rsidRPr="003015D7">
        <w:rPr>
          <w:rFonts w:ascii="Arial" w:hAnsi="Arial" w:cs="Arial"/>
          <w:sz w:val="22"/>
          <w:szCs w:val="22"/>
        </w:rPr>
        <w:t xml:space="preserve"> This relationship can be explained by differences in factors linked to the built environment (</w:t>
      </w:r>
      <w:r w:rsidR="003015D7" w:rsidRPr="003015D7">
        <w:rPr>
          <w:rFonts w:ascii="Arial" w:hAnsi="Arial" w:cs="Arial"/>
          <w:sz w:val="22"/>
          <w:szCs w:val="22"/>
        </w:rPr>
        <w:t>e.g.,</w:t>
      </w:r>
      <w:r w:rsidRPr="003015D7">
        <w:rPr>
          <w:rFonts w:ascii="Arial" w:hAnsi="Arial" w:cs="Arial"/>
          <w:sz w:val="22"/>
          <w:szCs w:val="22"/>
        </w:rPr>
        <w:t xml:space="preserve"> access to exercise, mental health providers, air pollution, violent crime, and severe housing problems). </w:t>
      </w:r>
      <w:r w:rsidRPr="003015D7">
        <w:rPr>
          <w:rFonts w:ascii="Arial" w:hAnsi="Arial" w:cs="Arial"/>
          <w:b/>
          <w:bCs/>
          <w:sz w:val="22"/>
          <w:szCs w:val="22"/>
        </w:rPr>
        <w:t>Hypothesis 1C:</w:t>
      </w:r>
      <w:r w:rsidRPr="003015D7">
        <w:rPr>
          <w:rFonts w:ascii="Arial" w:hAnsi="Arial" w:cs="Arial"/>
          <w:sz w:val="22"/>
          <w:szCs w:val="22"/>
        </w:rPr>
        <w:t xml:space="preserve"> The way in which factors linked to the bulit environment explain the connection between urbanicity and mental health varies between the most rural and the the most urban counties.</w:t>
      </w:r>
    </w:p>
    <w:p w14:paraId="5A0448DE" w14:textId="77777777" w:rsidR="00792322" w:rsidRPr="003015D7" w:rsidRDefault="00000000" w:rsidP="003015D7">
      <w:pPr>
        <w:pStyle w:val="BodyText"/>
        <w:rPr>
          <w:rFonts w:ascii="Arial" w:hAnsi="Arial" w:cs="Arial"/>
          <w:sz w:val="22"/>
          <w:szCs w:val="22"/>
        </w:rPr>
      </w:pPr>
      <w:r w:rsidRPr="003015D7">
        <w:rPr>
          <w:rFonts w:ascii="Arial" w:hAnsi="Arial" w:cs="Arial"/>
          <w:b/>
          <w:bCs/>
          <w:i/>
          <w:iCs/>
          <w:sz w:val="22"/>
          <w:szCs w:val="22"/>
        </w:rPr>
        <w:t>Note:</w:t>
      </w:r>
      <w:r w:rsidRPr="003015D7">
        <w:rPr>
          <w:rFonts w:ascii="Arial" w:hAnsi="Arial" w:cs="Arial"/>
          <w:sz w:val="22"/>
          <w:szCs w:val="22"/>
        </w:rPr>
        <w:t xml:space="preserve"> This aim is complete. Olson-Williams, H.E., Grey, S.T., and Cochran, A.L. have published a manuscript titled “Ecological Study of Urbanicity and Self-reported Poor Mental Health Days Across US Counties” in the Community Mental Health Journal. Below we provide a brief overview of this aim, but please refer to the published paper </w:t>
      </w:r>
      <w:hyperlink r:id="rId7">
        <w:r w:rsidRPr="003015D7">
          <w:rPr>
            <w:rStyle w:val="Hyperlink"/>
            <w:rFonts w:ascii="Arial" w:hAnsi="Arial" w:cs="Arial"/>
            <w:color w:val="auto"/>
            <w:sz w:val="22"/>
            <w:szCs w:val="22"/>
          </w:rPr>
          <w:t>here</w:t>
        </w:r>
      </w:hyperlink>
      <w:r w:rsidRPr="003015D7">
        <w:rPr>
          <w:rFonts w:ascii="Arial" w:hAnsi="Arial" w:cs="Arial"/>
          <w:sz w:val="22"/>
          <w:szCs w:val="22"/>
        </w:rPr>
        <w:t xml:space="preserve"> for full details.</w:t>
      </w:r>
    </w:p>
    <w:p w14:paraId="716C48A8"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u w:val="single"/>
        </w:rPr>
        <w:t>Data</w:t>
      </w:r>
      <w:r w:rsidRPr="003015D7">
        <w:rPr>
          <w:rFonts w:ascii="Arial" w:hAnsi="Arial" w:cs="Arial"/>
          <w:sz w:val="22"/>
          <w:szCs w:val="22"/>
        </w:rPr>
        <w:t>: Data on US counties was provided by the University of Wisconsin’s County Health Rankings and Roadmaps (CHRR). CHRR collects and aggregates publicly available data at the county-level. Therefore, this is an ecological study, and the unit of analysis for this paper is a county. We analyzed the 2021 CHRR dataset for all 3142 US counties for which data is available.</w:t>
      </w:r>
    </w:p>
    <w:p w14:paraId="622C5754" w14:textId="1A323767" w:rsidR="00792322" w:rsidRPr="003015D7" w:rsidRDefault="00000000" w:rsidP="003015D7">
      <w:pPr>
        <w:pStyle w:val="BodyText"/>
        <w:rPr>
          <w:rFonts w:ascii="Arial" w:hAnsi="Arial" w:cs="Arial"/>
          <w:sz w:val="22"/>
          <w:szCs w:val="22"/>
        </w:rPr>
      </w:pPr>
      <w:r w:rsidRPr="003015D7">
        <w:rPr>
          <w:rFonts w:ascii="Arial" w:hAnsi="Arial" w:cs="Arial"/>
          <w:sz w:val="22"/>
          <w:szCs w:val="22"/>
          <w:u w:val="single"/>
        </w:rPr>
        <w:t>The</w:t>
      </w:r>
      <w:r w:rsidRPr="003015D7">
        <w:rPr>
          <w:rFonts w:ascii="Arial" w:hAnsi="Arial" w:cs="Arial"/>
          <w:sz w:val="22"/>
          <w:szCs w:val="22"/>
        </w:rPr>
        <w:t xml:space="preserve"> </w:t>
      </w:r>
      <w:r w:rsidRPr="003015D7">
        <w:rPr>
          <w:rFonts w:ascii="Arial" w:hAnsi="Arial" w:cs="Arial"/>
          <w:sz w:val="22"/>
          <w:szCs w:val="22"/>
          <w:u w:val="single"/>
        </w:rPr>
        <w:t>outcome of interest is poor mental health days</w:t>
      </w:r>
      <w:r w:rsidRPr="003015D7">
        <w:rPr>
          <w:rFonts w:ascii="Arial" w:hAnsi="Arial" w:cs="Arial"/>
          <w:sz w:val="22"/>
          <w:szCs w:val="22"/>
        </w:rPr>
        <w:t xml:space="preserve">, an age-adjusted average number of mentally unhealthy days reported in the past 30 days. This is a self-reported variable collected by the </w:t>
      </w:r>
      <w:r w:rsidR="001F6627" w:rsidRPr="003015D7">
        <w:rPr>
          <w:rFonts w:ascii="Arial" w:hAnsi="Arial" w:cs="Arial"/>
          <w:sz w:val="22"/>
          <w:szCs w:val="22"/>
        </w:rPr>
        <w:t>B</w:t>
      </w:r>
      <w:r w:rsidR="001F6627">
        <w:rPr>
          <w:rFonts w:ascii="Arial" w:hAnsi="Arial" w:cs="Arial"/>
          <w:sz w:val="22"/>
          <w:szCs w:val="22"/>
        </w:rPr>
        <w:t>ehavioral Risk Factor Surveillance System (B</w:t>
      </w:r>
      <w:r w:rsidRPr="003015D7">
        <w:rPr>
          <w:rFonts w:ascii="Arial" w:hAnsi="Arial" w:cs="Arial"/>
          <w:sz w:val="22"/>
          <w:szCs w:val="22"/>
        </w:rPr>
        <w:t>RFSS</w:t>
      </w:r>
      <w:r w:rsidR="001F6627">
        <w:rPr>
          <w:rFonts w:ascii="Arial" w:hAnsi="Arial" w:cs="Arial"/>
          <w:sz w:val="22"/>
          <w:szCs w:val="22"/>
        </w:rPr>
        <w:t>)</w:t>
      </w:r>
      <w:r w:rsidRPr="003015D7">
        <w:rPr>
          <w:rFonts w:ascii="Arial" w:hAnsi="Arial" w:cs="Arial"/>
          <w:sz w:val="22"/>
          <w:szCs w:val="22"/>
        </w:rPr>
        <w:t>. The most recent available data represents 2018. We chose to use this measure of self-reported health because BRFSS is the largest continuously conducted health survey system in the world (“CDC - about BRFSS” 2019), and BRFSS county-level estimates span all 3142 US counties. These estimates are well-validated and commonly used (Pierannunzi, Hu, and Balluz 2013).</w:t>
      </w:r>
    </w:p>
    <w:p w14:paraId="5A1F2CEC" w14:textId="06C90A4C" w:rsidR="00792322" w:rsidRPr="003015D7" w:rsidRDefault="00000000" w:rsidP="003015D7">
      <w:pPr>
        <w:pStyle w:val="BodyText"/>
        <w:rPr>
          <w:rFonts w:ascii="Arial" w:hAnsi="Arial" w:cs="Arial"/>
          <w:sz w:val="22"/>
          <w:szCs w:val="22"/>
        </w:rPr>
      </w:pPr>
      <w:r w:rsidRPr="003015D7">
        <w:rPr>
          <w:rFonts w:ascii="Arial" w:hAnsi="Arial" w:cs="Arial"/>
          <w:sz w:val="22"/>
          <w:szCs w:val="22"/>
          <w:u w:val="single"/>
        </w:rPr>
        <w:t>The exposure of interest is urbanicity.</w:t>
      </w:r>
      <w:r w:rsidRPr="003015D7">
        <w:rPr>
          <w:rFonts w:ascii="Arial" w:hAnsi="Arial" w:cs="Arial"/>
          <w:sz w:val="22"/>
          <w:szCs w:val="22"/>
        </w:rPr>
        <w:t xml:space="preserve"> Each county in the dataset has been assigned an urbanicity category based on the 2013 National Center for Health Statistics (NCHS) Urban–Rural Classification Scheme for </w:t>
      </w:r>
      <w:r w:rsidR="003015D7" w:rsidRPr="003015D7">
        <w:rPr>
          <w:rFonts w:ascii="Arial" w:hAnsi="Arial" w:cs="Arial"/>
          <w:sz w:val="22"/>
          <w:szCs w:val="22"/>
        </w:rPr>
        <w:t>Counties (</w:t>
      </w:r>
      <w:r w:rsidRPr="003015D7">
        <w:rPr>
          <w:rFonts w:ascii="Arial" w:hAnsi="Arial" w:cs="Arial"/>
          <w:sz w:val="22"/>
          <w:szCs w:val="22"/>
        </w:rPr>
        <w:t xml:space="preserve">Rothwell, </w:t>
      </w:r>
      <w:proofErr w:type="spellStart"/>
      <w:r w:rsidRPr="003015D7">
        <w:rPr>
          <w:rFonts w:ascii="Arial" w:hAnsi="Arial" w:cs="Arial"/>
          <w:sz w:val="22"/>
          <w:szCs w:val="22"/>
        </w:rPr>
        <w:t>Madans</w:t>
      </w:r>
      <w:proofErr w:type="spellEnd"/>
      <w:r w:rsidRPr="003015D7">
        <w:rPr>
          <w:rFonts w:ascii="Arial" w:hAnsi="Arial" w:cs="Arial"/>
          <w:sz w:val="22"/>
          <w:szCs w:val="22"/>
        </w:rPr>
        <w:t xml:space="preserve">, and </w:t>
      </w:r>
      <w:proofErr w:type="spellStart"/>
      <w:r w:rsidRPr="003015D7">
        <w:rPr>
          <w:rFonts w:ascii="Arial" w:hAnsi="Arial" w:cs="Arial"/>
          <w:sz w:val="22"/>
          <w:szCs w:val="22"/>
        </w:rPr>
        <w:t>Arispe</w:t>
      </w:r>
      <w:proofErr w:type="spellEnd"/>
      <w:r w:rsidRPr="003015D7">
        <w:rPr>
          <w:rFonts w:ascii="Arial" w:hAnsi="Arial" w:cs="Arial"/>
          <w:sz w:val="22"/>
          <w:szCs w:val="22"/>
        </w:rPr>
        <w:t>, n.d.). The NCHS urban–rural classification scheme relies on information such as population density as well as proximity to the largest city within a metropolitan statistical area. The six categories are as follows: large central metro (n = 68), large fringe metro (n = 368), medium metro (n = 372), small metro (n = 357), micropolitan (n = 641), and noncore (n = 1335). It is worth noting that the four “Metro” categories contain 85% of the total US population.</w:t>
      </w:r>
    </w:p>
    <w:p w14:paraId="790B39CA"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u w:val="single"/>
        </w:rPr>
        <w:t>Controls were variables that might confound the relationship between urbanicity and mental health.</w:t>
      </w:r>
      <w:r w:rsidRPr="003015D7">
        <w:rPr>
          <w:rFonts w:ascii="Arial" w:hAnsi="Arial" w:cs="Arial"/>
          <w:sz w:val="22"/>
          <w:szCs w:val="22"/>
        </w:rPr>
        <w:t xml:space="preserve"> Broadly, the sociodemographic makeup of a county varies with urbanicity and is expected to also influence mental health of persons living in the county. The first variable we controlled for is median household income: the income level at which half of households in the county earn more, to measure the typical income in a county. We controlled for median household income, since higher income allows county residents to enjoy greater access to mental health care, which may be positively related to mental health (Grembowski et al. 2002). For similar reasons, we also controlled for education (Chevalier and Feinstein 2006). Thus, the second control variable was some college: the percentage of adults ages 25–44 with some post-secondary education. The third control variable was percent over 65: the percentage of the population that are over age 65, since age is associated with decreased rates of self-reported poor mental health (“NIMH » Mental Illness,” n.d.). Another control variable was US state. We added a control variable for state to account for potential state-level effects since our outcome variable comes from BRFSS which uses state-level sampling methods.</w:t>
      </w:r>
    </w:p>
    <w:p w14:paraId="3EB4F557"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rPr>
        <w:lastRenderedPageBreak/>
        <w:t>We also controlled for race/ethnicity since self-reported mental health differs by race/ethnicity. For example, during the pre-vaccine COVID-19 pandemic, adults identifying as Hispanic had 20% to 400% greater odds of experiencing poor mental health than adults identifying as non-Hispanic (H. Lee and Singh 2021). Additionally, people who identify as Black are historically more likely to report lower levels of life satisfaction than people identifying as white (Hughes and Thomas 1998). Therefore, we controlled for the variables Percent Black: the percentage of the population that is non-Hispanic Black or African American, and Percent Hispanic: the percentage of the population that is Hispanic.</w:t>
      </w:r>
    </w:p>
    <w:p w14:paraId="3F34E74B"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u w:val="single"/>
        </w:rPr>
        <w:t>There were eight potential mediators of interest.</w:t>
      </w:r>
      <w:r w:rsidRPr="003015D7">
        <w:rPr>
          <w:rFonts w:ascii="Arial" w:hAnsi="Arial" w:cs="Arial"/>
          <w:sz w:val="22"/>
          <w:szCs w:val="22"/>
        </w:rPr>
        <w:t xml:space="preserve"> Social associations </w:t>
      </w:r>
      <w:proofErr w:type="gramStart"/>
      <w:r w:rsidRPr="003015D7">
        <w:rPr>
          <w:rFonts w:ascii="Arial" w:hAnsi="Arial" w:cs="Arial"/>
          <w:sz w:val="22"/>
          <w:szCs w:val="22"/>
        </w:rPr>
        <w:t>is</w:t>
      </w:r>
      <w:proofErr w:type="gramEnd"/>
      <w:r w:rsidRPr="003015D7">
        <w:rPr>
          <w:rFonts w:ascii="Arial" w:hAnsi="Arial" w:cs="Arial"/>
          <w:sz w:val="22"/>
          <w:szCs w:val="22"/>
        </w:rPr>
        <w:t xml:space="preserve"> the number of membership associations in a county per 10,000 population. Access to exercise is the percentage of the population with adequate access to locations for physical activity. Food environment index is calculated as a ratio of the percent of each county’s population experiencing limited access to healthy foods to the percent of each county’s population experiencing food insecurity. The percent of the population experiencing limited access to health foods is calculated as a function of poverty and distance to a grocery store while food insecurity is a modeled estimate from the Core Food Insecurity Model (“Map the Meal Gap Data | Feeding America,” n.d.). Mental health providers </w:t>
      </w:r>
      <w:proofErr w:type="gramStart"/>
      <w:r w:rsidRPr="003015D7">
        <w:rPr>
          <w:rFonts w:ascii="Arial" w:hAnsi="Arial" w:cs="Arial"/>
          <w:sz w:val="22"/>
          <w:szCs w:val="22"/>
        </w:rPr>
        <w:t>is</w:t>
      </w:r>
      <w:proofErr w:type="gramEnd"/>
      <w:r w:rsidRPr="003015D7">
        <w:rPr>
          <w:rFonts w:ascii="Arial" w:hAnsi="Arial" w:cs="Arial"/>
          <w:sz w:val="22"/>
          <w:szCs w:val="22"/>
        </w:rPr>
        <w:t xml:space="preserve"> the ratio of population to mental health providers. Air pollution is the average daily density of fine particulate matter in micrograms per cubic meter. Violent crime is the number of reported violent crime offenses per 100,000 population. Severe housing cost burden is the percentage of households that spend 50% or more of their income on housing. Income inequality is the ratio of household income at the 80th percentile to income at the 20th percentile.</w:t>
      </w:r>
    </w:p>
    <w:tbl>
      <w:tblPr>
        <w:tblStyle w:val="Table"/>
        <w:tblW w:w="5000" w:type="pct"/>
        <w:tblLook w:val="0000" w:firstRow="0" w:lastRow="0" w:firstColumn="0" w:lastColumn="0" w:noHBand="0" w:noVBand="0"/>
      </w:tblPr>
      <w:tblGrid>
        <w:gridCol w:w="10800"/>
      </w:tblGrid>
      <w:tr w:rsidR="003015D7" w:rsidRPr="003015D7" w14:paraId="03F8A99C" w14:textId="77777777">
        <w:tc>
          <w:tcPr>
            <w:tcW w:w="0" w:type="auto"/>
          </w:tcPr>
          <w:p w14:paraId="6B99F62B" w14:textId="77777777" w:rsidR="00792322" w:rsidRPr="003015D7" w:rsidRDefault="00000000" w:rsidP="003015D7">
            <w:pPr>
              <w:jc w:val="center"/>
              <w:rPr>
                <w:rFonts w:ascii="Arial" w:hAnsi="Arial" w:cs="Arial"/>
                <w:sz w:val="22"/>
                <w:szCs w:val="22"/>
              </w:rPr>
            </w:pPr>
            <w:r w:rsidRPr="003015D7">
              <w:rPr>
                <w:rFonts w:ascii="Arial" w:hAnsi="Arial" w:cs="Arial"/>
                <w:noProof/>
                <w:sz w:val="22"/>
                <w:szCs w:val="22"/>
              </w:rPr>
              <w:drawing>
                <wp:inline distT="0" distB="0" distL="0" distR="0" wp14:anchorId="13237553" wp14:editId="5258B64F">
                  <wp:extent cx="5334000" cy="1309413"/>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images/urbtable1.png"/>
                          <pic:cNvPicPr>
                            <a:picLocks noChangeAspect="1" noChangeArrowheads="1"/>
                          </pic:cNvPicPr>
                        </pic:nvPicPr>
                        <pic:blipFill>
                          <a:blip r:embed="rId8"/>
                          <a:stretch>
                            <a:fillRect/>
                          </a:stretch>
                        </pic:blipFill>
                        <pic:spPr bwMode="auto">
                          <a:xfrm>
                            <a:off x="0" y="0"/>
                            <a:ext cx="5334000" cy="1309413"/>
                          </a:xfrm>
                          <a:prstGeom prst="rect">
                            <a:avLst/>
                          </a:prstGeom>
                          <a:noFill/>
                          <a:ln w="9525">
                            <a:noFill/>
                            <a:headEnd/>
                            <a:tailEnd/>
                          </a:ln>
                        </pic:spPr>
                      </pic:pic>
                    </a:graphicData>
                  </a:graphic>
                </wp:inline>
              </w:drawing>
            </w:r>
          </w:p>
          <w:p w14:paraId="0C85CC3B" w14:textId="77777777" w:rsidR="00792322" w:rsidRPr="003015D7" w:rsidRDefault="00000000" w:rsidP="003015D7">
            <w:pPr>
              <w:pStyle w:val="ImageCaption"/>
              <w:spacing w:before="200"/>
              <w:rPr>
                <w:rFonts w:ascii="Arial" w:hAnsi="Arial" w:cs="Arial"/>
                <w:sz w:val="22"/>
                <w:szCs w:val="22"/>
              </w:rPr>
            </w:pPr>
            <w:r w:rsidRPr="003015D7">
              <w:rPr>
                <w:rFonts w:ascii="Arial" w:hAnsi="Arial" w:cs="Arial"/>
                <w:sz w:val="22"/>
                <w:szCs w:val="22"/>
              </w:rPr>
              <w:t>Table 1: Mean (SD) characteristics of US counties by urbanicity category</w:t>
            </w:r>
          </w:p>
        </w:tc>
      </w:tr>
    </w:tbl>
    <w:p w14:paraId="758F85A8" w14:textId="6D62A21E" w:rsidR="00792322" w:rsidRPr="003015D7" w:rsidRDefault="00000000" w:rsidP="003015D7">
      <w:pPr>
        <w:pStyle w:val="BodyText"/>
        <w:rPr>
          <w:rFonts w:ascii="Arial" w:hAnsi="Arial" w:cs="Arial"/>
          <w:sz w:val="22"/>
          <w:szCs w:val="22"/>
        </w:rPr>
      </w:pPr>
      <w:r w:rsidRPr="003015D7">
        <w:rPr>
          <w:rFonts w:ascii="Arial" w:hAnsi="Arial" w:cs="Arial"/>
          <w:b/>
          <w:bCs/>
          <w:sz w:val="22"/>
          <w:szCs w:val="22"/>
          <w:u w:val="single"/>
        </w:rPr>
        <w:t>Approach:</w:t>
      </w:r>
      <w:r w:rsidRPr="003015D7">
        <w:rPr>
          <w:rFonts w:ascii="Arial" w:hAnsi="Arial" w:cs="Arial"/>
          <w:sz w:val="22"/>
          <w:szCs w:val="22"/>
        </w:rPr>
        <w:t xml:space="preserve"> We estimated the relationship between urbanicity and average poor mental health days using mixed effects linear regression models. For simplicity, we built models that compare counties from one urbanicity category at a time against small metro counties. Hence, five comparisons were made: large central metro, large fringe metro, medium metro, micropolitan, and noncore vs. small metro. Each linear regression model included poor mental health days as the dependent variable and urbanicity as the independent variable. State was included as a random effect to accommodate within-state correlation and variation due to state differences in BRFSS approaches. Models were fit with and without adjustments for the control variables. Control variables were accounted for using inverse probability weighting (IPW). IPW entails weighting each county by the multiplicative inverse of the propensity scores, i.e., the probability of belonging to the county’s urbanicity category conditional on the confounding variables (i.e., education, income, age, percent Black, and percent Hispanic). This approach was used as opposed to including control variables directly in the model to avoid issues with misspecification of their influence in the linear regression model. Propensity scores needed for IPW were calculated from a logistic regression model for each urbanicity comparison. Hence, five logistic regression models were fit. Small metro was chosen as the reference category to avoid propensity scores near 0 or 1, since small metro is one of the middle urban categories. By contrast, an urban category at one extreme (e.g., large central metro) would lead to propensities close to 0 or 1 when compared to the other extreme (</w:t>
      </w:r>
      <w:r w:rsidR="008145C3" w:rsidRPr="003015D7">
        <w:rPr>
          <w:rFonts w:ascii="Arial" w:hAnsi="Arial" w:cs="Arial"/>
          <w:sz w:val="22"/>
          <w:szCs w:val="22"/>
        </w:rPr>
        <w:t>e.g.,</w:t>
      </w:r>
      <w:r w:rsidRPr="003015D7">
        <w:rPr>
          <w:rFonts w:ascii="Arial" w:hAnsi="Arial" w:cs="Arial"/>
          <w:sz w:val="22"/>
          <w:szCs w:val="22"/>
        </w:rPr>
        <w:t> noncore). Education, income, percent Black, percent Hispanic, and age are treated as independent variables in each logistic regression model. Considering that education and income have a strong relationship to mental health (Araya et al. 2003) and vary greatly across counties, an interaction term between income and education is included in the logistic regression model. In addition, natural cubic splines with three degrees of freedom each were used for education and household income. To validate this choice of model, other models were considered and compared to our model based on Akaike Information Criteria (AIC). We examined eight potential mediators using a combination of inverse probability weighting and random effects to account for potential confounders of the urban-mental health relationship. Mediation analysis was conducted in two steps</w:t>
      </w:r>
      <w:r w:rsidR="003015D7">
        <w:rPr>
          <w:rFonts w:ascii="Arial" w:hAnsi="Arial" w:cs="Arial"/>
          <w:sz w:val="22"/>
          <w:szCs w:val="22"/>
        </w:rPr>
        <w:t xml:space="preserve"> </w:t>
      </w:r>
      <w:r w:rsidRPr="003015D7">
        <w:rPr>
          <w:rFonts w:ascii="Arial" w:hAnsi="Arial" w:cs="Arial"/>
          <w:sz w:val="22"/>
          <w:szCs w:val="22"/>
        </w:rPr>
        <w:t xml:space="preserve">(Imai, </w:t>
      </w:r>
      <w:proofErr w:type="spellStart"/>
      <w:r w:rsidRPr="003015D7">
        <w:rPr>
          <w:rFonts w:ascii="Arial" w:hAnsi="Arial" w:cs="Arial"/>
          <w:sz w:val="22"/>
          <w:szCs w:val="22"/>
        </w:rPr>
        <w:t>Keele</w:t>
      </w:r>
      <w:proofErr w:type="spellEnd"/>
      <w:r w:rsidRPr="003015D7">
        <w:rPr>
          <w:rFonts w:ascii="Arial" w:hAnsi="Arial" w:cs="Arial"/>
          <w:sz w:val="22"/>
          <w:szCs w:val="22"/>
        </w:rPr>
        <w:t>, and Tingley 2010; VanderWeele and Vansteelandt 2014)</w:t>
      </w:r>
      <w:r w:rsidR="003015D7">
        <w:rPr>
          <w:rFonts w:ascii="Arial" w:hAnsi="Arial" w:cs="Arial"/>
          <w:sz w:val="22"/>
          <w:szCs w:val="22"/>
        </w:rPr>
        <w:t>.</w:t>
      </w:r>
      <w:r w:rsidRPr="003015D7">
        <w:rPr>
          <w:rFonts w:ascii="Arial" w:hAnsi="Arial" w:cs="Arial"/>
          <w:sz w:val="22"/>
          <w:szCs w:val="22"/>
        </w:rPr>
        <w:t xml:space="preserve"> First, we built a linear regression model </w:t>
      </w:r>
      <w:r w:rsidRPr="003015D7">
        <w:rPr>
          <w:rFonts w:ascii="Arial" w:hAnsi="Arial" w:cs="Arial"/>
          <w:sz w:val="22"/>
          <w:szCs w:val="22"/>
        </w:rPr>
        <w:lastRenderedPageBreak/>
        <w:t>for each urbanicity comparison relating potential mediators and urbanicity to poor mental health. These models included the eight mediators as independent variables but were otherwise identical to models from our primary analysis: poor mental health days was the dependent variable, urbanicity was an independent variable, state was a random effect, and IPW was used to adjust for control variables. Second, we built a linear regression model for each urbanicity comparison and each potential mediator. In this case, the potential mediator was the outcome variable, urbanicity was the independent variable, state was a random effect, and IPW was used to adjust for control variables. </w:t>
      </w:r>
    </w:p>
    <w:p w14:paraId="1E0782E2" w14:textId="77777777" w:rsidR="00792322" w:rsidRPr="003015D7" w:rsidRDefault="00000000" w:rsidP="003015D7">
      <w:pPr>
        <w:pStyle w:val="BodyText"/>
        <w:rPr>
          <w:rFonts w:ascii="Arial" w:hAnsi="Arial" w:cs="Arial"/>
          <w:sz w:val="22"/>
          <w:szCs w:val="22"/>
        </w:rPr>
      </w:pPr>
      <w:r w:rsidRPr="003015D7">
        <w:rPr>
          <w:rFonts w:ascii="Arial" w:hAnsi="Arial" w:cs="Arial"/>
          <w:b/>
          <w:bCs/>
          <w:sz w:val="22"/>
          <w:szCs w:val="22"/>
          <w:u w:val="single"/>
        </w:rPr>
        <w:t>Results and future directions</w:t>
      </w:r>
      <w:r w:rsidRPr="003015D7">
        <w:rPr>
          <w:rFonts w:ascii="Arial" w:hAnsi="Arial" w:cs="Arial"/>
          <w:b/>
          <w:bCs/>
          <w:sz w:val="22"/>
          <w:szCs w:val="22"/>
        </w:rPr>
        <w:t>:</w:t>
      </w:r>
      <w:r w:rsidRPr="003015D7">
        <w:rPr>
          <w:rFonts w:ascii="Arial" w:hAnsi="Arial" w:cs="Arial"/>
          <w:sz w:val="22"/>
          <w:szCs w:val="22"/>
        </w:rPr>
        <w:t xml:space="preserve"> Controlling for state, age, income, education, and race/ethnicity, large central metro counties reported 0.24 fewer average poor mental health days than small metro counties (</w:t>
      </w:r>
      <w:r w:rsidRPr="003015D7">
        <w:rPr>
          <w:rFonts w:ascii="Arial" w:hAnsi="Arial" w:cs="Arial"/>
          <w:i/>
          <w:iCs/>
          <w:sz w:val="22"/>
          <w:szCs w:val="22"/>
        </w:rPr>
        <w:t>t</w:t>
      </w:r>
      <w:r w:rsidRPr="003015D7">
        <w:rPr>
          <w:rFonts w:ascii="Arial" w:hAnsi="Arial" w:cs="Arial"/>
          <w:sz w:val="22"/>
          <w:szCs w:val="22"/>
        </w:rPr>
        <w:t> = − 5.78, </w:t>
      </w:r>
      <w:r w:rsidRPr="003015D7">
        <w:rPr>
          <w:rFonts w:ascii="Arial" w:hAnsi="Arial" w:cs="Arial"/>
          <w:i/>
          <w:iCs/>
          <w:sz w:val="22"/>
          <w:szCs w:val="22"/>
        </w:rPr>
        <w:t>df</w:t>
      </w:r>
      <w:r w:rsidRPr="003015D7">
        <w:rPr>
          <w:rFonts w:ascii="Arial" w:hAnsi="Arial" w:cs="Arial"/>
          <w:sz w:val="22"/>
          <w:szCs w:val="22"/>
        </w:rPr>
        <w:t> = 423, </w:t>
      </w:r>
      <w:r w:rsidRPr="003015D7">
        <w:rPr>
          <w:rFonts w:ascii="Arial" w:hAnsi="Arial" w:cs="Arial"/>
          <w:i/>
          <w:iCs/>
          <w:sz w:val="22"/>
          <w:szCs w:val="22"/>
        </w:rPr>
        <w:t>p</w:t>
      </w:r>
      <w:r w:rsidRPr="003015D7">
        <w:rPr>
          <w:rFonts w:ascii="Arial" w:hAnsi="Arial" w:cs="Arial"/>
          <w:sz w:val="22"/>
          <w:szCs w:val="22"/>
        </w:rPr>
        <w:t> &lt; .001). Noncore counties had 0.07 more average poor mental health days than small metro counties (</w:t>
      </w:r>
      <w:r w:rsidRPr="003015D7">
        <w:rPr>
          <w:rFonts w:ascii="Arial" w:hAnsi="Arial" w:cs="Arial"/>
          <w:i/>
          <w:iCs/>
          <w:sz w:val="22"/>
          <w:szCs w:val="22"/>
        </w:rPr>
        <w:t>t</w:t>
      </w:r>
      <w:r w:rsidRPr="003015D7">
        <w:rPr>
          <w:rFonts w:ascii="Arial" w:hAnsi="Arial" w:cs="Arial"/>
          <w:sz w:val="22"/>
          <w:szCs w:val="22"/>
        </w:rPr>
        <w:t> = 3.06, </w:t>
      </w:r>
      <w:r w:rsidRPr="003015D7">
        <w:rPr>
          <w:rFonts w:ascii="Arial" w:hAnsi="Arial" w:cs="Arial"/>
          <w:i/>
          <w:iCs/>
          <w:sz w:val="22"/>
          <w:szCs w:val="22"/>
        </w:rPr>
        <w:t>df</w:t>
      </w:r>
      <w:r w:rsidRPr="003015D7">
        <w:rPr>
          <w:rFonts w:ascii="Arial" w:hAnsi="Arial" w:cs="Arial"/>
          <w:sz w:val="22"/>
          <w:szCs w:val="22"/>
        </w:rPr>
        <w:t> = 1690, p = 0.002). Better mental health in large central metro counties was partly mediated by differences in the built environment, such as better food environments. Poorer mental health in noncore counties was not mediated by considered mediators. Our findings shed light on contemporary questions about mental health in the US. Is mental health better or worse in urban areas than rural areas? There are arguments on both sides: urban areas have greater access to resources like mental health providers and social associations, but rural areas have less violent crime or income inequality and greater access to green spaces. Finding that urban counties are associated with better, not worse, mental health is contrary to what would be expected based on what we know from different countries and earlier time periods. For example, a study published in 2000 of urban–rural mental health differences in Great Britain found that individuals living in urban centers had higher rates of three indicators of poor mental health (Paykel et al. 2000), and a 2007 study of Chinese migrant workers found that workers living in urban areas had worse mental health than workers in rural areas (J. Li and Rose 2017). Thus, there appear to be unique factors at play when it comes to mental health in contemporary US. In our next two aims, we use migration as a possible explanation for these US-specific differences in the relationship between place and health.</w:t>
      </w:r>
    </w:p>
    <w:p w14:paraId="2134CD87" w14:textId="77777777" w:rsidR="00792322" w:rsidRPr="003015D7" w:rsidRDefault="00000000" w:rsidP="003015D7">
      <w:pPr>
        <w:rPr>
          <w:rFonts w:ascii="Arial" w:hAnsi="Arial" w:cs="Arial"/>
          <w:sz w:val="22"/>
          <w:szCs w:val="22"/>
        </w:rPr>
      </w:pPr>
      <w:r>
        <w:rPr>
          <w:rFonts w:ascii="Arial" w:hAnsi="Arial" w:cs="Arial"/>
          <w:sz w:val="22"/>
          <w:szCs w:val="22"/>
        </w:rPr>
        <w:pict w14:anchorId="3056E7A4">
          <v:rect id="_x0000_i1025" style="width:0;height:1.5pt" o:hralign="center" o:hrstd="t" o:hr="t"/>
        </w:pict>
      </w:r>
    </w:p>
    <w:p w14:paraId="01BD7B14" w14:textId="0B6CB197" w:rsidR="00792322" w:rsidRPr="003015D7" w:rsidRDefault="00000000" w:rsidP="003015D7">
      <w:pPr>
        <w:pStyle w:val="FirstParagraph"/>
        <w:rPr>
          <w:rFonts w:ascii="Arial" w:hAnsi="Arial" w:cs="Arial"/>
          <w:sz w:val="22"/>
          <w:szCs w:val="22"/>
        </w:rPr>
      </w:pPr>
      <w:r w:rsidRPr="003015D7">
        <w:rPr>
          <w:rFonts w:ascii="Arial" w:hAnsi="Arial" w:cs="Arial"/>
          <w:b/>
          <w:bCs/>
          <w:sz w:val="22"/>
          <w:szCs w:val="22"/>
          <w:u w:val="single"/>
        </w:rPr>
        <w:t>Aim 2:</w:t>
      </w:r>
      <w:r w:rsidRPr="003015D7">
        <w:rPr>
          <w:rFonts w:ascii="Arial" w:hAnsi="Arial" w:cs="Arial"/>
          <w:sz w:val="22"/>
          <w:szCs w:val="22"/>
          <w:u w:val="single"/>
        </w:rPr>
        <w:t xml:space="preserve"> Explore how county-level migraiton can enhance our capacity to understand and explain county-level health.</w:t>
      </w:r>
      <w:r w:rsidRPr="003015D7">
        <w:rPr>
          <w:rFonts w:ascii="Arial" w:hAnsi="Arial" w:cs="Arial"/>
          <w:sz w:val="22"/>
          <w:szCs w:val="22"/>
        </w:rPr>
        <w:t xml:space="preserve"> </w:t>
      </w:r>
      <w:r w:rsidRPr="003015D7">
        <w:rPr>
          <w:rFonts w:ascii="Arial" w:hAnsi="Arial" w:cs="Arial"/>
          <w:b/>
          <w:bCs/>
          <w:sz w:val="22"/>
          <w:szCs w:val="22"/>
        </w:rPr>
        <w:t>Hypothesis 2A:</w:t>
      </w:r>
      <w:r w:rsidRPr="003015D7">
        <w:rPr>
          <w:rFonts w:ascii="Arial" w:hAnsi="Arial" w:cs="Arial"/>
          <w:sz w:val="22"/>
          <w:szCs w:val="22"/>
        </w:rPr>
        <w:t xml:space="preserve"> County-to-county migration patterns improve the explainability of autoregressive models of county-level mortality. </w:t>
      </w:r>
      <w:r w:rsidRPr="003015D7">
        <w:rPr>
          <w:rFonts w:ascii="Arial" w:hAnsi="Arial" w:cs="Arial"/>
          <w:b/>
          <w:bCs/>
          <w:sz w:val="22"/>
          <w:szCs w:val="22"/>
        </w:rPr>
        <w:t>Hypothesis 2B:</w:t>
      </w:r>
      <w:r w:rsidRPr="003015D7">
        <w:rPr>
          <w:rFonts w:ascii="Arial" w:hAnsi="Arial" w:cs="Arial"/>
          <w:sz w:val="22"/>
          <w:szCs w:val="22"/>
        </w:rPr>
        <w:t xml:space="preserve"> The role that intercounty migration plays in county-level mortality differs significantly between rural and urban counties. </w:t>
      </w:r>
      <w:r w:rsidRPr="003015D7">
        <w:rPr>
          <w:rFonts w:ascii="Arial" w:hAnsi="Arial" w:cs="Arial"/>
          <w:b/>
          <w:bCs/>
          <w:sz w:val="22"/>
          <w:szCs w:val="22"/>
        </w:rPr>
        <w:t>Hypothesis 2C:</w:t>
      </w:r>
      <w:r w:rsidRPr="003015D7">
        <w:rPr>
          <w:rFonts w:ascii="Arial" w:hAnsi="Arial" w:cs="Arial"/>
          <w:sz w:val="22"/>
          <w:szCs w:val="22"/>
        </w:rPr>
        <w:t xml:space="preserve"> </w:t>
      </w:r>
      <w:r w:rsidR="003015D7" w:rsidRPr="003015D7">
        <w:rPr>
          <w:rFonts w:ascii="Arial" w:hAnsi="Arial" w:cs="Arial"/>
          <w:sz w:val="22"/>
          <w:szCs w:val="22"/>
        </w:rPr>
        <w:t>Considering</w:t>
      </w:r>
      <w:r w:rsidRPr="003015D7">
        <w:rPr>
          <w:rFonts w:ascii="Arial" w:hAnsi="Arial" w:cs="Arial"/>
          <w:sz w:val="22"/>
          <w:szCs w:val="22"/>
        </w:rPr>
        <w:t xml:space="preserve"> bias in migration patterns improves our ability to explain county-level mortality as well as the differential role that migration plays in urban versus rural counties.</w:t>
      </w:r>
    </w:p>
    <w:p w14:paraId="5D27693C" w14:textId="7F228416" w:rsidR="00792322" w:rsidRPr="003015D7" w:rsidRDefault="00000000" w:rsidP="003015D7">
      <w:pPr>
        <w:pStyle w:val="BodyText"/>
        <w:rPr>
          <w:rFonts w:ascii="Arial" w:hAnsi="Arial" w:cs="Arial"/>
          <w:sz w:val="22"/>
          <w:szCs w:val="22"/>
        </w:rPr>
      </w:pPr>
      <w:r w:rsidRPr="003015D7">
        <w:rPr>
          <w:rFonts w:ascii="Arial" w:hAnsi="Arial" w:cs="Arial"/>
          <w:sz w:val="22"/>
          <w:szCs w:val="22"/>
          <w:u w:val="single"/>
        </w:rPr>
        <w:t>Data:</w:t>
      </w:r>
      <w:r w:rsidRPr="003015D7">
        <w:rPr>
          <w:rFonts w:ascii="Arial" w:hAnsi="Arial" w:cs="Arial"/>
          <w:sz w:val="22"/>
          <w:szCs w:val="22"/>
        </w:rPr>
        <w:t xml:space="preserve"> We use county-level estimates of age-adjusted mortality available through CDC </w:t>
      </w:r>
      <w:r w:rsidR="003015D7" w:rsidRPr="003015D7">
        <w:rPr>
          <w:rFonts w:ascii="Arial" w:hAnsi="Arial" w:cs="Arial"/>
          <w:sz w:val="22"/>
          <w:szCs w:val="22"/>
        </w:rPr>
        <w:t>WONDER (</w:t>
      </w:r>
      <w:r w:rsidRPr="003015D7">
        <w:rPr>
          <w:rFonts w:ascii="Arial" w:hAnsi="Arial" w:cs="Arial"/>
          <w:sz w:val="22"/>
          <w:szCs w:val="22"/>
        </w:rPr>
        <w:t xml:space="preserve">“CDC WONDER,” n.d.) joined with IRS county-to-county migration flow </w:t>
      </w:r>
      <w:r w:rsidR="008145C3" w:rsidRPr="003015D7">
        <w:rPr>
          <w:rFonts w:ascii="Arial" w:hAnsi="Arial" w:cs="Arial"/>
          <w:sz w:val="22"/>
          <w:szCs w:val="22"/>
        </w:rPr>
        <w:t>data (</w:t>
      </w:r>
      <w:r w:rsidRPr="003015D7">
        <w:rPr>
          <w:rFonts w:ascii="Arial" w:hAnsi="Arial" w:cs="Arial"/>
          <w:sz w:val="22"/>
          <w:szCs w:val="22"/>
        </w:rPr>
        <w:t>“SOI Tax Stats - Migration Data | Internal Revenue Service,” n.d.).</w:t>
      </w:r>
    </w:p>
    <w:p w14:paraId="4BFCFAC4" w14:textId="5C28D9C9" w:rsidR="00792322" w:rsidRPr="003015D7" w:rsidRDefault="00000000" w:rsidP="003015D7">
      <w:pPr>
        <w:pStyle w:val="BodyText"/>
        <w:rPr>
          <w:rFonts w:ascii="Arial" w:hAnsi="Arial" w:cs="Arial"/>
          <w:sz w:val="22"/>
          <w:szCs w:val="22"/>
        </w:rPr>
      </w:pPr>
      <w:r w:rsidRPr="003015D7">
        <w:rPr>
          <w:rFonts w:ascii="Arial" w:hAnsi="Arial" w:cs="Arial"/>
          <w:sz w:val="22"/>
          <w:szCs w:val="22"/>
          <w:u w:val="single"/>
        </w:rPr>
        <w:t>The outcome of interest is county-level age adjusted mortality representing the years 2011 through 2019.</w:t>
      </w:r>
      <w:r w:rsidRPr="003015D7">
        <w:rPr>
          <w:rFonts w:ascii="Arial" w:hAnsi="Arial" w:cs="Arial"/>
          <w:sz w:val="22"/>
          <w:szCs w:val="22"/>
        </w:rPr>
        <w:t xml:space="preserve"> Mortality rates are commonly used as a gold standard when comparing various dimensions of health across counties since death has a clear and common definition</w:t>
      </w:r>
      <w:r w:rsidR="003015D7">
        <w:rPr>
          <w:rFonts w:ascii="Arial" w:hAnsi="Arial" w:cs="Arial"/>
          <w:sz w:val="22"/>
          <w:szCs w:val="22"/>
        </w:rPr>
        <w:t xml:space="preserve"> </w:t>
      </w:r>
      <w:r w:rsidRPr="003015D7">
        <w:rPr>
          <w:rFonts w:ascii="Arial" w:hAnsi="Arial" w:cs="Arial"/>
          <w:sz w:val="22"/>
          <w:szCs w:val="22"/>
        </w:rPr>
        <w:t>(</w:t>
      </w:r>
      <w:proofErr w:type="spellStart"/>
      <w:r w:rsidR="003015D7" w:rsidRPr="003015D7">
        <w:rPr>
          <w:rFonts w:ascii="Arial" w:hAnsi="Arial" w:cs="Arial"/>
          <w:sz w:val="22"/>
          <w:szCs w:val="22"/>
        </w:rPr>
        <w:t>Miilunpalo</w:t>
      </w:r>
      <w:proofErr w:type="spellEnd"/>
      <w:r w:rsidR="003015D7" w:rsidRPr="003015D7">
        <w:rPr>
          <w:rFonts w:ascii="Arial" w:hAnsi="Arial" w:cs="Arial"/>
          <w:sz w:val="22"/>
          <w:szCs w:val="22"/>
        </w:rPr>
        <w:t xml:space="preserve"> </w:t>
      </w:r>
      <w:r w:rsidRPr="003015D7">
        <w:rPr>
          <w:rFonts w:ascii="Arial" w:hAnsi="Arial" w:cs="Arial"/>
          <w:sz w:val="22"/>
          <w:szCs w:val="22"/>
        </w:rPr>
        <w:t>1997; Olson-Williams 2023; Jylhä 2009). Additionally, mortality has important policy and health equity implications and can be used to assess which individuals or groups are likely to live longest and which individuals or groups may be most in need of additional care. We excluded the year 2020 from our analyses because across the US, the median county-level mortality rate rose from 713.2 per 100,000 in 2019 to 828.5 per 100,000 in 2020. This unprecedented change in mortality is difficult to model since the onset of the pandemic is unrelated to other factors included in our model.</w:t>
      </w:r>
    </w:p>
    <w:p w14:paraId="432D051F" w14:textId="5315D513" w:rsidR="00792322" w:rsidRPr="003015D7" w:rsidRDefault="00000000" w:rsidP="003015D7">
      <w:pPr>
        <w:pStyle w:val="BodyText"/>
        <w:rPr>
          <w:rFonts w:ascii="Arial" w:hAnsi="Arial" w:cs="Arial"/>
          <w:sz w:val="22"/>
          <w:szCs w:val="22"/>
        </w:rPr>
      </w:pPr>
      <w:r w:rsidRPr="003015D7">
        <w:rPr>
          <w:rFonts w:ascii="Arial" w:hAnsi="Arial" w:cs="Arial"/>
          <w:sz w:val="22"/>
          <w:szCs w:val="22"/>
          <w:u w:val="single"/>
        </w:rPr>
        <w:t>The primary explanatory factor of interest is county-level IRS migration flow from 2011 through 2019.</w:t>
      </w:r>
      <w:r w:rsidRPr="003015D7">
        <w:rPr>
          <w:rFonts w:ascii="Arial" w:hAnsi="Arial" w:cs="Arial"/>
          <w:sz w:val="22"/>
          <w:szCs w:val="22"/>
        </w:rPr>
        <w:t xml:space="preserve"> In 2011, the IRS changed their methods to produce migration estimates based on a full year of income tax filings rather than a partial year. Prior to 2011, migration estimates represented between 95 and 98 percent of total annual income tax filings and excluded income taxes filed after September of each calendar </w:t>
      </w:r>
      <w:r w:rsidR="003015D7" w:rsidRPr="003015D7">
        <w:rPr>
          <w:rFonts w:ascii="Arial" w:hAnsi="Arial" w:cs="Arial"/>
          <w:sz w:val="22"/>
          <w:szCs w:val="22"/>
        </w:rPr>
        <w:t>year (</w:t>
      </w:r>
      <w:r w:rsidRPr="003015D7">
        <w:rPr>
          <w:rFonts w:ascii="Arial" w:hAnsi="Arial" w:cs="Arial"/>
          <w:sz w:val="22"/>
          <w:szCs w:val="22"/>
        </w:rPr>
        <w:t xml:space="preserve">Pierce 2015); estimates after 2011 include all annual income tax filings collected for each year. Therefore, we have chosen only to include data after the 2011 change in IRS methodology. We have chosen to use IRS rather than ACS estimates of migration for this aim because ACS does not publish single year estimates of migration (only </w:t>
      </w:r>
      <w:r w:rsidR="003015D7" w:rsidRPr="003015D7">
        <w:rPr>
          <w:rFonts w:ascii="Arial" w:hAnsi="Arial" w:cs="Arial"/>
          <w:sz w:val="22"/>
          <w:szCs w:val="22"/>
        </w:rPr>
        <w:t>five-year</w:t>
      </w:r>
      <w:r w:rsidRPr="003015D7">
        <w:rPr>
          <w:rFonts w:ascii="Arial" w:hAnsi="Arial" w:cs="Arial"/>
          <w:sz w:val="22"/>
          <w:szCs w:val="22"/>
        </w:rPr>
        <w:t xml:space="preserve"> estimates), and in this aim, we have chosen to emphasize the temporal aspects of migration, necessitating the use of IRS single year estimates.</w:t>
      </w:r>
    </w:p>
    <w:p w14:paraId="312A60E3" w14:textId="4367FD68" w:rsidR="00792322" w:rsidRPr="003015D7" w:rsidRDefault="00000000" w:rsidP="003015D7">
      <w:pPr>
        <w:pStyle w:val="BodyText"/>
        <w:rPr>
          <w:rFonts w:ascii="Arial" w:hAnsi="Arial" w:cs="Arial"/>
          <w:sz w:val="22"/>
          <w:szCs w:val="22"/>
        </w:rPr>
      </w:pPr>
      <w:r w:rsidRPr="001F6627">
        <w:rPr>
          <w:rFonts w:ascii="Arial" w:hAnsi="Arial" w:cs="Arial"/>
          <w:sz w:val="22"/>
          <w:szCs w:val="22"/>
          <w:u w:val="single"/>
        </w:rPr>
        <w:lastRenderedPageBreak/>
        <w:t>A secondary explanatory factor of interest is urbanicity.</w:t>
      </w:r>
      <w:r w:rsidRPr="003015D7">
        <w:rPr>
          <w:rFonts w:ascii="Arial" w:hAnsi="Arial" w:cs="Arial"/>
          <w:sz w:val="22"/>
          <w:szCs w:val="22"/>
        </w:rPr>
        <w:t xml:space="preserve"> To measure urbanicity, we assign each county an urbanicity category based on the 2013 National Center for Health Statistics (NCHS) Urban–Rural Classification Scheme for </w:t>
      </w:r>
      <w:r w:rsidR="003015D7" w:rsidRPr="003015D7">
        <w:rPr>
          <w:rFonts w:ascii="Arial" w:hAnsi="Arial" w:cs="Arial"/>
          <w:sz w:val="22"/>
          <w:szCs w:val="22"/>
        </w:rPr>
        <w:t>Counties (</w:t>
      </w:r>
      <w:r w:rsidRPr="003015D7">
        <w:rPr>
          <w:rFonts w:ascii="Arial" w:hAnsi="Arial" w:cs="Arial"/>
          <w:sz w:val="22"/>
          <w:szCs w:val="22"/>
        </w:rPr>
        <w:t xml:space="preserve">Rothwell, </w:t>
      </w:r>
      <w:proofErr w:type="spellStart"/>
      <w:r w:rsidRPr="003015D7">
        <w:rPr>
          <w:rFonts w:ascii="Arial" w:hAnsi="Arial" w:cs="Arial"/>
          <w:sz w:val="22"/>
          <w:szCs w:val="22"/>
        </w:rPr>
        <w:t>Madans</w:t>
      </w:r>
      <w:proofErr w:type="spellEnd"/>
      <w:r w:rsidRPr="003015D7">
        <w:rPr>
          <w:rFonts w:ascii="Arial" w:hAnsi="Arial" w:cs="Arial"/>
          <w:sz w:val="22"/>
          <w:szCs w:val="22"/>
        </w:rPr>
        <w:t xml:space="preserve">, and </w:t>
      </w:r>
      <w:proofErr w:type="spellStart"/>
      <w:r w:rsidRPr="003015D7">
        <w:rPr>
          <w:rFonts w:ascii="Arial" w:hAnsi="Arial" w:cs="Arial"/>
          <w:sz w:val="22"/>
          <w:szCs w:val="22"/>
        </w:rPr>
        <w:t>Arispe</w:t>
      </w:r>
      <w:proofErr w:type="spellEnd"/>
      <w:r w:rsidRPr="003015D7">
        <w:rPr>
          <w:rFonts w:ascii="Arial" w:hAnsi="Arial" w:cs="Arial"/>
          <w:sz w:val="22"/>
          <w:szCs w:val="22"/>
        </w:rPr>
        <w:t xml:space="preserve">, n.d.). These are the same urbanicity codes that were used in Aim 1. </w:t>
      </w:r>
      <w:proofErr w:type="gramStart"/>
      <w:r w:rsidRPr="003015D7">
        <w:rPr>
          <w:rFonts w:ascii="Arial" w:hAnsi="Arial" w:cs="Arial"/>
          <w:sz w:val="22"/>
          <w:szCs w:val="22"/>
        </w:rPr>
        <w:t>In an effort to</w:t>
      </w:r>
      <w:proofErr w:type="gramEnd"/>
      <w:r w:rsidRPr="003015D7">
        <w:rPr>
          <w:rFonts w:ascii="Arial" w:hAnsi="Arial" w:cs="Arial"/>
          <w:sz w:val="22"/>
          <w:szCs w:val="22"/>
        </w:rPr>
        <w:t xml:space="preserve"> improve statistical precision, we grouped these codes into rural and urban. We define rural by grouping the NCHS definitions of micropolitan and noncore such that there are 1612 counties in our rural dataset. We define urban by grouping the NCH</w:t>
      </w:r>
      <w:r w:rsidR="008359DD">
        <w:rPr>
          <w:rFonts w:ascii="Arial" w:hAnsi="Arial" w:cs="Arial"/>
          <w:sz w:val="22"/>
          <w:szCs w:val="22"/>
        </w:rPr>
        <w:t>S</w:t>
      </w:r>
      <w:r w:rsidRPr="003015D7">
        <w:rPr>
          <w:rFonts w:ascii="Arial" w:hAnsi="Arial" w:cs="Arial"/>
          <w:sz w:val="22"/>
          <w:szCs w:val="22"/>
        </w:rPr>
        <w:t xml:space="preserve"> definitions of large central metro, large fringe metro, medium metro, and small metro such that there are 1155 counties in our urban dataset.</w:t>
      </w:r>
    </w:p>
    <w:p w14:paraId="70334ACB" w14:textId="0D598119" w:rsidR="00792322" w:rsidRPr="003015D7" w:rsidRDefault="00000000" w:rsidP="003015D7">
      <w:pPr>
        <w:pStyle w:val="BodyText"/>
        <w:rPr>
          <w:rFonts w:ascii="Arial" w:hAnsi="Arial" w:cs="Arial"/>
          <w:sz w:val="22"/>
          <w:szCs w:val="22"/>
        </w:rPr>
      </w:pPr>
      <w:r w:rsidRPr="003015D7">
        <w:rPr>
          <w:rFonts w:ascii="Arial" w:hAnsi="Arial" w:cs="Arial"/>
          <w:sz w:val="22"/>
          <w:szCs w:val="22"/>
        </w:rPr>
        <w:t>Certain counties were excluded from analysis. To simplify things, we have chosen to focus on the effects of migration to a destination rather than away from an origin. Therefore, we complete all analyses from the perspective of a “destination” county. This means that counties that are not destinations (</w:t>
      </w:r>
      <w:proofErr w:type="gramStart"/>
      <w:r w:rsidRPr="003015D7">
        <w:rPr>
          <w:rFonts w:ascii="Arial" w:hAnsi="Arial" w:cs="Arial"/>
          <w:sz w:val="22"/>
          <w:szCs w:val="22"/>
        </w:rPr>
        <w:t>ie</w:t>
      </w:r>
      <w:proofErr w:type="gramEnd"/>
      <w:r w:rsidRPr="003015D7">
        <w:rPr>
          <w:rFonts w:ascii="Arial" w:hAnsi="Arial" w:cs="Arial"/>
          <w:sz w:val="22"/>
          <w:szCs w:val="22"/>
        </w:rPr>
        <w:t xml:space="preserve"> counties that have no origin counties) are excluded from our analyses. Additionally, since we are particularly interested in temporal trends in mortality, we exclude counties for which there are not at least four years of mortality data available. Unfortunately, this means that our analyses </w:t>
      </w:r>
      <w:r w:rsidR="003015D7" w:rsidRPr="003015D7">
        <w:rPr>
          <w:rFonts w:ascii="Arial" w:hAnsi="Arial" w:cs="Arial"/>
          <w:sz w:val="22"/>
          <w:szCs w:val="22"/>
        </w:rPr>
        <w:t>exclude</w:t>
      </w:r>
      <w:r w:rsidRPr="003015D7">
        <w:rPr>
          <w:rFonts w:ascii="Arial" w:hAnsi="Arial" w:cs="Arial"/>
          <w:sz w:val="22"/>
          <w:szCs w:val="22"/>
        </w:rPr>
        <w:t xml:space="preserve"> many rural and low population counties. There are 2767 total US counties included in our analyses. In </w:t>
      </w:r>
      <w:r w:rsidRPr="003015D7">
        <w:rPr>
          <w:rFonts w:ascii="Arial" w:hAnsi="Arial" w:cs="Arial"/>
          <w:b/>
          <w:bCs/>
          <w:sz w:val="22"/>
          <w:szCs w:val="22"/>
        </w:rPr>
        <w:t>Figure 1</w:t>
      </w:r>
      <w:r w:rsidRPr="003015D7">
        <w:rPr>
          <w:rFonts w:ascii="Arial" w:hAnsi="Arial" w:cs="Arial"/>
          <w:sz w:val="22"/>
          <w:szCs w:val="22"/>
        </w:rPr>
        <w:t xml:space="preserve"> below, we see the log-transformed population distributions of counties that are included and excluded from our analyses.</w:t>
      </w:r>
    </w:p>
    <w:p w14:paraId="7AC94986" w14:textId="77777777" w:rsidR="00792322" w:rsidRPr="003015D7" w:rsidRDefault="00000000" w:rsidP="003015D7">
      <w:pPr>
        <w:pStyle w:val="FirstParagraph"/>
        <w:rPr>
          <w:rFonts w:ascii="Arial" w:hAnsi="Arial" w:cs="Arial"/>
          <w:sz w:val="22"/>
          <w:szCs w:val="22"/>
        </w:rPr>
      </w:pPr>
      <w:r w:rsidRPr="003015D7">
        <w:rPr>
          <w:rFonts w:ascii="Arial" w:hAnsi="Arial" w:cs="Arial"/>
          <w:noProof/>
          <w:sz w:val="22"/>
          <w:szCs w:val="22"/>
        </w:rPr>
        <w:drawing>
          <wp:inline distT="0" distB="0" distL="0" distR="0" wp14:anchorId="11014A7C" wp14:editId="79932A98">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prelim-B_files/figure-docx/figure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7169C95"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u w:val="single"/>
        </w:rPr>
        <w:t>Approach</w:t>
      </w:r>
      <w:r w:rsidRPr="003015D7">
        <w:rPr>
          <w:rFonts w:ascii="Arial" w:hAnsi="Arial" w:cs="Arial"/>
          <w:sz w:val="22"/>
          <w:szCs w:val="22"/>
        </w:rPr>
        <w:t>: In this aim, we extend temporal autoregressive models to estimate mortality rates over time while accounting for county-to-county migration and urbanicity. These models explain county-level age-adjusted mortality using a combination of lagged county-level mortality and migration.</w:t>
      </w:r>
    </w:p>
    <w:p w14:paraId="5981C031" w14:textId="6AC4725A"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Considering the exploratory nature of this aim, we choose to begin with the simpler </w:t>
      </w:r>
      <w:r w:rsidRPr="003015D7">
        <w:rPr>
          <w:rFonts w:ascii="Arial" w:hAnsi="Arial" w:cs="Arial"/>
          <w:i/>
          <w:iCs/>
          <w:sz w:val="22"/>
          <w:szCs w:val="22"/>
        </w:rPr>
        <w:t>temporal</w:t>
      </w:r>
      <w:r w:rsidRPr="003015D7">
        <w:rPr>
          <w:rFonts w:ascii="Arial" w:hAnsi="Arial" w:cs="Arial"/>
          <w:sz w:val="22"/>
          <w:szCs w:val="22"/>
        </w:rPr>
        <w:t xml:space="preserve"> autoregressive models rather than delving into the complexities of </w:t>
      </w:r>
      <w:r w:rsidRPr="003015D7">
        <w:rPr>
          <w:rFonts w:ascii="Arial" w:hAnsi="Arial" w:cs="Arial"/>
          <w:i/>
          <w:iCs/>
          <w:sz w:val="22"/>
          <w:szCs w:val="22"/>
        </w:rPr>
        <w:t>spatio</w:t>
      </w:r>
      <w:r w:rsidRPr="003015D7">
        <w:rPr>
          <w:rFonts w:ascii="Arial" w:hAnsi="Arial" w:cs="Arial"/>
          <w:sz w:val="22"/>
          <w:szCs w:val="22"/>
        </w:rPr>
        <w:t xml:space="preserve">-temporal autoregressive models. The temporal element is necessary to capture migration over time, though spatial autoregressive models are more common for estimating mortality rates. For instance, in a 2011 paper, county-level mortality was modeled using spatial autoregressive models in which each county’s relative position to other counties as well as its historical mortality rates were considered (T.-C. Yang, Jensen, and Haran 2011). Another similar paper used an autoregressive model with county-level estimates of mortality that were standardized for measures of income and employment, population density and rurality, and race/ethnicity (Sparks and Sparks 2010). Similarly, early in the COVID-19 pandemic, researchers used a spatial autoregressive model to assess the relationships between county-level COVID-19 mortality rates and county-level sociodemographic characteristics (Fielding-Miller, Sundaram, and Brouwer 2020). This method has also been extended to age-group and country-level data to explain cohort effects within </w:t>
      </w:r>
      <w:r w:rsidR="003015D7" w:rsidRPr="003015D7">
        <w:rPr>
          <w:rFonts w:ascii="Arial" w:hAnsi="Arial" w:cs="Arial"/>
          <w:sz w:val="22"/>
          <w:szCs w:val="22"/>
        </w:rPr>
        <w:t>countries (</w:t>
      </w:r>
      <w:r w:rsidRPr="003015D7">
        <w:rPr>
          <w:rFonts w:ascii="Arial" w:hAnsi="Arial" w:cs="Arial"/>
          <w:sz w:val="22"/>
          <w:szCs w:val="22"/>
        </w:rPr>
        <w:t xml:space="preserve">H. Li and Lu 2017). Finally, a 2021 paper adapted this method </w:t>
      </w:r>
      <w:r w:rsidRPr="003015D7">
        <w:rPr>
          <w:rFonts w:ascii="Arial" w:hAnsi="Arial" w:cs="Arial"/>
          <w:sz w:val="22"/>
          <w:szCs w:val="22"/>
        </w:rPr>
        <w:lastRenderedPageBreak/>
        <w:t xml:space="preserve">using age-group data to estimate country-level life expectancy more efficiently, more accurately, and with greater precision for younger </w:t>
      </w:r>
      <w:r w:rsidR="003015D7" w:rsidRPr="003015D7">
        <w:rPr>
          <w:rFonts w:ascii="Arial" w:hAnsi="Arial" w:cs="Arial"/>
          <w:sz w:val="22"/>
          <w:szCs w:val="22"/>
        </w:rPr>
        <w:t>populations (</w:t>
      </w:r>
      <w:r w:rsidRPr="003015D7">
        <w:rPr>
          <w:rFonts w:ascii="Arial" w:hAnsi="Arial" w:cs="Arial"/>
          <w:sz w:val="22"/>
          <w:szCs w:val="22"/>
        </w:rPr>
        <w:t>Shi 2021).</w:t>
      </w:r>
    </w:p>
    <w:p w14:paraId="61B6FD41"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A baseline model will be used in each hypothesis. The baseline model is </w:t>
      </w:r>
      <w:proofErr w:type="gramStart"/>
      <w:r w:rsidRPr="003015D7">
        <w:rPr>
          <w:rFonts w:ascii="Arial" w:hAnsi="Arial" w:cs="Arial"/>
          <w:sz w:val="22"/>
          <w:szCs w:val="22"/>
        </w:rPr>
        <w:t>similar to</w:t>
      </w:r>
      <w:proofErr w:type="gramEnd"/>
      <w:r w:rsidRPr="003015D7">
        <w:rPr>
          <w:rFonts w:ascii="Arial" w:hAnsi="Arial" w:cs="Arial"/>
          <w:sz w:val="22"/>
          <w:szCs w:val="22"/>
        </w:rPr>
        <w:t xml:space="preserve"> simple autoregressive county-level mortality models used in the past (L. Yang et al. 2012). Our baseline model describes yearly mortality rates as a function of time (treated categorically) and mortality rates lagged by one year. Random intercepts and slopes in time are included to account for within-county corrleation. We included random intercepts for each destination county to account for variation between counties, as recommended by Greenland and Morgenstern’s assessment of best practices for ecological studies (GREENLAND and MORGENSTERN 1989). Splines are used for mortality rates. For a given urbanicity, the baseline model (without splines) is shown below:</w:t>
      </w:r>
    </w:p>
    <w:p w14:paraId="441E7E34" w14:textId="77777777" w:rsidR="00792322" w:rsidRPr="003015D7" w:rsidRDefault="00000000" w:rsidP="003015D7">
      <w:pPr>
        <w:pStyle w:val="BodyText"/>
        <w:rPr>
          <w:rFonts w:ascii="Arial" w:hAnsi="Arial" w:cs="Arial"/>
          <w:sz w:val="22"/>
          <w:szCs w:val="22"/>
        </w:rPr>
      </w:pPr>
      <m:oMathPara>
        <m:oMathParaPr>
          <m:jc m:val="center"/>
        </m:oMathParaP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it</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rPr>
                <m:t>0</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rPr>
                <m:t>1</m:t>
              </m:r>
            </m:sub>
          </m:sSub>
          <m:sSub>
            <m:sSubPr>
              <m:ctrlPr>
                <w:rPr>
                  <w:rFonts w:ascii="Cambria Math" w:hAnsi="Cambria Math" w:cs="Arial"/>
                  <w:sz w:val="22"/>
                  <w:szCs w:val="22"/>
                </w:rPr>
              </m:ctrlPr>
            </m:sSubPr>
            <m:e>
              <m:r>
                <w:rPr>
                  <w:rFonts w:ascii="Cambria Math" w:hAnsi="Cambria Math" w:cs="Arial"/>
                  <w:sz w:val="22"/>
                  <w:szCs w:val="22"/>
                </w:rPr>
                <m:t>t</m:t>
              </m:r>
            </m:e>
            <m:sub>
              <m:r>
                <w:rPr>
                  <w:rFonts w:ascii="Cambria Math" w:hAnsi="Cambria Math" w:cs="Arial"/>
                  <w:sz w:val="22"/>
                  <w:szCs w:val="22"/>
                </w:rPr>
                <m:t>13i</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rPr>
                <m:t>2</m:t>
              </m:r>
            </m:sub>
          </m:sSub>
          <m:sSub>
            <m:sSubPr>
              <m:ctrlPr>
                <w:rPr>
                  <w:rFonts w:ascii="Cambria Math" w:hAnsi="Cambria Math" w:cs="Arial"/>
                  <w:sz w:val="22"/>
                  <w:szCs w:val="22"/>
                </w:rPr>
              </m:ctrlPr>
            </m:sSubPr>
            <m:e>
              <m:r>
                <w:rPr>
                  <w:rFonts w:ascii="Cambria Math" w:hAnsi="Cambria Math" w:cs="Arial"/>
                  <w:sz w:val="22"/>
                  <w:szCs w:val="22"/>
                </w:rPr>
                <m:t>t</m:t>
              </m:r>
            </m:e>
            <m:sub>
              <m:r>
                <w:rPr>
                  <w:rFonts w:ascii="Cambria Math" w:hAnsi="Cambria Math" w:cs="Arial"/>
                  <w:sz w:val="22"/>
                  <w:szCs w:val="22"/>
                </w:rPr>
                <m:t>14i</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rPr>
                <m:t>3</m:t>
              </m:r>
            </m:sub>
          </m:sSub>
          <m:sSub>
            <m:sSubPr>
              <m:ctrlPr>
                <w:rPr>
                  <w:rFonts w:ascii="Cambria Math" w:hAnsi="Cambria Math" w:cs="Arial"/>
                  <w:sz w:val="22"/>
                  <w:szCs w:val="22"/>
                </w:rPr>
              </m:ctrlPr>
            </m:sSubPr>
            <m:e>
              <m:r>
                <w:rPr>
                  <w:rFonts w:ascii="Cambria Math" w:hAnsi="Cambria Math" w:cs="Arial"/>
                  <w:sz w:val="22"/>
                  <w:szCs w:val="22"/>
                </w:rPr>
                <m:t>t</m:t>
              </m:r>
            </m:e>
            <m:sub>
              <m:r>
                <w:rPr>
                  <w:rFonts w:ascii="Cambria Math" w:hAnsi="Cambria Math" w:cs="Arial"/>
                  <w:sz w:val="22"/>
                  <w:szCs w:val="22"/>
                </w:rPr>
                <m:t>15i</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rPr>
                <m:t>4</m:t>
              </m:r>
            </m:sub>
          </m:sSub>
          <m:sSub>
            <m:sSubPr>
              <m:ctrlPr>
                <w:rPr>
                  <w:rFonts w:ascii="Cambria Math" w:hAnsi="Cambria Math" w:cs="Arial"/>
                  <w:sz w:val="22"/>
                  <w:szCs w:val="22"/>
                </w:rPr>
              </m:ctrlPr>
            </m:sSubPr>
            <m:e>
              <m:r>
                <w:rPr>
                  <w:rFonts w:ascii="Cambria Math" w:hAnsi="Cambria Math" w:cs="Arial"/>
                  <w:sz w:val="22"/>
                  <w:szCs w:val="22"/>
                </w:rPr>
                <m:t>t</m:t>
              </m:r>
            </m:e>
            <m:sub>
              <m:r>
                <w:rPr>
                  <w:rFonts w:ascii="Cambria Math" w:hAnsi="Cambria Math" w:cs="Arial"/>
                  <w:sz w:val="22"/>
                  <w:szCs w:val="22"/>
                </w:rPr>
                <m:t>16i</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rPr>
                <m:t>5</m:t>
              </m:r>
            </m:sub>
          </m:sSub>
          <m:sSub>
            <m:sSubPr>
              <m:ctrlPr>
                <w:rPr>
                  <w:rFonts w:ascii="Cambria Math" w:hAnsi="Cambria Math" w:cs="Arial"/>
                  <w:sz w:val="22"/>
                  <w:szCs w:val="22"/>
                </w:rPr>
              </m:ctrlPr>
            </m:sSubPr>
            <m:e>
              <m:r>
                <w:rPr>
                  <w:rFonts w:ascii="Cambria Math" w:hAnsi="Cambria Math" w:cs="Arial"/>
                  <w:sz w:val="22"/>
                  <w:szCs w:val="22"/>
                </w:rPr>
                <m:t>t</m:t>
              </m:r>
            </m:e>
            <m:sub>
              <m:r>
                <w:rPr>
                  <w:rFonts w:ascii="Cambria Math" w:hAnsi="Cambria Math" w:cs="Arial"/>
                  <w:sz w:val="22"/>
                  <w:szCs w:val="22"/>
                </w:rPr>
                <m:t>17i</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rPr>
                <m:t>6</m:t>
              </m:r>
            </m:sub>
          </m:sSub>
          <m:sSub>
            <m:sSubPr>
              <m:ctrlPr>
                <w:rPr>
                  <w:rFonts w:ascii="Cambria Math" w:hAnsi="Cambria Math" w:cs="Arial"/>
                  <w:sz w:val="22"/>
                  <w:szCs w:val="22"/>
                </w:rPr>
              </m:ctrlPr>
            </m:sSubPr>
            <m:e>
              <m:r>
                <w:rPr>
                  <w:rFonts w:ascii="Cambria Math" w:hAnsi="Cambria Math" w:cs="Arial"/>
                  <w:sz w:val="22"/>
                  <w:szCs w:val="22"/>
                </w:rPr>
                <m:t>t</m:t>
              </m:r>
            </m:e>
            <m:sub>
              <m:r>
                <w:rPr>
                  <w:rFonts w:ascii="Cambria Math" w:hAnsi="Cambria Math" w:cs="Arial"/>
                  <w:sz w:val="22"/>
                  <w:szCs w:val="22"/>
                </w:rPr>
                <m:t>18i</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rPr>
                <m:t>7</m:t>
              </m:r>
            </m:sub>
          </m:sSub>
          <m:sSub>
            <m:sSubPr>
              <m:ctrlPr>
                <w:rPr>
                  <w:rFonts w:ascii="Cambria Math" w:hAnsi="Cambria Math" w:cs="Arial"/>
                  <w:sz w:val="22"/>
                  <w:szCs w:val="22"/>
                </w:rPr>
              </m:ctrlPr>
            </m:sSubPr>
            <m:e>
              <m:r>
                <w:rPr>
                  <w:rFonts w:ascii="Cambria Math" w:hAnsi="Cambria Math" w:cs="Arial"/>
                  <w:sz w:val="22"/>
                  <w:szCs w:val="22"/>
                </w:rPr>
                <m:t>t</m:t>
              </m:r>
            </m:e>
            <m:sub>
              <m:r>
                <w:rPr>
                  <w:rFonts w:ascii="Cambria Math" w:hAnsi="Cambria Math" w:cs="Arial"/>
                  <w:sz w:val="22"/>
                  <w:szCs w:val="22"/>
                </w:rPr>
                <m:t>19i</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rPr>
                <m:t>8</m:t>
              </m:r>
            </m:sub>
          </m:sSub>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r>
                <m:rPr>
                  <m:sty m:val="p"/>
                </m:rPr>
                <w:rPr>
                  <w:rFonts w:ascii="Cambria Math" w:hAnsi="Cambria Math" w:cs="Arial"/>
                  <w:sz w:val="22"/>
                  <w:szCs w:val="22"/>
                </w:rPr>
                <m:t>,</m:t>
              </m:r>
              <m:r>
                <w:rPr>
                  <w:rFonts w:ascii="Cambria Math" w:hAnsi="Cambria Math" w:cs="Arial"/>
                  <w:sz w:val="22"/>
                  <w:szCs w:val="22"/>
                </w:rPr>
                <m:t>i</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υ</m:t>
              </m:r>
            </m:e>
            <m:sub>
              <m:r>
                <w:rPr>
                  <w:rFonts w:ascii="Cambria Math" w:hAnsi="Cambria Math" w:cs="Arial"/>
                  <w:sz w:val="22"/>
                  <w:szCs w:val="22"/>
                </w:rPr>
                <m:t>i</m:t>
              </m:r>
            </m:sub>
          </m:sSub>
          <m:r>
            <w:rPr>
              <w:rFonts w:ascii="Cambria Math" w:hAnsi="Cambria Math" w:cs="Arial"/>
              <w:sz w:val="22"/>
              <w:szCs w:val="22"/>
            </w:rPr>
            <m:t>t</m:t>
          </m:r>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μ</m:t>
              </m:r>
            </m:e>
            <m:sub>
              <m:r>
                <w:rPr>
                  <w:rFonts w:ascii="Cambria Math" w:hAnsi="Cambria Math" w:cs="Arial"/>
                  <w:sz w:val="22"/>
                  <w:szCs w:val="22"/>
                </w:rPr>
                <m:t>i</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ϵ</m:t>
              </m:r>
            </m:e>
            <m:sub>
              <m:r>
                <w:rPr>
                  <w:rFonts w:ascii="Cambria Math" w:hAnsi="Cambria Math" w:cs="Arial"/>
                  <w:sz w:val="22"/>
                  <w:szCs w:val="22"/>
                </w:rPr>
                <m:t>it</m:t>
              </m:r>
            </m:sub>
          </m:sSub>
        </m:oMath>
      </m:oMathPara>
    </w:p>
    <w:p w14:paraId="7C8590F2" w14:textId="77777777" w:rsidR="003015D7" w:rsidRDefault="003015D7" w:rsidP="003015D7">
      <w:pPr>
        <w:pStyle w:val="FirstParagraph"/>
        <w:rPr>
          <w:rFonts w:ascii="Arial" w:hAnsi="Arial" w:cs="Arial"/>
          <w:sz w:val="22"/>
          <w:szCs w:val="22"/>
        </w:rPr>
      </w:pPr>
      <w:r>
        <w:rPr>
          <w:rFonts w:ascii="Arial" w:hAnsi="Arial" w:cs="Arial"/>
          <w:sz w:val="22"/>
          <w:szCs w:val="22"/>
        </w:rPr>
        <w:t>W</w:t>
      </w:r>
      <w:r w:rsidRPr="003015D7">
        <w:rPr>
          <w:rFonts w:ascii="Arial" w:hAnsi="Arial" w:cs="Arial"/>
          <w:sz w:val="22"/>
          <w:szCs w:val="22"/>
        </w:rPr>
        <w:t>here</w:t>
      </w:r>
      <w:r>
        <w:rPr>
          <w:rFonts w:ascii="Arial" w:hAnsi="Arial" w:cs="Arial"/>
          <w:sz w:val="22"/>
          <w:szCs w:val="22"/>
        </w:rPr>
        <w:t>:</w:t>
      </w:r>
    </w:p>
    <w:p w14:paraId="60DC77B1" w14:textId="273CA842" w:rsidR="00792322" w:rsidRPr="003015D7" w:rsidRDefault="00000000" w:rsidP="003015D7">
      <w:pPr>
        <w:pStyle w:val="FirstParagraph"/>
        <w:rPr>
          <w:rFonts w:ascii="Arial" w:hAnsi="Arial" w:cs="Arial"/>
          <w:sz w:val="22"/>
          <w:szCs w:val="22"/>
        </w:rPr>
      </w:pP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it</m:t>
            </m:r>
          </m:sub>
        </m:sSub>
      </m:oMath>
      <w:r w:rsidRPr="003015D7">
        <w:rPr>
          <w:rFonts w:ascii="Arial" w:hAnsi="Arial" w:cs="Arial"/>
          <w:sz w:val="22"/>
          <w:szCs w:val="22"/>
        </w:rPr>
        <w:t xml:space="preserve"> represents the predicted age-adjusted mortality rate of each destination county </w:t>
      </w:r>
      <m:oMath>
        <m:r>
          <w:rPr>
            <w:rFonts w:ascii="Cambria Math" w:hAnsi="Cambria Math" w:cs="Arial"/>
            <w:sz w:val="22"/>
            <w:szCs w:val="22"/>
          </w:rPr>
          <m:t>i</m:t>
        </m:r>
      </m:oMath>
      <w:r w:rsidRPr="003015D7">
        <w:rPr>
          <w:rFonts w:ascii="Arial" w:hAnsi="Arial" w:cs="Arial"/>
          <w:sz w:val="22"/>
          <w:szCs w:val="22"/>
        </w:rPr>
        <w:t xml:space="preserve"> at year </w:t>
      </w:r>
      <m:oMath>
        <m:r>
          <w:rPr>
            <w:rFonts w:ascii="Cambria Math" w:hAnsi="Cambria Math" w:cs="Arial"/>
            <w:sz w:val="22"/>
            <w:szCs w:val="22"/>
          </w:rPr>
          <m:t>t</m:t>
        </m:r>
      </m:oMath>
      <w:r w:rsidRPr="003015D7">
        <w:rPr>
          <w:rFonts w:ascii="Arial" w:hAnsi="Arial" w:cs="Arial"/>
          <w:sz w:val="22"/>
          <w:szCs w:val="22"/>
        </w:rPr>
        <w:t>.</w:t>
      </w:r>
      <w:r w:rsidRPr="003015D7">
        <w:rPr>
          <w:rFonts w:ascii="Arial" w:hAnsi="Arial" w:cs="Arial"/>
          <w:sz w:val="22"/>
          <w:szCs w:val="22"/>
        </w:rPr>
        <w:br/>
      </w:r>
      <m:oMath>
        <m:sSub>
          <m:sSubPr>
            <m:ctrlPr>
              <w:rPr>
                <w:rFonts w:ascii="Cambria Math" w:hAnsi="Cambria Math" w:cs="Arial"/>
                <w:sz w:val="22"/>
                <w:szCs w:val="22"/>
              </w:rPr>
            </m:ctrlPr>
          </m:sSubPr>
          <m:e>
            <m:r>
              <w:rPr>
                <w:rFonts w:ascii="Cambria Math" w:hAnsi="Cambria Math" w:cs="Arial"/>
                <w:sz w:val="22"/>
                <w:szCs w:val="22"/>
              </w:rPr>
              <m:t>t</m:t>
            </m:r>
          </m:e>
          <m:sub>
            <m:r>
              <w:rPr>
                <w:rFonts w:ascii="Cambria Math" w:hAnsi="Cambria Math" w:cs="Arial"/>
                <w:sz w:val="22"/>
                <w:szCs w:val="22"/>
              </w:rPr>
              <m:t>n</m:t>
            </m:r>
            <m:r>
              <w:rPr>
                <w:rFonts w:ascii="Cambria Math" w:hAnsi="Cambria Math" w:cs="Arial"/>
                <w:sz w:val="22"/>
                <w:szCs w:val="22"/>
              </w:rPr>
              <m:t>i</m:t>
            </m:r>
          </m:sub>
        </m:sSub>
      </m:oMath>
      <w:r w:rsidRPr="003015D7">
        <w:rPr>
          <w:rFonts w:ascii="Arial" w:hAnsi="Arial" w:cs="Arial"/>
          <w:sz w:val="22"/>
          <w:szCs w:val="22"/>
        </w:rPr>
        <w:t xml:space="preserve"> are binary factor variables for each year of available data.</w:t>
      </w:r>
      <w:r w:rsidRPr="003015D7">
        <w:rPr>
          <w:rFonts w:ascii="Arial" w:hAnsi="Arial" w:cs="Arial"/>
          <w:sz w:val="22"/>
          <w:szCs w:val="22"/>
        </w:rPr>
        <w:br/>
      </w:r>
      <m:oMath>
        <m:r>
          <w:rPr>
            <w:rFonts w:ascii="Cambria Math" w:hAnsi="Cambria Math" w:cs="Arial"/>
            <w:sz w:val="22"/>
            <w:szCs w:val="22"/>
          </w:rPr>
          <m:t>t</m:t>
        </m:r>
      </m:oMath>
      <w:r w:rsidRPr="003015D7">
        <w:rPr>
          <w:rFonts w:ascii="Arial" w:hAnsi="Arial" w:cs="Arial"/>
          <w:sz w:val="22"/>
          <w:szCs w:val="22"/>
        </w:rPr>
        <w:t xml:space="preserve"> is time, in years, treated continuously.</w:t>
      </w:r>
      <w:r w:rsidRPr="003015D7">
        <w:rPr>
          <w:rFonts w:ascii="Arial" w:hAnsi="Arial" w:cs="Arial"/>
          <w:sz w:val="22"/>
          <w:szCs w:val="22"/>
        </w:rPr>
        <w:br/>
      </w:r>
      <m:oMath>
        <m:sSub>
          <m:sSubPr>
            <m:ctrlPr>
              <w:rPr>
                <w:rFonts w:ascii="Cambria Math" w:hAnsi="Cambria Math" w:cs="Arial"/>
                <w:sz w:val="22"/>
                <w:szCs w:val="22"/>
              </w:rPr>
            </m:ctrlPr>
          </m:sSubPr>
          <m:e>
            <m:r>
              <w:rPr>
                <w:rFonts w:ascii="Cambria Math" w:hAnsi="Cambria Math" w:cs="Arial"/>
                <w:sz w:val="22"/>
                <w:szCs w:val="22"/>
              </w:rPr>
              <m:t>β</m:t>
            </m:r>
          </m:e>
          <m:sub>
            <m:r>
              <w:rPr>
                <w:rFonts w:ascii="Cambria Math" w:hAnsi="Cambria Math" w:cs="Arial"/>
                <w:sz w:val="22"/>
                <w:szCs w:val="22"/>
              </w:rPr>
              <m:t>k</m:t>
            </m:r>
          </m:sub>
        </m:sSub>
      </m:oMath>
      <w:r w:rsidRPr="003015D7">
        <w:rPr>
          <w:rFonts w:ascii="Arial" w:hAnsi="Arial" w:cs="Arial"/>
          <w:sz w:val="22"/>
          <w:szCs w:val="22"/>
        </w:rPr>
        <w:t xml:space="preserve"> are unknown regression coefficients.</w:t>
      </w:r>
      <w:r w:rsidRPr="003015D7">
        <w:rPr>
          <w:rFonts w:ascii="Arial" w:hAnsi="Arial" w:cs="Arial"/>
          <w:sz w:val="22"/>
          <w:szCs w:val="22"/>
        </w:rPr>
        <w:br/>
      </w: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r>
              <m:rPr>
                <m:sty m:val="p"/>
              </m:rPr>
              <w:rPr>
                <w:rFonts w:ascii="Cambria Math" w:hAnsi="Cambria Math" w:cs="Arial"/>
                <w:sz w:val="22"/>
                <w:szCs w:val="22"/>
              </w:rPr>
              <m:t>,</m:t>
            </m:r>
            <m:r>
              <w:rPr>
                <w:rFonts w:ascii="Cambria Math" w:hAnsi="Cambria Math" w:cs="Arial"/>
                <w:sz w:val="22"/>
                <w:szCs w:val="22"/>
              </w:rPr>
              <m:t>i</m:t>
            </m:r>
          </m:sub>
        </m:sSub>
      </m:oMath>
      <w:r w:rsidRPr="003015D7">
        <w:rPr>
          <w:rFonts w:ascii="Arial" w:hAnsi="Arial" w:cs="Arial"/>
          <w:sz w:val="22"/>
          <w:szCs w:val="22"/>
        </w:rPr>
        <w:t xml:space="preserve"> is the lagged age-adjusted mortality rate for each destination county </w:t>
      </w:r>
      <m:oMath>
        <m:r>
          <w:rPr>
            <w:rFonts w:ascii="Cambria Math" w:hAnsi="Cambria Math" w:cs="Arial"/>
            <w:sz w:val="22"/>
            <w:szCs w:val="22"/>
          </w:rPr>
          <m:t>i</m:t>
        </m:r>
      </m:oMath>
      <w:r w:rsidRPr="003015D7">
        <w:rPr>
          <w:rFonts w:ascii="Arial" w:hAnsi="Arial" w:cs="Arial"/>
          <w:sz w:val="22"/>
          <w:szCs w:val="22"/>
        </w:rPr>
        <w:t xml:space="preserve"> at year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oMath>
      <w:r w:rsidRPr="003015D7">
        <w:rPr>
          <w:rFonts w:ascii="Arial" w:hAnsi="Arial" w:cs="Arial"/>
          <w:sz w:val="22"/>
          <w:szCs w:val="22"/>
        </w:rPr>
        <w:t>.</w:t>
      </w:r>
      <w:r w:rsidRPr="003015D7">
        <w:rPr>
          <w:rFonts w:ascii="Arial" w:hAnsi="Arial" w:cs="Arial"/>
          <w:sz w:val="22"/>
          <w:szCs w:val="22"/>
        </w:rPr>
        <w:br/>
      </w:r>
      <m:oMath>
        <m:sSub>
          <m:sSubPr>
            <m:ctrlPr>
              <w:rPr>
                <w:rFonts w:ascii="Cambria Math" w:hAnsi="Cambria Math" w:cs="Arial"/>
                <w:sz w:val="22"/>
                <w:szCs w:val="22"/>
              </w:rPr>
            </m:ctrlPr>
          </m:sSubPr>
          <m:e>
            <m:r>
              <w:rPr>
                <w:rFonts w:ascii="Cambria Math" w:hAnsi="Cambria Math" w:cs="Arial"/>
                <w:sz w:val="22"/>
                <w:szCs w:val="22"/>
              </w:rPr>
              <m:t>μ</m:t>
            </m:r>
          </m:e>
          <m:sub>
            <m:r>
              <w:rPr>
                <w:rFonts w:ascii="Cambria Math" w:hAnsi="Cambria Math" w:cs="Arial"/>
                <w:sz w:val="22"/>
                <w:szCs w:val="22"/>
              </w:rPr>
              <m:t>i</m:t>
            </m:r>
          </m:sub>
        </m:sSub>
      </m:oMath>
      <w:r w:rsidRPr="003015D7">
        <w:rPr>
          <w:rFonts w:ascii="Arial" w:hAnsi="Arial" w:cs="Arial"/>
          <w:sz w:val="22"/>
          <w:szCs w:val="22"/>
        </w:rPr>
        <w:t xml:space="preserve"> is a random intercept for each destination county </w:t>
      </w:r>
      <m:oMath>
        <m:r>
          <w:rPr>
            <w:rFonts w:ascii="Cambria Math" w:hAnsi="Cambria Math" w:cs="Arial"/>
            <w:sz w:val="22"/>
            <w:szCs w:val="22"/>
          </w:rPr>
          <m:t>i</m:t>
        </m:r>
      </m:oMath>
      <w:r w:rsidRPr="003015D7">
        <w:rPr>
          <w:rFonts w:ascii="Arial" w:hAnsi="Arial" w:cs="Arial"/>
          <w:sz w:val="22"/>
          <w:szCs w:val="22"/>
        </w:rPr>
        <w:t>.</w:t>
      </w:r>
      <w:r w:rsidRPr="003015D7">
        <w:rPr>
          <w:rFonts w:ascii="Arial" w:hAnsi="Arial" w:cs="Arial"/>
          <w:sz w:val="22"/>
          <w:szCs w:val="22"/>
        </w:rPr>
        <w:br/>
      </w:r>
      <m:oMath>
        <m:sSub>
          <m:sSubPr>
            <m:ctrlPr>
              <w:rPr>
                <w:rFonts w:ascii="Cambria Math" w:hAnsi="Cambria Math" w:cs="Arial"/>
                <w:sz w:val="22"/>
                <w:szCs w:val="22"/>
              </w:rPr>
            </m:ctrlPr>
          </m:sSubPr>
          <m:e>
            <m:r>
              <w:rPr>
                <w:rFonts w:ascii="Cambria Math" w:hAnsi="Cambria Math" w:cs="Arial"/>
                <w:sz w:val="22"/>
                <w:szCs w:val="22"/>
              </w:rPr>
              <m:t>υ</m:t>
            </m:r>
          </m:e>
          <m:sub>
            <m:r>
              <w:rPr>
                <w:rFonts w:ascii="Cambria Math" w:hAnsi="Cambria Math" w:cs="Arial"/>
                <w:sz w:val="22"/>
                <w:szCs w:val="22"/>
              </w:rPr>
              <m:t>i</m:t>
            </m:r>
          </m:sub>
        </m:sSub>
      </m:oMath>
      <w:r w:rsidRPr="003015D7">
        <w:rPr>
          <w:rFonts w:ascii="Arial" w:hAnsi="Arial" w:cs="Arial"/>
          <w:sz w:val="22"/>
          <w:szCs w:val="22"/>
        </w:rPr>
        <w:t xml:space="preserve"> is a random slope for the effect of time </w:t>
      </w:r>
      <m:oMath>
        <m:r>
          <w:rPr>
            <w:rFonts w:ascii="Cambria Math" w:hAnsi="Cambria Math" w:cs="Arial"/>
            <w:sz w:val="22"/>
            <w:szCs w:val="22"/>
          </w:rPr>
          <m:t>t</m:t>
        </m:r>
      </m:oMath>
      <w:r w:rsidRPr="003015D7">
        <w:rPr>
          <w:rFonts w:ascii="Arial" w:hAnsi="Arial" w:cs="Arial"/>
          <w:sz w:val="22"/>
          <w:szCs w:val="22"/>
        </w:rPr>
        <w:t xml:space="preserve"> on each county </w:t>
      </w:r>
      <m:oMath>
        <m:r>
          <w:rPr>
            <w:rFonts w:ascii="Cambria Math" w:hAnsi="Cambria Math" w:cs="Arial"/>
            <w:sz w:val="22"/>
            <w:szCs w:val="22"/>
          </w:rPr>
          <m:t>i</m:t>
        </m:r>
      </m:oMath>
      <w:r w:rsidRPr="003015D7">
        <w:rPr>
          <w:rFonts w:ascii="Arial" w:hAnsi="Arial" w:cs="Arial"/>
          <w:sz w:val="22"/>
          <w:szCs w:val="22"/>
        </w:rPr>
        <w:t>.</w:t>
      </w:r>
      <w:r w:rsidRPr="003015D7">
        <w:rPr>
          <w:rFonts w:ascii="Arial" w:hAnsi="Arial" w:cs="Arial"/>
          <w:sz w:val="22"/>
          <w:szCs w:val="22"/>
        </w:rPr>
        <w:br/>
      </w:r>
      <m:oMath>
        <m:sSub>
          <m:sSubPr>
            <m:ctrlPr>
              <w:rPr>
                <w:rFonts w:ascii="Cambria Math" w:hAnsi="Cambria Math" w:cs="Arial"/>
                <w:sz w:val="22"/>
                <w:szCs w:val="22"/>
              </w:rPr>
            </m:ctrlPr>
          </m:sSubPr>
          <m:e>
            <m:r>
              <w:rPr>
                <w:rFonts w:ascii="Cambria Math" w:hAnsi="Cambria Math" w:cs="Arial"/>
                <w:sz w:val="22"/>
                <w:szCs w:val="22"/>
              </w:rPr>
              <m:t>ϵ</m:t>
            </m:r>
          </m:e>
          <m:sub>
            <m:r>
              <w:rPr>
                <w:rFonts w:ascii="Cambria Math" w:hAnsi="Cambria Math" w:cs="Arial"/>
                <w:sz w:val="22"/>
                <w:szCs w:val="22"/>
              </w:rPr>
              <m:t>it</m:t>
            </m:r>
          </m:sub>
        </m:sSub>
      </m:oMath>
      <w:r w:rsidRPr="003015D7">
        <w:rPr>
          <w:rFonts w:ascii="Arial" w:hAnsi="Arial" w:cs="Arial"/>
          <w:sz w:val="22"/>
          <w:szCs w:val="22"/>
        </w:rPr>
        <w:t xml:space="preserve"> represents an error term for each destination county </w:t>
      </w:r>
      <m:oMath>
        <m:r>
          <w:rPr>
            <w:rFonts w:ascii="Cambria Math" w:hAnsi="Cambria Math" w:cs="Arial"/>
            <w:sz w:val="22"/>
            <w:szCs w:val="22"/>
          </w:rPr>
          <m:t>i</m:t>
        </m:r>
      </m:oMath>
      <w:r w:rsidRPr="003015D7">
        <w:rPr>
          <w:rFonts w:ascii="Arial" w:hAnsi="Arial" w:cs="Arial"/>
          <w:sz w:val="22"/>
          <w:szCs w:val="22"/>
        </w:rPr>
        <w:t xml:space="preserve"> at year </w:t>
      </w:r>
      <m:oMath>
        <m:r>
          <w:rPr>
            <w:rFonts w:ascii="Cambria Math" w:hAnsi="Cambria Math" w:cs="Arial"/>
            <w:sz w:val="22"/>
            <w:szCs w:val="22"/>
          </w:rPr>
          <m:t>t</m:t>
        </m:r>
      </m:oMath>
      <w:r w:rsidRPr="003015D7">
        <w:rPr>
          <w:rFonts w:ascii="Arial" w:hAnsi="Arial" w:cs="Arial"/>
          <w:sz w:val="22"/>
          <w:szCs w:val="22"/>
        </w:rPr>
        <w:t>.</w:t>
      </w:r>
      <w:r w:rsidRPr="003015D7">
        <w:rPr>
          <w:rFonts w:ascii="Arial" w:hAnsi="Arial" w:cs="Arial"/>
          <w:sz w:val="22"/>
          <w:szCs w:val="22"/>
        </w:rPr>
        <w:br/>
      </w:r>
    </w:p>
    <w:p w14:paraId="04E8A33C"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For Hypothesis 2A, we compare the baseline model to models that account for migration. To quantify migration, we develop a novel “migration term” which accounts for the mortality rates of individuals who have moved to a county of interest during a given period, essentially a weighted average of the mortality rates of all the origin counties. We calculated the following for each change in year and for each destination county </w:t>
      </w:r>
      <m:oMath>
        <m:r>
          <w:rPr>
            <w:rFonts w:ascii="Cambria Math" w:hAnsi="Cambria Math" w:cs="Arial"/>
            <w:sz w:val="22"/>
            <w:szCs w:val="22"/>
          </w:rPr>
          <m:t>i</m:t>
        </m:r>
      </m:oMath>
      <w:r w:rsidRPr="003015D7">
        <w:rPr>
          <w:rFonts w:ascii="Arial" w:hAnsi="Arial" w:cs="Arial"/>
          <w:sz w:val="22"/>
          <w:szCs w:val="22"/>
        </w:rPr>
        <w:t>:</w:t>
      </w:r>
    </w:p>
    <w:p w14:paraId="6BCAF7C8" w14:textId="77777777" w:rsidR="00792322" w:rsidRPr="003015D7" w:rsidRDefault="00000000" w:rsidP="003015D7">
      <w:pPr>
        <w:pStyle w:val="BodyText"/>
        <w:rPr>
          <w:rFonts w:ascii="Arial" w:hAnsi="Arial" w:cs="Arial"/>
          <w:sz w:val="22"/>
          <w:szCs w:val="22"/>
        </w:rPr>
      </w:pPr>
      <m:oMathPara>
        <m:oMathParaPr>
          <m:jc m:val="center"/>
        </m:oMathParaPr>
        <m:oMath>
          <m:r>
            <w:rPr>
              <w:rFonts w:ascii="Cambria Math" w:hAnsi="Cambria Math" w:cs="Arial"/>
              <w:sz w:val="22"/>
              <w:szCs w:val="22"/>
            </w:rPr>
            <m:t>mi</m:t>
          </m:r>
          <m:sSub>
            <m:sSubPr>
              <m:ctrlPr>
                <w:rPr>
                  <w:rFonts w:ascii="Cambria Math" w:hAnsi="Cambria Math" w:cs="Arial"/>
                  <w:sz w:val="22"/>
                  <w:szCs w:val="22"/>
                </w:rPr>
              </m:ctrlPr>
            </m:sSubPr>
            <m:e>
              <m:r>
                <w:rPr>
                  <w:rFonts w:ascii="Cambria Math" w:hAnsi="Cambria Math" w:cs="Arial"/>
                  <w:sz w:val="22"/>
                  <w:szCs w:val="22"/>
                </w:rPr>
                <m:t>g</m:t>
              </m:r>
            </m:e>
            <m:sub>
              <m:r>
                <w:rPr>
                  <w:rFonts w:ascii="Cambria Math" w:hAnsi="Cambria Math" w:cs="Arial"/>
                  <w:sz w:val="22"/>
                  <w:szCs w:val="22"/>
                </w:rPr>
                <m:t>it</m:t>
              </m:r>
            </m:sub>
          </m:sSub>
          <m:r>
            <m:rPr>
              <m:sty m:val="p"/>
            </m:rPr>
            <w:rPr>
              <w:rFonts w:ascii="Cambria Math" w:hAnsi="Cambria Math" w:cs="Arial"/>
              <w:sz w:val="22"/>
              <w:szCs w:val="22"/>
            </w:rPr>
            <m:t>=</m:t>
          </m:r>
          <m:f>
            <m:fPr>
              <m:ctrlPr>
                <w:rPr>
                  <w:rFonts w:ascii="Cambria Math" w:hAnsi="Cambria Math" w:cs="Arial"/>
                  <w:sz w:val="22"/>
                  <w:szCs w:val="22"/>
                </w:rPr>
              </m:ctrlPr>
            </m:fPr>
            <m:num>
              <m:nary>
                <m:naryPr>
                  <m:chr m:val="∑"/>
                  <m:limLoc m:val="undOvr"/>
                  <m:supHide m:val="1"/>
                  <m:ctrlPr>
                    <w:rPr>
                      <w:rFonts w:ascii="Cambria Math" w:hAnsi="Cambria Math" w:cs="Arial"/>
                      <w:sz w:val="22"/>
                      <w:szCs w:val="22"/>
                    </w:rPr>
                  </m:ctrlPr>
                </m:naryPr>
                <m:sub>
                  <m:r>
                    <w:rPr>
                      <w:rFonts w:ascii="Cambria Math" w:hAnsi="Cambria Math" w:cs="Arial"/>
                      <w:sz w:val="22"/>
                      <w:szCs w:val="22"/>
                    </w:rPr>
                    <m:t>j</m:t>
                  </m:r>
                  <m:r>
                    <m:rPr>
                      <m:sty m:val="p"/>
                    </m:rPr>
                    <w:rPr>
                      <w:rFonts w:ascii="Cambria Math" w:hAnsi="Cambria Math" w:cs="Arial"/>
                      <w:sz w:val="22"/>
                      <w:szCs w:val="22"/>
                    </w:rPr>
                    <m:t>≠</m:t>
                  </m:r>
                  <m:r>
                    <w:rPr>
                      <w:rFonts w:ascii="Cambria Math" w:hAnsi="Cambria Math" w:cs="Arial"/>
                      <w:sz w:val="22"/>
                      <w:szCs w:val="22"/>
                    </w:rPr>
                    <m:t>i</m:t>
                  </m:r>
                </m:sub>
                <m:sup>
                  <m:r>
                    <w:rPr>
                      <w:rFonts w:ascii="Cambria Math" w:hAnsi="Cambria Math" w:cs="Arial"/>
                      <w:sz w:val="22"/>
                      <w:szCs w:val="22"/>
                    </w:rPr>
                    <m:t>​</m:t>
                  </m:r>
                </m:sup>
                <m:e>
                  <m:r>
                    <w:rPr>
                      <w:rFonts w:ascii="Cambria Math" w:hAnsi="Cambria Math" w:cs="Arial"/>
                      <w:sz w:val="22"/>
                      <w:szCs w:val="22"/>
                    </w:rPr>
                    <m:t>o</m:t>
                  </m:r>
                </m:e>
              </m:nary>
              <m:r>
                <w:rPr>
                  <w:rFonts w:ascii="Cambria Math" w:hAnsi="Cambria Math" w:cs="Arial"/>
                  <w:sz w:val="22"/>
                  <w:szCs w:val="22"/>
                </w:rPr>
                <m:t>u</m:t>
              </m:r>
              <m:sSub>
                <m:sSubPr>
                  <m:ctrlPr>
                    <w:rPr>
                      <w:rFonts w:ascii="Cambria Math" w:hAnsi="Cambria Math" w:cs="Arial"/>
                      <w:sz w:val="22"/>
                      <w:szCs w:val="22"/>
                    </w:rPr>
                  </m:ctrlPr>
                </m:sSubPr>
                <m:e>
                  <m:r>
                    <w:rPr>
                      <w:rFonts w:ascii="Cambria Math" w:hAnsi="Cambria Math" w:cs="Arial"/>
                      <w:sz w:val="22"/>
                      <w:szCs w:val="22"/>
                    </w:rPr>
                    <m:t>t</m:t>
                  </m:r>
                </m:e>
                <m:sub>
                  <m:r>
                    <w:rPr>
                      <w:rFonts w:ascii="Cambria Math" w:hAnsi="Cambria Math" w:cs="Arial"/>
                      <w:sz w:val="22"/>
                      <w:szCs w:val="22"/>
                    </w:rPr>
                    <m:t>jit</m:t>
                  </m:r>
                </m:sub>
              </m:sSub>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j</m:t>
                  </m:r>
                  <m:r>
                    <m:rPr>
                      <m:sty m:val="p"/>
                    </m:rPr>
                    <w:rPr>
                      <w:rFonts w:ascii="Cambria Math" w:hAnsi="Cambria Math" w:cs="Arial"/>
                      <w:sz w:val="22"/>
                      <w:szCs w:val="22"/>
                    </w:rPr>
                    <m:t>,</m:t>
                  </m:r>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i</m:t>
                  </m:r>
                  <m:r>
                    <m:rPr>
                      <m:sty m:val="p"/>
                    </m:rPr>
                    <w:rPr>
                      <w:rFonts w:ascii="Cambria Math" w:hAnsi="Cambria Math" w:cs="Arial"/>
                      <w:sz w:val="22"/>
                      <w:szCs w:val="22"/>
                    </w:rPr>
                    <m:t>,</m:t>
                  </m:r>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d>
                <m:dPr>
                  <m:ctrlPr>
                    <w:rPr>
                      <w:rFonts w:ascii="Cambria Math" w:hAnsi="Cambria Math" w:cs="Arial"/>
                      <w:sz w:val="22"/>
                      <w:szCs w:val="22"/>
                    </w:rPr>
                  </m:ctrlPr>
                </m:dPr>
                <m:e>
                  <m:r>
                    <w:rPr>
                      <w:rFonts w:ascii="Cambria Math" w:hAnsi="Cambria Math" w:cs="Arial"/>
                      <w:sz w:val="22"/>
                      <w:szCs w:val="22"/>
                    </w:rPr>
                    <m:t>po</m:t>
                  </m:r>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i</m:t>
                      </m:r>
                      <m:r>
                        <m:rPr>
                          <m:sty m:val="p"/>
                        </m:rPr>
                        <w:rPr>
                          <w:rFonts w:ascii="Cambria Math" w:hAnsi="Cambria Math" w:cs="Arial"/>
                          <w:sz w:val="22"/>
                          <w:szCs w:val="22"/>
                        </w:rPr>
                        <m:t>,</m:t>
                      </m:r>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r>
                    <m:rPr>
                      <m:sty m:val="p"/>
                    </m:rPr>
                    <w:rPr>
                      <w:rFonts w:ascii="Cambria Math" w:hAnsi="Cambria Math" w:cs="Arial"/>
                      <w:sz w:val="22"/>
                      <w:szCs w:val="22"/>
                    </w:rPr>
                    <m:t>-</m:t>
                  </m:r>
                  <m:nary>
                    <m:naryPr>
                      <m:chr m:val="∑"/>
                      <m:limLoc m:val="undOvr"/>
                      <m:supHide m:val="1"/>
                      <m:ctrlPr>
                        <w:rPr>
                          <w:rFonts w:ascii="Cambria Math" w:hAnsi="Cambria Math" w:cs="Arial"/>
                          <w:sz w:val="22"/>
                          <w:szCs w:val="22"/>
                        </w:rPr>
                      </m:ctrlPr>
                    </m:naryPr>
                    <m:sub>
                      <m:r>
                        <w:rPr>
                          <w:rFonts w:ascii="Cambria Math" w:hAnsi="Cambria Math" w:cs="Arial"/>
                          <w:sz w:val="22"/>
                          <w:szCs w:val="22"/>
                        </w:rPr>
                        <m:t>j</m:t>
                      </m:r>
                      <m:r>
                        <m:rPr>
                          <m:sty m:val="p"/>
                        </m:rPr>
                        <w:rPr>
                          <w:rFonts w:ascii="Cambria Math" w:hAnsi="Cambria Math" w:cs="Arial"/>
                          <w:sz w:val="22"/>
                          <w:szCs w:val="22"/>
                        </w:rPr>
                        <m:t>≠</m:t>
                      </m:r>
                      <m:r>
                        <w:rPr>
                          <w:rFonts w:ascii="Cambria Math" w:hAnsi="Cambria Math" w:cs="Arial"/>
                          <w:sz w:val="22"/>
                          <w:szCs w:val="22"/>
                        </w:rPr>
                        <m:t>i</m:t>
                      </m:r>
                    </m:sub>
                    <m:sup>
                      <m:r>
                        <w:rPr>
                          <w:rFonts w:ascii="Cambria Math" w:hAnsi="Cambria Math" w:cs="Arial"/>
                          <w:sz w:val="22"/>
                          <w:szCs w:val="22"/>
                        </w:rPr>
                        <m:t>​</m:t>
                      </m:r>
                    </m:sup>
                    <m:e>
                      <m:r>
                        <w:rPr>
                          <w:rFonts w:ascii="Cambria Math" w:hAnsi="Cambria Math" w:cs="Arial"/>
                          <w:sz w:val="22"/>
                          <w:szCs w:val="22"/>
                        </w:rPr>
                        <m:t>o</m:t>
                      </m:r>
                    </m:e>
                  </m:nary>
                  <m:r>
                    <w:rPr>
                      <w:rFonts w:ascii="Cambria Math" w:hAnsi="Cambria Math" w:cs="Arial"/>
                      <w:sz w:val="22"/>
                      <w:szCs w:val="22"/>
                    </w:rPr>
                    <m:t>u</m:t>
                  </m:r>
                  <m:sSub>
                    <m:sSubPr>
                      <m:ctrlPr>
                        <w:rPr>
                          <w:rFonts w:ascii="Cambria Math" w:hAnsi="Cambria Math" w:cs="Arial"/>
                          <w:sz w:val="22"/>
                          <w:szCs w:val="22"/>
                        </w:rPr>
                      </m:ctrlPr>
                    </m:sSubPr>
                    <m:e>
                      <m:r>
                        <w:rPr>
                          <w:rFonts w:ascii="Cambria Math" w:hAnsi="Cambria Math" w:cs="Arial"/>
                          <w:sz w:val="22"/>
                          <w:szCs w:val="22"/>
                        </w:rPr>
                        <m:t>t</m:t>
                      </m:r>
                    </m:e>
                    <m:sub>
                      <m:r>
                        <w:rPr>
                          <w:rFonts w:ascii="Cambria Math" w:hAnsi="Cambria Math" w:cs="Arial"/>
                          <w:sz w:val="22"/>
                          <w:szCs w:val="22"/>
                        </w:rPr>
                        <m:t>ijt</m:t>
                      </m:r>
                    </m:sub>
                  </m:sSub>
                </m:e>
              </m:d>
            </m:num>
            <m:den>
              <m:nary>
                <m:naryPr>
                  <m:chr m:val="∑"/>
                  <m:limLoc m:val="undOvr"/>
                  <m:supHide m:val="1"/>
                  <m:ctrlPr>
                    <w:rPr>
                      <w:rFonts w:ascii="Cambria Math" w:hAnsi="Cambria Math" w:cs="Arial"/>
                      <w:sz w:val="22"/>
                      <w:szCs w:val="22"/>
                    </w:rPr>
                  </m:ctrlPr>
                </m:naryPr>
                <m:sub>
                  <m:r>
                    <w:rPr>
                      <w:rFonts w:ascii="Cambria Math" w:hAnsi="Cambria Math" w:cs="Arial"/>
                      <w:sz w:val="22"/>
                      <w:szCs w:val="22"/>
                    </w:rPr>
                    <m:t>j</m:t>
                  </m:r>
                  <m:r>
                    <m:rPr>
                      <m:sty m:val="p"/>
                    </m:rPr>
                    <w:rPr>
                      <w:rFonts w:ascii="Cambria Math" w:hAnsi="Cambria Math" w:cs="Arial"/>
                      <w:sz w:val="22"/>
                      <w:szCs w:val="22"/>
                    </w:rPr>
                    <m:t>≠</m:t>
                  </m:r>
                  <m:r>
                    <w:rPr>
                      <w:rFonts w:ascii="Cambria Math" w:hAnsi="Cambria Math" w:cs="Arial"/>
                      <w:sz w:val="22"/>
                      <w:szCs w:val="22"/>
                    </w:rPr>
                    <m:t>i</m:t>
                  </m:r>
                </m:sub>
                <m:sup>
                  <m:r>
                    <w:rPr>
                      <w:rFonts w:ascii="Cambria Math" w:hAnsi="Cambria Math" w:cs="Arial"/>
                      <w:sz w:val="22"/>
                      <w:szCs w:val="22"/>
                    </w:rPr>
                    <m:t>​</m:t>
                  </m:r>
                </m:sup>
                <m:e>
                  <m:r>
                    <w:rPr>
                      <w:rFonts w:ascii="Cambria Math" w:hAnsi="Cambria Math" w:cs="Arial"/>
                      <w:sz w:val="22"/>
                      <w:szCs w:val="22"/>
                    </w:rPr>
                    <m:t>o</m:t>
                  </m:r>
                </m:e>
              </m:nary>
              <m:r>
                <w:rPr>
                  <w:rFonts w:ascii="Cambria Math" w:hAnsi="Cambria Math" w:cs="Arial"/>
                  <w:sz w:val="22"/>
                  <w:szCs w:val="22"/>
                </w:rPr>
                <m:t>u</m:t>
              </m:r>
              <m:sSub>
                <m:sSubPr>
                  <m:ctrlPr>
                    <w:rPr>
                      <w:rFonts w:ascii="Cambria Math" w:hAnsi="Cambria Math" w:cs="Arial"/>
                      <w:sz w:val="22"/>
                      <w:szCs w:val="22"/>
                    </w:rPr>
                  </m:ctrlPr>
                </m:sSubPr>
                <m:e>
                  <m:r>
                    <w:rPr>
                      <w:rFonts w:ascii="Cambria Math" w:hAnsi="Cambria Math" w:cs="Arial"/>
                      <w:sz w:val="22"/>
                      <w:szCs w:val="22"/>
                    </w:rPr>
                    <m:t>t</m:t>
                  </m:r>
                </m:e>
                <m:sub>
                  <m:r>
                    <w:rPr>
                      <w:rFonts w:ascii="Cambria Math" w:hAnsi="Cambria Math" w:cs="Arial"/>
                      <w:sz w:val="22"/>
                      <w:szCs w:val="22"/>
                    </w:rPr>
                    <m:t>ijt</m:t>
                  </m:r>
                </m:sub>
              </m:sSub>
              <m:r>
                <m:rPr>
                  <m:sty m:val="p"/>
                </m:rPr>
                <w:rPr>
                  <w:rFonts w:ascii="Cambria Math" w:hAnsi="Cambria Math" w:cs="Arial"/>
                  <w:sz w:val="22"/>
                  <w:szCs w:val="22"/>
                </w:rPr>
                <m:t>+</m:t>
              </m:r>
              <m:d>
                <m:dPr>
                  <m:ctrlPr>
                    <w:rPr>
                      <w:rFonts w:ascii="Cambria Math" w:hAnsi="Cambria Math" w:cs="Arial"/>
                      <w:sz w:val="22"/>
                      <w:szCs w:val="22"/>
                    </w:rPr>
                  </m:ctrlPr>
                </m:dPr>
                <m:e>
                  <m:r>
                    <w:rPr>
                      <w:rFonts w:ascii="Cambria Math" w:hAnsi="Cambria Math" w:cs="Arial"/>
                      <w:sz w:val="22"/>
                      <w:szCs w:val="22"/>
                    </w:rPr>
                    <m:t>po</m:t>
                  </m:r>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i</m:t>
                      </m:r>
                      <m:r>
                        <m:rPr>
                          <m:sty m:val="p"/>
                        </m:rPr>
                        <w:rPr>
                          <w:rFonts w:ascii="Cambria Math" w:hAnsi="Cambria Math" w:cs="Arial"/>
                          <w:sz w:val="22"/>
                          <w:szCs w:val="22"/>
                        </w:rPr>
                        <m:t>,</m:t>
                      </m:r>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r>
                    <m:rPr>
                      <m:sty m:val="p"/>
                    </m:rPr>
                    <w:rPr>
                      <w:rFonts w:ascii="Cambria Math" w:hAnsi="Cambria Math" w:cs="Arial"/>
                      <w:sz w:val="22"/>
                      <w:szCs w:val="22"/>
                    </w:rPr>
                    <m:t>-</m:t>
                  </m:r>
                  <m:nary>
                    <m:naryPr>
                      <m:chr m:val="∑"/>
                      <m:limLoc m:val="undOvr"/>
                      <m:supHide m:val="1"/>
                      <m:ctrlPr>
                        <w:rPr>
                          <w:rFonts w:ascii="Cambria Math" w:hAnsi="Cambria Math" w:cs="Arial"/>
                          <w:sz w:val="22"/>
                          <w:szCs w:val="22"/>
                        </w:rPr>
                      </m:ctrlPr>
                    </m:naryPr>
                    <m:sub>
                      <m:r>
                        <w:rPr>
                          <w:rFonts w:ascii="Cambria Math" w:hAnsi="Cambria Math" w:cs="Arial"/>
                          <w:sz w:val="22"/>
                          <w:szCs w:val="22"/>
                        </w:rPr>
                        <m:t>j</m:t>
                      </m:r>
                      <m:r>
                        <m:rPr>
                          <m:sty m:val="p"/>
                        </m:rPr>
                        <w:rPr>
                          <w:rFonts w:ascii="Cambria Math" w:hAnsi="Cambria Math" w:cs="Arial"/>
                          <w:sz w:val="22"/>
                          <w:szCs w:val="22"/>
                        </w:rPr>
                        <m:t>≠</m:t>
                      </m:r>
                      <m:r>
                        <w:rPr>
                          <w:rFonts w:ascii="Cambria Math" w:hAnsi="Cambria Math" w:cs="Arial"/>
                          <w:sz w:val="22"/>
                          <w:szCs w:val="22"/>
                        </w:rPr>
                        <m:t>i</m:t>
                      </m:r>
                    </m:sub>
                    <m:sup>
                      <m:r>
                        <w:rPr>
                          <w:rFonts w:ascii="Cambria Math" w:hAnsi="Cambria Math" w:cs="Arial"/>
                          <w:sz w:val="22"/>
                          <w:szCs w:val="22"/>
                        </w:rPr>
                        <m:t>​</m:t>
                      </m:r>
                    </m:sup>
                    <m:e>
                      <m:r>
                        <w:rPr>
                          <w:rFonts w:ascii="Cambria Math" w:hAnsi="Cambria Math" w:cs="Arial"/>
                          <w:sz w:val="22"/>
                          <w:szCs w:val="22"/>
                        </w:rPr>
                        <m:t>o</m:t>
                      </m:r>
                    </m:e>
                  </m:nary>
                  <m:r>
                    <w:rPr>
                      <w:rFonts w:ascii="Cambria Math" w:hAnsi="Cambria Math" w:cs="Arial"/>
                      <w:sz w:val="22"/>
                      <w:szCs w:val="22"/>
                    </w:rPr>
                    <m:t>u</m:t>
                  </m:r>
                  <m:sSub>
                    <m:sSubPr>
                      <m:ctrlPr>
                        <w:rPr>
                          <w:rFonts w:ascii="Cambria Math" w:hAnsi="Cambria Math" w:cs="Arial"/>
                          <w:sz w:val="22"/>
                          <w:szCs w:val="22"/>
                        </w:rPr>
                      </m:ctrlPr>
                    </m:sSubPr>
                    <m:e>
                      <m:r>
                        <w:rPr>
                          <w:rFonts w:ascii="Cambria Math" w:hAnsi="Cambria Math" w:cs="Arial"/>
                          <w:sz w:val="22"/>
                          <w:szCs w:val="22"/>
                        </w:rPr>
                        <m:t>t</m:t>
                      </m:r>
                    </m:e>
                    <m:sub>
                      <m:r>
                        <w:rPr>
                          <w:rFonts w:ascii="Cambria Math" w:hAnsi="Cambria Math" w:cs="Arial"/>
                          <w:sz w:val="22"/>
                          <w:szCs w:val="22"/>
                        </w:rPr>
                        <m:t>ijt</m:t>
                      </m:r>
                    </m:sub>
                  </m:sSub>
                </m:e>
              </m:d>
            </m:den>
          </m:f>
        </m:oMath>
      </m:oMathPara>
    </w:p>
    <w:p w14:paraId="40030813" w14:textId="77777777" w:rsidR="003015D7" w:rsidRDefault="003015D7" w:rsidP="003015D7">
      <w:pPr>
        <w:pStyle w:val="FirstParagraph"/>
        <w:rPr>
          <w:rFonts w:ascii="Arial" w:hAnsi="Arial" w:cs="Arial"/>
          <w:sz w:val="22"/>
          <w:szCs w:val="22"/>
        </w:rPr>
      </w:pPr>
      <w:r w:rsidRPr="003015D7">
        <w:rPr>
          <w:rFonts w:ascii="Arial" w:hAnsi="Arial" w:cs="Arial"/>
          <w:sz w:val="22"/>
          <w:szCs w:val="22"/>
        </w:rPr>
        <w:t>Where</w:t>
      </w:r>
      <w:r>
        <w:rPr>
          <w:rFonts w:ascii="Arial" w:hAnsi="Arial" w:cs="Arial"/>
          <w:sz w:val="22"/>
          <w:szCs w:val="22"/>
        </w:rPr>
        <w:t>:</w:t>
      </w:r>
    </w:p>
    <w:p w14:paraId="79D933A8" w14:textId="2D64EFD4" w:rsidR="003015D7" w:rsidRDefault="00000000" w:rsidP="003015D7">
      <w:pPr>
        <w:pStyle w:val="FirstParagraph"/>
        <w:rPr>
          <w:rFonts w:ascii="Arial" w:hAnsi="Arial" w:cs="Arial"/>
          <w:sz w:val="22"/>
          <w:szCs w:val="22"/>
        </w:rPr>
      </w:pPr>
      <m:oMath>
        <m:sSub>
          <m:sSubPr>
            <m:ctrlPr>
              <w:rPr>
                <w:rFonts w:ascii="Cambria Math" w:hAnsi="Cambria Math" w:cs="Arial"/>
                <w:sz w:val="22"/>
                <w:szCs w:val="22"/>
              </w:rPr>
            </m:ctrlPr>
          </m:sSubPr>
          <m:e>
            <m:r>
              <w:rPr>
                <w:rFonts w:ascii="Cambria Math" w:hAnsi="Cambria Math" w:cs="Arial"/>
                <w:sz w:val="22"/>
                <w:szCs w:val="22"/>
              </w:rPr>
              <m:t>y</m:t>
            </m:r>
          </m:e>
          <m:sub>
            <m:r>
              <w:rPr>
                <w:rFonts w:ascii="Cambria Math" w:hAnsi="Cambria Math" w:cs="Arial"/>
                <w:sz w:val="22"/>
                <w:szCs w:val="22"/>
              </w:rPr>
              <m:t>it</m:t>
            </m:r>
          </m:sub>
        </m:sSub>
      </m:oMath>
      <w:r w:rsidRPr="003015D7">
        <w:rPr>
          <w:rFonts w:ascii="Arial" w:hAnsi="Arial" w:cs="Arial"/>
          <w:sz w:val="22"/>
          <w:szCs w:val="22"/>
        </w:rPr>
        <w:t xml:space="preserve"> </w:t>
      </w:r>
      <w:r w:rsidR="008359DD">
        <w:rPr>
          <w:rFonts w:ascii="Arial" w:hAnsi="Arial" w:cs="Arial"/>
          <w:sz w:val="22"/>
          <w:szCs w:val="22"/>
        </w:rPr>
        <w:t>is</w:t>
      </w:r>
      <w:r w:rsidRPr="003015D7">
        <w:rPr>
          <w:rFonts w:ascii="Arial" w:hAnsi="Arial" w:cs="Arial"/>
          <w:sz w:val="22"/>
          <w:szCs w:val="22"/>
        </w:rPr>
        <w:t xml:space="preserve"> defined above</w:t>
      </w:r>
      <w:r w:rsidRPr="003015D7">
        <w:rPr>
          <w:rFonts w:ascii="Arial" w:hAnsi="Arial" w:cs="Arial"/>
          <w:sz w:val="22"/>
          <w:szCs w:val="22"/>
        </w:rPr>
        <w:br/>
      </w:r>
      <m:oMath>
        <m:r>
          <w:rPr>
            <w:rFonts w:ascii="Cambria Math" w:hAnsi="Cambria Math" w:cs="Arial"/>
            <w:sz w:val="22"/>
            <w:szCs w:val="22"/>
          </w:rPr>
          <m:t>ou</m:t>
        </m:r>
        <m:sSub>
          <m:sSubPr>
            <m:ctrlPr>
              <w:rPr>
                <w:rFonts w:ascii="Cambria Math" w:hAnsi="Cambria Math" w:cs="Arial"/>
                <w:sz w:val="22"/>
                <w:szCs w:val="22"/>
              </w:rPr>
            </m:ctrlPr>
          </m:sSubPr>
          <m:e>
            <m:r>
              <w:rPr>
                <w:rFonts w:ascii="Cambria Math" w:hAnsi="Cambria Math" w:cs="Arial"/>
                <w:sz w:val="22"/>
                <w:szCs w:val="22"/>
              </w:rPr>
              <m:t>t</m:t>
            </m:r>
          </m:e>
          <m:sub>
            <m:r>
              <w:rPr>
                <w:rFonts w:ascii="Cambria Math" w:hAnsi="Cambria Math" w:cs="Arial"/>
                <w:sz w:val="22"/>
                <w:szCs w:val="22"/>
              </w:rPr>
              <m:t>ijt</m:t>
            </m:r>
          </m:sub>
        </m:sSub>
      </m:oMath>
      <w:r w:rsidRPr="003015D7">
        <w:rPr>
          <w:rFonts w:ascii="Arial" w:hAnsi="Arial" w:cs="Arial"/>
          <w:sz w:val="22"/>
          <w:szCs w:val="22"/>
        </w:rPr>
        <w:t xml:space="preserve"> represents the number of migrants from a unique origin county </w:t>
      </w:r>
      <m:oMath>
        <m:r>
          <w:rPr>
            <w:rFonts w:ascii="Cambria Math" w:hAnsi="Cambria Math" w:cs="Arial"/>
            <w:sz w:val="22"/>
            <w:szCs w:val="22"/>
          </w:rPr>
          <m:t>j</m:t>
        </m:r>
      </m:oMath>
      <w:r w:rsidRPr="003015D7">
        <w:rPr>
          <w:rFonts w:ascii="Arial" w:hAnsi="Arial" w:cs="Arial"/>
          <w:sz w:val="22"/>
          <w:szCs w:val="22"/>
        </w:rPr>
        <w:t xml:space="preserve"> who migrated to a destination county </w:t>
      </w:r>
      <m:oMath>
        <m:r>
          <w:rPr>
            <w:rFonts w:ascii="Cambria Math" w:hAnsi="Cambria Math" w:cs="Arial"/>
            <w:sz w:val="22"/>
            <w:szCs w:val="22"/>
          </w:rPr>
          <m:t>i</m:t>
        </m:r>
      </m:oMath>
      <w:r w:rsidRPr="003015D7">
        <w:rPr>
          <w:rFonts w:ascii="Arial" w:hAnsi="Arial" w:cs="Arial"/>
          <w:sz w:val="22"/>
          <w:szCs w:val="22"/>
        </w:rPr>
        <w:t xml:space="preserve"> between year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oMath>
      <w:r w:rsidRPr="003015D7">
        <w:rPr>
          <w:rFonts w:ascii="Arial" w:hAnsi="Arial" w:cs="Arial"/>
          <w:sz w:val="22"/>
          <w:szCs w:val="22"/>
        </w:rPr>
        <w:t xml:space="preserve"> and year </w:t>
      </w:r>
      <m:oMath>
        <m:r>
          <w:rPr>
            <w:rFonts w:ascii="Cambria Math" w:hAnsi="Cambria Math" w:cs="Arial"/>
            <w:sz w:val="22"/>
            <w:szCs w:val="22"/>
          </w:rPr>
          <m:t>t</m:t>
        </m:r>
      </m:oMath>
      <w:r w:rsidRPr="003015D7">
        <w:rPr>
          <w:rFonts w:ascii="Arial" w:hAnsi="Arial" w:cs="Arial"/>
          <w:sz w:val="22"/>
          <w:szCs w:val="22"/>
        </w:rPr>
        <w:t>.</w:t>
      </w:r>
      <w:r w:rsidRPr="003015D7">
        <w:rPr>
          <w:rFonts w:ascii="Arial" w:hAnsi="Arial" w:cs="Arial"/>
          <w:sz w:val="22"/>
          <w:szCs w:val="22"/>
        </w:rPr>
        <w:br/>
      </w:r>
      <m:oMath>
        <m:r>
          <w:rPr>
            <w:rFonts w:ascii="Cambria Math" w:hAnsi="Cambria Math" w:cs="Arial"/>
            <w:sz w:val="22"/>
            <w:szCs w:val="22"/>
          </w:rPr>
          <m:t>po</m:t>
        </m:r>
        <m:sSub>
          <m:sSubPr>
            <m:ctrlPr>
              <w:rPr>
                <w:rFonts w:ascii="Cambria Math" w:hAnsi="Cambria Math" w:cs="Arial"/>
                <w:sz w:val="22"/>
                <w:szCs w:val="22"/>
              </w:rPr>
            </m:ctrlPr>
          </m:sSubPr>
          <m:e>
            <m:r>
              <w:rPr>
                <w:rFonts w:ascii="Cambria Math" w:hAnsi="Cambria Math" w:cs="Arial"/>
                <w:sz w:val="22"/>
                <w:szCs w:val="22"/>
              </w:rPr>
              <m:t>p</m:t>
            </m:r>
          </m:e>
          <m:sub>
            <m:r>
              <w:rPr>
                <w:rFonts w:ascii="Cambria Math" w:hAnsi="Cambria Math" w:cs="Arial"/>
                <w:sz w:val="22"/>
                <w:szCs w:val="22"/>
              </w:rPr>
              <m:t>i</m:t>
            </m:r>
            <m:r>
              <m:rPr>
                <m:sty m:val="p"/>
              </m:rPr>
              <w:rPr>
                <w:rFonts w:ascii="Cambria Math" w:hAnsi="Cambria Math" w:cs="Arial"/>
                <w:sz w:val="22"/>
                <w:szCs w:val="22"/>
              </w:rPr>
              <m:t>,</m:t>
            </m:r>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sub>
        </m:sSub>
      </m:oMath>
      <w:r w:rsidRPr="003015D7">
        <w:rPr>
          <w:rFonts w:ascii="Arial" w:hAnsi="Arial" w:cs="Arial"/>
          <w:sz w:val="22"/>
          <w:szCs w:val="22"/>
        </w:rPr>
        <w:t xml:space="preserve"> is the population of </w:t>
      </w:r>
      <w:r w:rsidR="003015D7" w:rsidRPr="003015D7">
        <w:rPr>
          <w:rFonts w:ascii="Arial" w:hAnsi="Arial" w:cs="Arial"/>
          <w:sz w:val="22"/>
          <w:szCs w:val="22"/>
        </w:rPr>
        <w:t>a</w:t>
      </w:r>
      <w:r w:rsidRPr="003015D7">
        <w:rPr>
          <w:rFonts w:ascii="Arial" w:hAnsi="Arial" w:cs="Arial"/>
          <w:sz w:val="22"/>
          <w:szCs w:val="22"/>
        </w:rPr>
        <w:t xml:space="preserve"> unique destination county </w:t>
      </w:r>
      <m:oMath>
        <m:r>
          <w:rPr>
            <w:rFonts w:ascii="Cambria Math" w:hAnsi="Cambria Math" w:cs="Arial"/>
            <w:sz w:val="22"/>
            <w:szCs w:val="22"/>
          </w:rPr>
          <m:t>i</m:t>
        </m:r>
      </m:oMath>
      <w:r w:rsidRPr="003015D7">
        <w:rPr>
          <w:rFonts w:ascii="Arial" w:hAnsi="Arial" w:cs="Arial"/>
          <w:sz w:val="22"/>
          <w:szCs w:val="22"/>
        </w:rPr>
        <w:t xml:space="preserve"> at initial year </w:t>
      </w:r>
      <m:oMath>
        <m:r>
          <w:rPr>
            <w:rFonts w:ascii="Cambria Math" w:hAnsi="Cambria Math" w:cs="Arial"/>
            <w:sz w:val="22"/>
            <w:szCs w:val="22"/>
          </w:rPr>
          <m:t>t</m:t>
        </m:r>
        <m:r>
          <m:rPr>
            <m:sty m:val="p"/>
          </m:rPr>
          <w:rPr>
            <w:rFonts w:ascii="Cambria Math" w:hAnsi="Cambria Math" w:cs="Arial"/>
            <w:sz w:val="22"/>
            <w:szCs w:val="22"/>
          </w:rPr>
          <m:t>-</m:t>
        </m:r>
        <m:r>
          <w:rPr>
            <w:rFonts w:ascii="Cambria Math" w:hAnsi="Cambria Math" w:cs="Arial"/>
            <w:sz w:val="22"/>
            <w:szCs w:val="22"/>
          </w:rPr>
          <m:t>1</m:t>
        </m:r>
      </m:oMath>
      <w:r w:rsidRPr="003015D7">
        <w:rPr>
          <w:rFonts w:ascii="Arial" w:hAnsi="Arial" w:cs="Arial"/>
          <w:sz w:val="22"/>
          <w:szCs w:val="22"/>
        </w:rPr>
        <w:br/>
      </w:r>
    </w:p>
    <w:p w14:paraId="5B042ECF" w14:textId="1DEF2132" w:rsidR="00792322" w:rsidRPr="003015D7" w:rsidRDefault="00000000" w:rsidP="003015D7">
      <w:pPr>
        <w:pStyle w:val="FirstParagraph"/>
        <w:rPr>
          <w:rFonts w:ascii="Arial" w:hAnsi="Arial" w:cs="Arial"/>
          <w:sz w:val="22"/>
          <w:szCs w:val="22"/>
        </w:rPr>
      </w:pPr>
      <w:r w:rsidRPr="003015D7">
        <w:rPr>
          <w:rFonts w:ascii="Arial" w:hAnsi="Arial" w:cs="Arial"/>
          <w:sz w:val="22"/>
          <w:szCs w:val="22"/>
        </w:rPr>
        <w:t>This approach implicitly assumes that individuals migrate uniformly at random (</w:t>
      </w:r>
      <w:r w:rsidR="003015D7" w:rsidRPr="003015D7">
        <w:rPr>
          <w:rFonts w:ascii="Arial" w:hAnsi="Arial" w:cs="Arial"/>
          <w:sz w:val="22"/>
          <w:szCs w:val="22"/>
        </w:rPr>
        <w:t>i.e.,</w:t>
      </w:r>
      <w:r w:rsidRPr="003015D7">
        <w:rPr>
          <w:rFonts w:ascii="Arial" w:hAnsi="Arial" w:cs="Arial"/>
          <w:sz w:val="22"/>
          <w:szCs w:val="22"/>
        </w:rPr>
        <w:t> no selection bias). In other words, our best guess for the mortality rate of migrants is exactly the mortality rate of their original county.</w:t>
      </w:r>
    </w:p>
    <w:p w14:paraId="4A84A91E"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rPr>
        <w:t>We analyzed several models and used the Bayesian Information Criterion (BIC) to determine the best fitting model. BIC is commonly used to determine models with greatest explanatory power (Kuha 2004). Starting with our baseline model, we iteratively added splines for the prior year’s average county-level mortality rate and the migration term, capturing potentially nonlinear trends.</w:t>
      </w:r>
    </w:p>
    <w:p w14:paraId="5E58CFA5"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rPr>
        <w:t>For Hypothesis 2B, we build separate models for urban and rural counties. This involves creating separate datasets for rural and urban counties and completing the same model selection steps as above.</w:t>
      </w:r>
    </w:p>
    <w:p w14:paraId="1022CE6D" w14:textId="4F77A5F6" w:rsidR="00792322" w:rsidRPr="003015D7" w:rsidRDefault="00000000" w:rsidP="003015D7">
      <w:pPr>
        <w:pStyle w:val="BodyText"/>
        <w:rPr>
          <w:rFonts w:ascii="Arial" w:hAnsi="Arial" w:cs="Arial"/>
          <w:sz w:val="22"/>
          <w:szCs w:val="22"/>
        </w:rPr>
      </w:pPr>
      <w:r w:rsidRPr="003015D7">
        <w:rPr>
          <w:rFonts w:ascii="Arial" w:hAnsi="Arial" w:cs="Arial"/>
          <w:sz w:val="22"/>
          <w:szCs w:val="22"/>
        </w:rPr>
        <w:t>For Hypothesis 2C, we will add a parameter to our equation for our migration term to simulate selection for migration. This parameter will be added to the mortality rate of each origin county. When the parameter is subtracted (</w:t>
      </w:r>
      <w:r w:rsidR="003015D7" w:rsidRPr="003015D7">
        <w:rPr>
          <w:rFonts w:ascii="Arial" w:hAnsi="Arial" w:cs="Arial"/>
          <w:sz w:val="22"/>
          <w:szCs w:val="22"/>
        </w:rPr>
        <w:t>i.e.,</w:t>
      </w:r>
      <w:r w:rsidRPr="003015D7">
        <w:rPr>
          <w:rFonts w:ascii="Arial" w:hAnsi="Arial" w:cs="Arial"/>
          <w:sz w:val="22"/>
          <w:szCs w:val="22"/>
        </w:rPr>
        <w:t xml:space="preserve"> decreased mortality rate), we simulate migration by individuals who are healthier than the average of their origin county. When the parameter is added (</w:t>
      </w:r>
      <w:proofErr w:type="gramStart"/>
      <w:r w:rsidRPr="003015D7">
        <w:rPr>
          <w:rFonts w:ascii="Arial" w:hAnsi="Arial" w:cs="Arial"/>
          <w:sz w:val="22"/>
          <w:szCs w:val="22"/>
        </w:rPr>
        <w:t>ie</w:t>
      </w:r>
      <w:proofErr w:type="gramEnd"/>
      <w:r w:rsidRPr="003015D7">
        <w:rPr>
          <w:rFonts w:ascii="Arial" w:hAnsi="Arial" w:cs="Arial"/>
          <w:sz w:val="22"/>
          <w:szCs w:val="22"/>
        </w:rPr>
        <w:t xml:space="preserve"> increased mortality rate), we simulate migration by individuals who are unhealthier than the average of their origin county. Since we hypothesize that </w:t>
      </w:r>
      <w:r w:rsidRPr="003015D7">
        <w:rPr>
          <w:rFonts w:ascii="Arial" w:hAnsi="Arial" w:cs="Arial"/>
          <w:sz w:val="22"/>
          <w:szCs w:val="22"/>
        </w:rPr>
        <w:lastRenderedPageBreak/>
        <w:t>the effect of migration on county-level health differs for rural and urban counties, we will test the values of this parameter separately for rural and urban counties. The details of this sub-analysis are still being developed.</w:t>
      </w:r>
    </w:p>
    <w:p w14:paraId="2255EB24" w14:textId="77777777" w:rsidR="00792322" w:rsidRPr="003015D7" w:rsidRDefault="00000000" w:rsidP="003015D7">
      <w:pPr>
        <w:pStyle w:val="BodyText"/>
        <w:rPr>
          <w:rFonts w:ascii="Arial" w:hAnsi="Arial" w:cs="Arial"/>
          <w:sz w:val="22"/>
          <w:szCs w:val="22"/>
        </w:rPr>
      </w:pPr>
      <w:r w:rsidRPr="003015D7">
        <w:rPr>
          <w:rFonts w:ascii="Arial" w:hAnsi="Arial" w:cs="Arial"/>
          <w:b/>
          <w:bCs/>
          <w:sz w:val="22"/>
          <w:szCs w:val="22"/>
          <w:u w:val="single"/>
        </w:rPr>
        <w:t>Preliminary Results</w:t>
      </w:r>
    </w:p>
    <w:p w14:paraId="552A78C0"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The best fitting model in terms of BIC score included five spline terms for both the autoregressive term and our weighted average migration term. This model will be called </w:t>
      </w:r>
      <m:oMath>
        <m:r>
          <w:rPr>
            <w:rFonts w:ascii="Cambria Math" w:hAnsi="Cambria Math" w:cs="Arial"/>
            <w:sz w:val="22"/>
            <w:szCs w:val="22"/>
          </w:rPr>
          <m:t>model2A</m:t>
        </m:r>
      </m:oMath>
      <w:r w:rsidRPr="003015D7">
        <w:rPr>
          <w:rFonts w:ascii="Arial" w:hAnsi="Arial" w:cs="Arial"/>
          <w:sz w:val="22"/>
          <w:szCs w:val="22"/>
        </w:rPr>
        <w:t>. Thus, models that account for migration had more explanatory power than models that included only the prior year’s average county-level mortality rate. This confirms Hypothesis 2A.</w:t>
      </w:r>
    </w:p>
    <w:p w14:paraId="59675230"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We found that for both urban and rural counties, the models with the lowest BIC scores included splines with four degrees of freedom each for the migration term and lagged age-adjusted mortality as well as the net migration term factor variable. These models were very similar to </w:t>
      </w:r>
      <m:oMath>
        <m:r>
          <w:rPr>
            <w:rFonts w:ascii="Cambria Math" w:hAnsi="Cambria Math" w:cs="Arial"/>
            <w:sz w:val="22"/>
            <w:szCs w:val="22"/>
          </w:rPr>
          <m:t>model2A</m:t>
        </m:r>
      </m:oMath>
      <w:r w:rsidRPr="003015D7">
        <w:rPr>
          <w:rFonts w:ascii="Arial" w:hAnsi="Arial" w:cs="Arial"/>
          <w:sz w:val="22"/>
          <w:szCs w:val="22"/>
        </w:rPr>
        <w:t xml:space="preserve"> but with four degree of freedom splines instead of five. Though the models for urban and rural counties are similar, the effect of the </w:t>
      </w:r>
      <m:oMath>
        <m:r>
          <w:rPr>
            <w:rFonts w:ascii="Cambria Math" w:hAnsi="Cambria Math" w:cs="Arial"/>
            <w:sz w:val="22"/>
            <w:szCs w:val="22"/>
          </w:rPr>
          <m:t>migterm</m:t>
        </m:r>
      </m:oMath>
      <w:r w:rsidRPr="003015D7">
        <w:rPr>
          <w:rFonts w:ascii="Arial" w:hAnsi="Arial" w:cs="Arial"/>
          <w:sz w:val="22"/>
          <w:szCs w:val="22"/>
        </w:rPr>
        <w:t xml:space="preserve"> appears to differ between rural and urban counties. See </w:t>
      </w:r>
      <w:r w:rsidRPr="003015D7">
        <w:rPr>
          <w:rFonts w:ascii="Arial" w:hAnsi="Arial" w:cs="Arial"/>
          <w:b/>
          <w:bCs/>
          <w:sz w:val="22"/>
          <w:szCs w:val="22"/>
        </w:rPr>
        <w:t>Figure 2</w:t>
      </w:r>
      <w:r w:rsidRPr="003015D7">
        <w:rPr>
          <w:rFonts w:ascii="Arial" w:hAnsi="Arial" w:cs="Arial"/>
          <w:sz w:val="22"/>
          <w:szCs w:val="22"/>
        </w:rPr>
        <w:t xml:space="preserve"> below.</w:t>
      </w:r>
    </w:p>
    <w:tbl>
      <w:tblPr>
        <w:tblStyle w:val="Table"/>
        <w:tblW w:w="5000" w:type="pct"/>
        <w:tblLook w:val="0000" w:firstRow="0" w:lastRow="0" w:firstColumn="0" w:lastColumn="0" w:noHBand="0" w:noVBand="0"/>
      </w:tblPr>
      <w:tblGrid>
        <w:gridCol w:w="10800"/>
      </w:tblGrid>
      <w:tr w:rsidR="003015D7" w:rsidRPr="003015D7" w14:paraId="30E78188" w14:textId="77777777">
        <w:tc>
          <w:tcPr>
            <w:tcW w:w="0" w:type="auto"/>
          </w:tcPr>
          <w:p w14:paraId="6BC8DF9D" w14:textId="77777777" w:rsidR="00792322" w:rsidRPr="003015D7" w:rsidRDefault="00000000" w:rsidP="003015D7">
            <w:pPr>
              <w:jc w:val="center"/>
              <w:rPr>
                <w:rFonts w:ascii="Arial" w:hAnsi="Arial" w:cs="Arial"/>
                <w:sz w:val="22"/>
                <w:szCs w:val="22"/>
              </w:rPr>
            </w:pPr>
            <w:r w:rsidRPr="003015D7">
              <w:rPr>
                <w:rFonts w:ascii="Arial" w:hAnsi="Arial" w:cs="Arial"/>
                <w:noProof/>
                <w:sz w:val="22"/>
                <w:szCs w:val="22"/>
              </w:rPr>
              <w:drawing>
                <wp:inline distT="0" distB="0" distL="0" distR="0" wp14:anchorId="1DD6083A" wp14:editId="3706480D">
                  <wp:extent cx="5334000" cy="3493802"/>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images/urb_migtermplot.png"/>
                          <pic:cNvPicPr>
                            <a:picLocks noChangeAspect="1" noChangeArrowheads="1"/>
                          </pic:cNvPicPr>
                        </pic:nvPicPr>
                        <pic:blipFill>
                          <a:blip r:embed="rId10"/>
                          <a:stretch>
                            <a:fillRect/>
                          </a:stretch>
                        </pic:blipFill>
                        <pic:spPr bwMode="auto">
                          <a:xfrm>
                            <a:off x="0" y="0"/>
                            <a:ext cx="5334000" cy="3493802"/>
                          </a:xfrm>
                          <a:prstGeom prst="rect">
                            <a:avLst/>
                          </a:prstGeom>
                          <a:noFill/>
                          <a:ln w="9525">
                            <a:noFill/>
                            <a:headEnd/>
                            <a:tailEnd/>
                          </a:ln>
                        </pic:spPr>
                      </pic:pic>
                    </a:graphicData>
                  </a:graphic>
                </wp:inline>
              </w:drawing>
            </w:r>
          </w:p>
          <w:p w14:paraId="1437849F" w14:textId="77777777" w:rsidR="00792322" w:rsidRPr="003015D7" w:rsidRDefault="00000000" w:rsidP="003015D7">
            <w:pPr>
              <w:pStyle w:val="ImageCaption"/>
              <w:spacing w:before="200"/>
              <w:rPr>
                <w:rFonts w:ascii="Arial" w:hAnsi="Arial" w:cs="Arial"/>
                <w:sz w:val="22"/>
                <w:szCs w:val="22"/>
              </w:rPr>
            </w:pPr>
            <w:r w:rsidRPr="003015D7">
              <w:rPr>
                <w:rFonts w:ascii="Arial" w:hAnsi="Arial" w:cs="Arial"/>
                <w:sz w:val="22"/>
                <w:szCs w:val="22"/>
              </w:rPr>
              <w:t xml:space="preserve">Figure 2: Urban counties are less sensitive to the effects of </w:t>
            </w:r>
            <m:oMath>
              <m:r>
                <w:rPr>
                  <w:rFonts w:ascii="Cambria Math" w:hAnsi="Cambria Math" w:cs="Arial"/>
                  <w:sz w:val="22"/>
                  <w:szCs w:val="22"/>
                </w:rPr>
                <m:t>migterm</m:t>
              </m:r>
            </m:oMath>
            <w:r w:rsidRPr="003015D7">
              <w:rPr>
                <w:rFonts w:ascii="Arial" w:hAnsi="Arial" w:cs="Arial"/>
                <w:sz w:val="22"/>
                <w:szCs w:val="22"/>
              </w:rPr>
              <w:t xml:space="preserve"> than rural counties.</w:t>
            </w:r>
          </w:p>
        </w:tc>
      </w:tr>
    </w:tbl>
    <w:p w14:paraId="3C6119F8" w14:textId="1DE19EB2"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As shown above, urban counties appear to be less sensitive to the </w:t>
      </w:r>
      <m:oMath>
        <m:r>
          <w:rPr>
            <w:rFonts w:ascii="Cambria Math" w:hAnsi="Cambria Math" w:cs="Arial"/>
            <w:sz w:val="22"/>
            <w:szCs w:val="22"/>
          </w:rPr>
          <m:t>migterm</m:t>
        </m:r>
      </m:oMath>
      <w:r w:rsidRPr="003015D7">
        <w:rPr>
          <w:rFonts w:ascii="Arial" w:hAnsi="Arial" w:cs="Arial"/>
          <w:sz w:val="22"/>
          <w:szCs w:val="22"/>
        </w:rPr>
        <w:t xml:space="preserve"> than rural counties. Migration from less healthy places (</w:t>
      </w:r>
      <w:r w:rsidR="003015D7" w:rsidRPr="003015D7">
        <w:rPr>
          <w:rFonts w:ascii="Arial" w:hAnsi="Arial" w:cs="Arial"/>
          <w:sz w:val="22"/>
          <w:szCs w:val="22"/>
        </w:rPr>
        <w:t>i.e.,</w:t>
      </w:r>
      <w:r w:rsidRPr="003015D7">
        <w:rPr>
          <w:rFonts w:ascii="Arial" w:hAnsi="Arial" w:cs="Arial"/>
          <w:sz w:val="22"/>
          <w:szCs w:val="22"/>
        </w:rPr>
        <w:t xml:space="preserve"> when </w:t>
      </w:r>
      <m:oMath>
        <m:r>
          <w:rPr>
            <w:rFonts w:ascii="Cambria Math" w:hAnsi="Cambria Math" w:cs="Arial"/>
            <w:sz w:val="22"/>
            <w:szCs w:val="22"/>
          </w:rPr>
          <m:t>migterm</m:t>
        </m:r>
        <m:r>
          <m:rPr>
            <m:sty m:val="p"/>
          </m:rPr>
          <w:rPr>
            <w:rFonts w:ascii="Cambria Math" w:hAnsi="Cambria Math" w:cs="Arial"/>
            <w:sz w:val="22"/>
            <w:szCs w:val="22"/>
          </w:rPr>
          <m:t>-</m:t>
        </m:r>
        <m:r>
          <w:rPr>
            <w:rFonts w:ascii="Cambria Math" w:hAnsi="Cambria Math" w:cs="Arial"/>
            <w:sz w:val="22"/>
            <w:szCs w:val="22"/>
          </w:rPr>
          <m:t>mortrat</m:t>
        </m:r>
        <m:sSub>
          <m:sSubPr>
            <m:ctrlPr>
              <w:rPr>
                <w:rFonts w:ascii="Cambria Math" w:hAnsi="Cambria Math" w:cs="Arial"/>
                <w:sz w:val="22"/>
                <w:szCs w:val="22"/>
              </w:rPr>
            </m:ctrlPr>
          </m:sSubPr>
          <m:e>
            <m:r>
              <w:rPr>
                <w:rFonts w:ascii="Cambria Math" w:hAnsi="Cambria Math" w:cs="Arial"/>
                <w:sz w:val="22"/>
                <w:szCs w:val="22"/>
              </w:rPr>
              <m:t>e</m:t>
            </m:r>
          </m:e>
          <m:sub>
            <m:r>
              <w:rPr>
                <w:rFonts w:ascii="Cambria Math" w:hAnsi="Cambria Math" w:cs="Arial"/>
                <w:sz w:val="22"/>
                <w:szCs w:val="22"/>
              </w:rPr>
              <m:t>initial</m:t>
            </m:r>
          </m:sub>
        </m:sSub>
        <m:r>
          <m:rPr>
            <m:sty m:val="p"/>
          </m:rPr>
          <w:rPr>
            <w:rFonts w:ascii="Cambria Math" w:hAnsi="Cambria Math" w:cs="Arial"/>
            <w:sz w:val="22"/>
            <w:szCs w:val="22"/>
          </w:rPr>
          <m:t>=</m:t>
        </m:r>
        <m:r>
          <w:rPr>
            <w:rFonts w:ascii="Cambria Math" w:hAnsi="Cambria Math" w:cs="Arial"/>
            <w:sz w:val="22"/>
            <w:szCs w:val="22"/>
          </w:rPr>
          <m:t>10</m:t>
        </m:r>
      </m:oMath>
      <w:r w:rsidRPr="003015D7">
        <w:rPr>
          <w:rFonts w:ascii="Arial" w:hAnsi="Arial" w:cs="Arial"/>
          <w:sz w:val="22"/>
          <w:szCs w:val="22"/>
        </w:rPr>
        <w:t>; orange) appears to affect rural counties more greatly than urban counties. This makes sense because urban counties have greater population size making them resistant to the effects of incoming migration. However, the effect of migration from healthier counties (</w:t>
      </w:r>
      <m:oMath>
        <m:r>
          <w:rPr>
            <w:rFonts w:ascii="Cambria Math" w:hAnsi="Cambria Math" w:cs="Arial"/>
            <w:sz w:val="22"/>
            <w:szCs w:val="22"/>
          </w:rPr>
          <m:t>migterm</m:t>
        </m:r>
        <m:r>
          <m:rPr>
            <m:sty m:val="p"/>
          </m:rPr>
          <w:rPr>
            <w:rFonts w:ascii="Cambria Math" w:hAnsi="Cambria Math" w:cs="Arial"/>
            <w:sz w:val="22"/>
            <w:szCs w:val="22"/>
          </w:rPr>
          <m:t>-</m:t>
        </m:r>
        <m:r>
          <w:rPr>
            <w:rFonts w:ascii="Cambria Math" w:hAnsi="Cambria Math" w:cs="Arial"/>
            <w:sz w:val="22"/>
            <w:szCs w:val="22"/>
          </w:rPr>
          <m:t>mortrat</m:t>
        </m:r>
        <m:sSub>
          <m:sSubPr>
            <m:ctrlPr>
              <w:rPr>
                <w:rFonts w:ascii="Cambria Math" w:hAnsi="Cambria Math" w:cs="Arial"/>
                <w:sz w:val="22"/>
                <w:szCs w:val="22"/>
              </w:rPr>
            </m:ctrlPr>
          </m:sSubPr>
          <m:e>
            <m:r>
              <w:rPr>
                <w:rFonts w:ascii="Cambria Math" w:hAnsi="Cambria Math" w:cs="Arial"/>
                <w:sz w:val="22"/>
                <w:szCs w:val="22"/>
              </w:rPr>
              <m:t>e</m:t>
            </m:r>
          </m:e>
          <m:sub>
            <m:r>
              <w:rPr>
                <w:rFonts w:ascii="Cambria Math" w:hAnsi="Cambria Math" w:cs="Arial"/>
                <w:sz w:val="22"/>
                <w:szCs w:val="22"/>
              </w:rPr>
              <m:t>initial</m:t>
            </m:r>
          </m:sub>
        </m:sSub>
        <m:r>
          <m:rPr>
            <m:sty m:val="p"/>
          </m:rPr>
          <w:rPr>
            <w:rFonts w:ascii="Cambria Math" w:hAnsi="Cambria Math" w:cs="Arial"/>
            <w:sz w:val="22"/>
            <w:szCs w:val="22"/>
          </w:rPr>
          <m:t>=-</m:t>
        </m:r>
        <m:r>
          <w:rPr>
            <w:rFonts w:ascii="Cambria Math" w:hAnsi="Cambria Math" w:cs="Arial"/>
            <w:sz w:val="22"/>
            <w:szCs w:val="22"/>
          </w:rPr>
          <m:t>10</m:t>
        </m:r>
      </m:oMath>
      <w:r w:rsidRPr="003015D7">
        <w:rPr>
          <w:rFonts w:ascii="Arial" w:hAnsi="Arial" w:cs="Arial"/>
          <w:sz w:val="22"/>
          <w:szCs w:val="22"/>
        </w:rPr>
        <w:t>; green) appears to be similar for rural and urban counties. We see that healthy rural counties experiencing unhealthy migration experience higher (unhealthier) predicted rates than initial rates. However, unhealthy rural counties experiencing unhealthy migration experience lower (healthier) predicted rates than initial rates. Healthy rural counties experiencing healthy migration have predicted mortality rates that are approximately constant and average (</w:t>
      </w:r>
      <w:r w:rsidR="008359DD">
        <w:rPr>
          <w:rFonts w:ascii="Arial" w:hAnsi="Arial" w:cs="Arial"/>
          <w:sz w:val="22"/>
          <w:szCs w:val="22"/>
        </w:rPr>
        <w:t xml:space="preserve">approximately </w:t>
      </w:r>
      <w:r w:rsidRPr="003015D7">
        <w:rPr>
          <w:rFonts w:ascii="Arial" w:hAnsi="Arial" w:cs="Arial"/>
          <w:sz w:val="22"/>
          <w:szCs w:val="22"/>
        </w:rPr>
        <w:t xml:space="preserve">850 deaths per 100,000 population). Meanwhile, rural counties with initial mortality rate </w:t>
      </w:r>
      <w:r w:rsidR="008359DD">
        <w:rPr>
          <w:rFonts w:ascii="Arial" w:hAnsi="Arial" w:cs="Arial"/>
          <w:sz w:val="22"/>
          <w:szCs w:val="22"/>
        </w:rPr>
        <w:t xml:space="preserve">greater than approximately </w:t>
      </w:r>
      <w:r w:rsidRPr="003015D7">
        <w:rPr>
          <w:rFonts w:ascii="Arial" w:hAnsi="Arial" w:cs="Arial"/>
          <w:sz w:val="22"/>
          <w:szCs w:val="22"/>
        </w:rPr>
        <w:t>850 deaths per 100,000 population that experience unhealthy migration have predicted mortality rates that are lower than their initial mortality rates (</w:t>
      </w:r>
      <w:r w:rsidR="003015D7" w:rsidRPr="003015D7">
        <w:rPr>
          <w:rFonts w:ascii="Arial" w:hAnsi="Arial" w:cs="Arial"/>
          <w:sz w:val="22"/>
          <w:szCs w:val="22"/>
        </w:rPr>
        <w:t>i.e.,</w:t>
      </w:r>
      <w:r w:rsidRPr="003015D7">
        <w:rPr>
          <w:rFonts w:ascii="Arial" w:hAnsi="Arial" w:cs="Arial"/>
          <w:sz w:val="22"/>
          <w:szCs w:val="22"/>
        </w:rPr>
        <w:t xml:space="preserve"> unhealthy rural counties become healthier, regardless of the health of migrants).</w:t>
      </w:r>
    </w:p>
    <w:p w14:paraId="742E1795"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u w:val="single"/>
        </w:rPr>
        <w:t>Pitfalls and Alternatives:</w:t>
      </w:r>
      <w:r w:rsidRPr="003015D7">
        <w:rPr>
          <w:rFonts w:ascii="Arial" w:hAnsi="Arial" w:cs="Arial"/>
          <w:sz w:val="22"/>
          <w:szCs w:val="22"/>
        </w:rPr>
        <w:t xml:space="preserve"> We consider several pitfalls and alternatives. First, because our migration term is essentially a weighted average of the mortality rates of origin counties, the migration term and lagged mortality rates are highly correlated, resulting in multicollinearity. Application of results must consider this shortcoming.</w:t>
      </w:r>
    </w:p>
    <w:p w14:paraId="274B9CD3"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rPr>
        <w:lastRenderedPageBreak/>
        <w:t>Second, our models do not currently account for spatial autocorrlelation, only temporal autocorrelation and migration. Since there are spatial patterns in both migration and mortality data, it is unlikely that any spatial effects can rightly be completely ignored. Future drafts of Aim 2 will include exploration of spatial autocorrelation.</w:t>
      </w:r>
    </w:p>
    <w:p w14:paraId="1ACC217F" w14:textId="2FF3B2F5"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Third, we selected our outcome of interest, county-level age-adjusted mortality, because it is comparable across years and locations. However, in 2019, the median age of all movers across the US was under 30 years old (“S0701: GEOGRAPHIC MOBILITY BY ... - Census Bureau Table,” n.d.) - therefore, the population that is migrating is unlikely to be the same population that is dying. Subsequently, trends in county-level mortality might be better explained by trends in county-level migration fifty years earlier. That said, county-level measures of mortality are commonly used as a proxy for county overall health. For instance, a 1983 report by the WHO recommending measures in mortality and morbidity to understand the relationship between health and migration (Gushulak and MacPherson 2006), and measures of length of life are allocated 50% weight in the County Health Rankings Model of place-based health outcomes (“Explore Health Rankings | Rankings Data &amp; Documentation,” n.d.). A measure of years of poptential life lost before age 75 (YPLL) captures preventable and premature deaths, making it more relevant to the migrating population than age-adjusted mortality. However, it may be less straightforward to </w:t>
      </w:r>
      <w:r w:rsidR="003015D7" w:rsidRPr="003015D7">
        <w:rPr>
          <w:rFonts w:ascii="Arial" w:hAnsi="Arial" w:cs="Arial"/>
          <w:sz w:val="22"/>
          <w:szCs w:val="22"/>
        </w:rPr>
        <w:t>interpret (</w:t>
      </w:r>
      <w:r w:rsidRPr="003015D7">
        <w:rPr>
          <w:rFonts w:ascii="Arial" w:hAnsi="Arial" w:cs="Arial"/>
          <w:sz w:val="22"/>
          <w:szCs w:val="22"/>
        </w:rPr>
        <w:t xml:space="preserve">Roubal et al. 2021). Therefore, we plan to confirm our preliminary findings using YPLL as well as age-adjusted mortality. </w:t>
      </w:r>
      <w:r w:rsidR="003015D7" w:rsidRPr="003015D7">
        <w:rPr>
          <w:rFonts w:ascii="Arial" w:hAnsi="Arial" w:cs="Arial"/>
          <w:sz w:val="22"/>
          <w:szCs w:val="22"/>
        </w:rPr>
        <w:t>Ideally,</w:t>
      </w:r>
      <w:r w:rsidRPr="003015D7">
        <w:rPr>
          <w:rFonts w:ascii="Arial" w:hAnsi="Arial" w:cs="Arial"/>
          <w:sz w:val="22"/>
          <w:szCs w:val="22"/>
        </w:rPr>
        <w:t xml:space="preserve"> we would use a more precise age-group-specific measure of mortality paired with an age-group-specific measure of migration; however, this would require a migration data source other than the IRS migration flow data which we use here. Additionally, ideally, we would confirm our findings by assessing the health of migrants themselves. This task would require individual longitudinal data. This is not currently within the scope of these aims.</w:t>
      </w:r>
    </w:p>
    <w:p w14:paraId="242DCC9F" w14:textId="39057F43"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Fourth, </w:t>
      </w:r>
      <w:r w:rsidR="00572479">
        <w:rPr>
          <w:rFonts w:ascii="Arial" w:hAnsi="Arial" w:cs="Arial"/>
          <w:sz w:val="22"/>
          <w:szCs w:val="22"/>
        </w:rPr>
        <w:t>since our</w:t>
      </w:r>
      <w:r w:rsidR="00CC498A">
        <w:rPr>
          <w:rFonts w:ascii="Arial" w:hAnsi="Arial" w:cs="Arial"/>
          <w:sz w:val="22"/>
          <w:szCs w:val="22"/>
        </w:rPr>
        <w:t xml:space="preserve"> </w:t>
      </w:r>
      <w:r w:rsidR="00CC498A" w:rsidRPr="00572479">
        <w:rPr>
          <w:rFonts w:ascii="Arial" w:hAnsi="Arial" w:cs="Arial"/>
          <w:i/>
          <w:iCs/>
          <w:sz w:val="22"/>
          <w:szCs w:val="22"/>
        </w:rPr>
        <w:t>migration term</w:t>
      </w:r>
      <w:r w:rsidR="00CC498A">
        <w:rPr>
          <w:rFonts w:ascii="Arial" w:hAnsi="Arial" w:cs="Arial"/>
          <w:sz w:val="22"/>
          <w:szCs w:val="22"/>
        </w:rPr>
        <w:t xml:space="preserve"> does not account for net migration</w:t>
      </w:r>
      <w:r w:rsidR="00572479">
        <w:rPr>
          <w:rFonts w:ascii="Arial" w:hAnsi="Arial" w:cs="Arial"/>
          <w:sz w:val="22"/>
          <w:szCs w:val="22"/>
        </w:rPr>
        <w:t xml:space="preserve">, we consider exploration of a secondary </w:t>
      </w:r>
      <w:r w:rsidRPr="003015D7">
        <w:rPr>
          <w:rFonts w:ascii="Arial" w:hAnsi="Arial" w:cs="Arial"/>
          <w:sz w:val="22"/>
          <w:szCs w:val="22"/>
        </w:rPr>
        <w:t xml:space="preserve">“net migration” </w:t>
      </w:r>
      <w:r w:rsidR="00572479" w:rsidRPr="003015D7">
        <w:rPr>
          <w:rFonts w:ascii="Arial" w:hAnsi="Arial" w:cs="Arial"/>
          <w:sz w:val="22"/>
          <w:szCs w:val="22"/>
        </w:rPr>
        <w:t xml:space="preserve">term </w:t>
      </w:r>
      <w:r w:rsidR="00572479">
        <w:rPr>
          <w:rFonts w:ascii="Arial" w:hAnsi="Arial" w:cs="Arial"/>
          <w:sz w:val="22"/>
          <w:szCs w:val="22"/>
        </w:rPr>
        <w:t xml:space="preserve">– </w:t>
      </w:r>
      <w:r w:rsidRPr="003015D7">
        <w:rPr>
          <w:rFonts w:ascii="Arial" w:hAnsi="Arial" w:cs="Arial"/>
          <w:sz w:val="22"/>
          <w:szCs w:val="22"/>
        </w:rPr>
        <w:t>essentially the sum of the total number of years between 2011 and 2019 that a county experienced positive net migration minus the total number of years that a county experienced negative net migration such that the maximum of this variable is 8 while the minimum is -8. We could include net migration in our autogressive models as a categorical variable since we believe that the ordinal relationship between each potential net migration value is less meaningful than the value itself.</w:t>
      </w:r>
    </w:p>
    <w:p w14:paraId="0C0FAE2E" w14:textId="11A47741"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One final limitation of IRS data (which we are attempting to leverage as a strength in our analyses) is that households that do not file tax returns cannot be included in migration estimates. Therefore, university students, low-income households, and workers who receive informal wages are systematically missing from IRS migration </w:t>
      </w:r>
      <w:r w:rsidR="003015D7" w:rsidRPr="003015D7">
        <w:rPr>
          <w:rFonts w:ascii="Arial" w:hAnsi="Arial" w:cs="Arial"/>
          <w:sz w:val="22"/>
          <w:szCs w:val="22"/>
        </w:rPr>
        <w:t>estimates (</w:t>
      </w:r>
      <w:proofErr w:type="spellStart"/>
      <w:r w:rsidRPr="003015D7">
        <w:rPr>
          <w:rFonts w:ascii="Arial" w:hAnsi="Arial" w:cs="Arial"/>
          <w:sz w:val="22"/>
          <w:szCs w:val="22"/>
        </w:rPr>
        <w:t>DeWaard</w:t>
      </w:r>
      <w:proofErr w:type="spellEnd"/>
      <w:r w:rsidRPr="003015D7">
        <w:rPr>
          <w:rFonts w:ascii="Arial" w:hAnsi="Arial" w:cs="Arial"/>
          <w:sz w:val="22"/>
          <w:szCs w:val="22"/>
        </w:rPr>
        <w:t xml:space="preserve"> et al. 2022). These individuals may be more likely to be included in ACS and Census estimates (Bureau, n.d.b) (which we use in Aim 3) though no population estimate is perfect. Because IRS county-to-county migration data includes only individuals who file taxes with the US government both before and after they migrate, we assume that individuals represented in the IRS migration flows data are less likely to be pushed to migrate by potentially health-related factors such as violence, famine, and corruption than individuals who migrate but are excluded from the IRS data. Therefore, any differences in changes in health between counties may be the result of self-selection by IRS-represented migrants or health-related selection by nonIRS-represented migrants. Despite these limitations, IRS migration data has been used many times in the past to complete complex and accurate analyses of US migration patterns. For instance, IRS migration flow data has been used to estimate the effects of sea-level rise on geographic distribution of the US </w:t>
      </w:r>
      <w:r w:rsidR="003015D7" w:rsidRPr="003015D7">
        <w:rPr>
          <w:rFonts w:ascii="Arial" w:hAnsi="Arial" w:cs="Arial"/>
          <w:sz w:val="22"/>
          <w:szCs w:val="22"/>
        </w:rPr>
        <w:t>population (</w:t>
      </w:r>
      <w:r w:rsidRPr="003015D7">
        <w:rPr>
          <w:rFonts w:ascii="Arial" w:hAnsi="Arial" w:cs="Arial"/>
          <w:sz w:val="22"/>
          <w:szCs w:val="22"/>
        </w:rPr>
        <w:t xml:space="preserve">Hauer 2017), measure recovery after Hurricanes Katrina and </w:t>
      </w:r>
      <w:r w:rsidR="003015D7" w:rsidRPr="003015D7">
        <w:rPr>
          <w:rFonts w:ascii="Arial" w:hAnsi="Arial" w:cs="Arial"/>
          <w:sz w:val="22"/>
          <w:szCs w:val="22"/>
        </w:rPr>
        <w:t>Rita (</w:t>
      </w:r>
      <w:r w:rsidRPr="003015D7">
        <w:rPr>
          <w:rFonts w:ascii="Arial" w:hAnsi="Arial" w:cs="Arial"/>
          <w:sz w:val="22"/>
          <w:szCs w:val="22"/>
        </w:rPr>
        <w:t xml:space="preserve">Curtis, </w:t>
      </w:r>
      <w:proofErr w:type="spellStart"/>
      <w:r w:rsidRPr="003015D7">
        <w:rPr>
          <w:rFonts w:ascii="Arial" w:hAnsi="Arial" w:cs="Arial"/>
          <w:sz w:val="22"/>
          <w:szCs w:val="22"/>
        </w:rPr>
        <w:t>Fussell</w:t>
      </w:r>
      <w:proofErr w:type="spellEnd"/>
      <w:r w:rsidRPr="003015D7">
        <w:rPr>
          <w:rFonts w:ascii="Arial" w:hAnsi="Arial" w:cs="Arial"/>
          <w:sz w:val="22"/>
          <w:szCs w:val="22"/>
        </w:rPr>
        <w:t xml:space="preserve">, and </w:t>
      </w:r>
      <w:proofErr w:type="spellStart"/>
      <w:r w:rsidRPr="003015D7">
        <w:rPr>
          <w:rFonts w:ascii="Arial" w:hAnsi="Arial" w:cs="Arial"/>
          <w:sz w:val="22"/>
          <w:szCs w:val="22"/>
        </w:rPr>
        <w:t>DeWaard</w:t>
      </w:r>
      <w:proofErr w:type="spellEnd"/>
      <w:r w:rsidRPr="003015D7">
        <w:rPr>
          <w:rFonts w:ascii="Arial" w:hAnsi="Arial" w:cs="Arial"/>
          <w:sz w:val="22"/>
          <w:szCs w:val="22"/>
        </w:rPr>
        <w:t xml:space="preserve"> 2015), and assess the economic impacts of migration resulting from environmental hazards (Shumway, Otterstrom, and Glavac 2014).</w:t>
      </w:r>
    </w:p>
    <w:p w14:paraId="5099D9F3" w14:textId="77777777" w:rsidR="00792322" w:rsidRPr="003015D7" w:rsidRDefault="00000000" w:rsidP="003015D7">
      <w:pPr>
        <w:rPr>
          <w:rFonts w:ascii="Arial" w:hAnsi="Arial" w:cs="Arial"/>
          <w:sz w:val="22"/>
          <w:szCs w:val="22"/>
        </w:rPr>
      </w:pPr>
      <w:r>
        <w:rPr>
          <w:rFonts w:ascii="Arial" w:hAnsi="Arial" w:cs="Arial"/>
          <w:sz w:val="22"/>
          <w:szCs w:val="22"/>
        </w:rPr>
        <w:pict w14:anchorId="0706F04B">
          <v:rect id="_x0000_i1026" style="width:0;height:1.5pt" o:hralign="center" o:hrstd="t" o:hr="t"/>
        </w:pict>
      </w:r>
    </w:p>
    <w:p w14:paraId="394B24CE" w14:textId="2507FCFF" w:rsidR="00792322" w:rsidRPr="003015D7" w:rsidRDefault="00000000" w:rsidP="003015D7">
      <w:pPr>
        <w:pStyle w:val="FirstParagraph"/>
        <w:rPr>
          <w:rFonts w:ascii="Arial" w:hAnsi="Arial" w:cs="Arial"/>
          <w:sz w:val="22"/>
          <w:szCs w:val="22"/>
        </w:rPr>
      </w:pPr>
      <w:r w:rsidRPr="003015D7">
        <w:rPr>
          <w:rFonts w:ascii="Arial" w:hAnsi="Arial" w:cs="Arial"/>
          <w:b/>
          <w:bCs/>
          <w:sz w:val="22"/>
          <w:szCs w:val="22"/>
          <w:u w:val="single"/>
        </w:rPr>
        <w:t>Aim 3:</w:t>
      </w:r>
      <w:r w:rsidRPr="003015D7">
        <w:rPr>
          <w:rFonts w:ascii="Arial" w:hAnsi="Arial" w:cs="Arial"/>
          <w:sz w:val="22"/>
          <w:szCs w:val="22"/>
          <w:u w:val="single"/>
        </w:rPr>
        <w:t xml:space="preserve"> Identify counties, time periods, and education groups that experience anomalous county-to-county migration patterns.</w:t>
      </w:r>
      <w:r w:rsidRPr="003015D7">
        <w:rPr>
          <w:rFonts w:ascii="Arial" w:hAnsi="Arial" w:cs="Arial"/>
          <w:sz w:val="22"/>
          <w:szCs w:val="22"/>
        </w:rPr>
        <w:t xml:space="preserve"> </w:t>
      </w:r>
      <w:r w:rsidRPr="003015D7">
        <w:rPr>
          <w:rFonts w:ascii="Arial" w:hAnsi="Arial" w:cs="Arial"/>
          <w:b/>
          <w:bCs/>
          <w:sz w:val="22"/>
          <w:szCs w:val="22"/>
        </w:rPr>
        <w:t>Hypothesis 3A:</w:t>
      </w:r>
      <w:r w:rsidRPr="003015D7">
        <w:rPr>
          <w:rFonts w:ascii="Arial" w:hAnsi="Arial" w:cs="Arial"/>
          <w:sz w:val="22"/>
          <w:szCs w:val="22"/>
        </w:rPr>
        <w:t xml:space="preserve"> The components of our tensor of population mobility </w:t>
      </w:r>
      <w:r w:rsidR="006410AB">
        <w:rPr>
          <w:rFonts w:ascii="Arial" w:hAnsi="Arial" w:cs="Arial"/>
          <w:sz w:val="22"/>
          <w:szCs w:val="22"/>
        </w:rPr>
        <w:t xml:space="preserve">with the highest Gini coefficients </w:t>
      </w:r>
      <w:r w:rsidRPr="003015D7">
        <w:rPr>
          <w:rFonts w:ascii="Arial" w:hAnsi="Arial" w:cs="Arial"/>
          <w:sz w:val="22"/>
          <w:szCs w:val="22"/>
        </w:rPr>
        <w:t>(</w:t>
      </w:r>
      <w:r w:rsidR="008145C3" w:rsidRPr="003015D7">
        <w:rPr>
          <w:rFonts w:ascii="Arial" w:hAnsi="Arial" w:cs="Arial"/>
          <w:sz w:val="22"/>
          <w:szCs w:val="22"/>
        </w:rPr>
        <w:t>i.e.,</w:t>
      </w:r>
      <w:r w:rsidRPr="003015D7">
        <w:rPr>
          <w:rFonts w:ascii="Arial" w:hAnsi="Arial" w:cs="Arial"/>
          <w:sz w:val="22"/>
          <w:szCs w:val="22"/>
        </w:rPr>
        <w:t xml:space="preserve"> components that are not part of the core migration system) will be among migrants with less than high school education. </w:t>
      </w:r>
      <w:r w:rsidRPr="003015D7">
        <w:rPr>
          <w:rFonts w:ascii="Arial" w:hAnsi="Arial" w:cs="Arial"/>
          <w:b/>
          <w:bCs/>
          <w:sz w:val="22"/>
          <w:szCs w:val="22"/>
        </w:rPr>
        <w:t>Hypothesis 3B:</w:t>
      </w:r>
      <w:r w:rsidRPr="003015D7">
        <w:rPr>
          <w:rFonts w:ascii="Arial" w:hAnsi="Arial" w:cs="Arial"/>
          <w:sz w:val="22"/>
          <w:szCs w:val="22"/>
        </w:rPr>
        <w:t xml:space="preserve"> The average health of counties not in the core migration system is significantly different from the average health of counties in the core migration system. (Data manipulation and analysis for this aim has not yet been started. We plan to preregister our study plan with OSF before we begin our analyses.)</w:t>
      </w:r>
    </w:p>
    <w:p w14:paraId="12CFD166" w14:textId="5B179262" w:rsidR="00792322" w:rsidRPr="003015D7" w:rsidRDefault="00000000" w:rsidP="003015D7">
      <w:pPr>
        <w:pStyle w:val="BodyText"/>
        <w:rPr>
          <w:rFonts w:ascii="Arial" w:hAnsi="Arial" w:cs="Arial"/>
          <w:sz w:val="22"/>
          <w:szCs w:val="22"/>
        </w:rPr>
      </w:pPr>
      <w:r w:rsidRPr="003015D7">
        <w:rPr>
          <w:rFonts w:ascii="Arial" w:hAnsi="Arial" w:cs="Arial"/>
          <w:sz w:val="22"/>
          <w:szCs w:val="22"/>
          <w:u w:val="single"/>
        </w:rPr>
        <w:lastRenderedPageBreak/>
        <w:t>Data:</w:t>
      </w:r>
      <w:r w:rsidRPr="003015D7">
        <w:rPr>
          <w:rFonts w:ascii="Arial" w:hAnsi="Arial" w:cs="Arial"/>
          <w:sz w:val="22"/>
          <w:szCs w:val="22"/>
        </w:rPr>
        <w:t xml:space="preserve"> We will use county-level five-year estimates of migration data available publicly through the American Community Survey (ACS) to construct our tensor. ACS five-year estimates are released annually and represent 60 months of data collection from January 1 of the first year to December 31 of the fifth year. We will use five-year ACS estimates since single-year estimates of migration do not include sociodemographic characteristics and since </w:t>
      </w:r>
      <w:r w:rsidR="008145C3" w:rsidRPr="003015D7">
        <w:rPr>
          <w:rFonts w:ascii="Arial" w:hAnsi="Arial" w:cs="Arial"/>
          <w:sz w:val="22"/>
          <w:szCs w:val="22"/>
        </w:rPr>
        <w:t>five-year</w:t>
      </w:r>
      <w:r w:rsidRPr="003015D7">
        <w:rPr>
          <w:rFonts w:ascii="Arial" w:hAnsi="Arial" w:cs="Arial"/>
          <w:sz w:val="22"/>
          <w:szCs w:val="22"/>
        </w:rPr>
        <w:t xml:space="preserve"> estimates are considered the most reliable for all counties (Bureau, n.d.c). Due to concerns about nonresponse bias during the COVID-19 pandemic (Bureau, n.d.a), we will exclude ACS estimates which include data after 2019. Therefore, we will use ACS 5-year estimates for 2008-2012 through 2015-2019, for a total of eight periods of migration. This is consistent with the years of data we use in Aim 2. Though the ACS 5-year geographic mobility estimates do not include origin-destination pairs, ACS does publish information on the origin of migration and whether individuals moved within the same county, moved within the same state, moved across states, or moved from abroad. We refer to this as “migration type”. To assess the sociodemographic aspects of population mobility, we focus on educational attainment. The ACS 5-year datatables include estimates of population mobility for five educational attainment subgroups of the 25 years and older population. These five subgroups include: less than high school graduate, high school graduate (including equivalency), some college or </w:t>
      </w:r>
      <w:r w:rsidR="008145C3" w:rsidRPr="003015D7">
        <w:rPr>
          <w:rFonts w:ascii="Arial" w:hAnsi="Arial" w:cs="Arial"/>
          <w:sz w:val="22"/>
          <w:szCs w:val="22"/>
        </w:rPr>
        <w:t>associate</w:t>
      </w:r>
      <w:r w:rsidRPr="003015D7">
        <w:rPr>
          <w:rFonts w:ascii="Arial" w:hAnsi="Arial" w:cs="Arial"/>
          <w:sz w:val="22"/>
          <w:szCs w:val="22"/>
        </w:rPr>
        <w:t xml:space="preserve"> degree, bachelor’s degree, and graduate or professional degree. Since educational attainment subgroup data represents only the 25 years and older population, we will include only the 25 years and older population for all dimensions of population mobility included in our model (origin, </w:t>
      </w:r>
      <w:proofErr w:type="gramStart"/>
      <w:r w:rsidRPr="003015D7">
        <w:rPr>
          <w:rFonts w:ascii="Arial" w:hAnsi="Arial" w:cs="Arial"/>
          <w:sz w:val="22"/>
          <w:szCs w:val="22"/>
        </w:rPr>
        <w:t>time period</w:t>
      </w:r>
      <w:proofErr w:type="gramEnd"/>
      <w:r w:rsidRPr="003015D7">
        <w:rPr>
          <w:rFonts w:ascii="Arial" w:hAnsi="Arial" w:cs="Arial"/>
          <w:sz w:val="22"/>
          <w:szCs w:val="22"/>
        </w:rPr>
        <w:t>, migration type, and educational attainment).</w:t>
      </w:r>
    </w:p>
    <w:p w14:paraId="49A0F25F" w14:textId="3FDFB546" w:rsidR="00792322" w:rsidRPr="003015D7" w:rsidRDefault="00000000" w:rsidP="003015D7">
      <w:pPr>
        <w:pStyle w:val="BodyText"/>
        <w:rPr>
          <w:rFonts w:ascii="Arial" w:hAnsi="Arial" w:cs="Arial"/>
          <w:sz w:val="22"/>
          <w:szCs w:val="22"/>
        </w:rPr>
      </w:pPr>
      <w:r w:rsidRPr="003015D7">
        <w:rPr>
          <w:rFonts w:ascii="Arial" w:hAnsi="Arial" w:cs="Arial"/>
          <w:sz w:val="22"/>
          <w:szCs w:val="22"/>
          <w:u w:val="single"/>
        </w:rPr>
        <w:t>Approach:</w:t>
      </w:r>
      <w:r w:rsidRPr="003015D7">
        <w:rPr>
          <w:rFonts w:ascii="Arial" w:hAnsi="Arial" w:cs="Arial"/>
          <w:sz w:val="22"/>
          <w:szCs w:val="22"/>
        </w:rPr>
        <w:t xml:space="preserve"> We will model county-level migration patterns using an extension of the novel method, </w:t>
      </w:r>
      <w:proofErr w:type="spellStart"/>
      <w:r w:rsidRPr="003015D7">
        <w:rPr>
          <w:rFonts w:ascii="Arial" w:hAnsi="Arial" w:cs="Arial"/>
          <w:sz w:val="22"/>
          <w:szCs w:val="22"/>
        </w:rPr>
        <w:t>spatio</w:t>
      </w:r>
      <w:proofErr w:type="spellEnd"/>
      <w:r w:rsidRPr="003015D7">
        <w:rPr>
          <w:rFonts w:ascii="Arial" w:hAnsi="Arial" w:cs="Arial"/>
          <w:sz w:val="22"/>
          <w:szCs w:val="22"/>
        </w:rPr>
        <w:t>-temporal tensor co-</w:t>
      </w:r>
      <w:r w:rsidR="008145C3" w:rsidRPr="003015D7">
        <w:rPr>
          <w:rFonts w:ascii="Arial" w:hAnsi="Arial" w:cs="Arial"/>
          <w:sz w:val="22"/>
          <w:szCs w:val="22"/>
        </w:rPr>
        <w:t>clustering (</w:t>
      </w:r>
      <w:proofErr w:type="spellStart"/>
      <w:r w:rsidRPr="003015D7">
        <w:rPr>
          <w:rFonts w:ascii="Arial" w:hAnsi="Arial" w:cs="Arial"/>
          <w:sz w:val="22"/>
          <w:szCs w:val="22"/>
        </w:rPr>
        <w:t>Almquist</w:t>
      </w:r>
      <w:proofErr w:type="spellEnd"/>
      <w:r w:rsidRPr="003015D7">
        <w:rPr>
          <w:rFonts w:ascii="Arial" w:hAnsi="Arial" w:cs="Arial"/>
          <w:sz w:val="22"/>
          <w:szCs w:val="22"/>
        </w:rPr>
        <w:t xml:space="preserve"> et al. 2021). A tensor can be thought of as an extension of a matrix, where a one-way tensor is a vector, a two-way tensor is a matrix, a three-way tensor is a cube, and a 4-way tensor is a hyper-</w:t>
      </w:r>
      <w:r w:rsidR="008145C3" w:rsidRPr="003015D7">
        <w:rPr>
          <w:rFonts w:ascii="Arial" w:hAnsi="Arial" w:cs="Arial"/>
          <w:sz w:val="22"/>
          <w:szCs w:val="22"/>
        </w:rPr>
        <w:t>rectangle (</w:t>
      </w:r>
      <w:r w:rsidRPr="003015D7">
        <w:rPr>
          <w:rFonts w:ascii="Arial" w:hAnsi="Arial" w:cs="Arial"/>
          <w:sz w:val="22"/>
          <w:szCs w:val="22"/>
        </w:rPr>
        <w:t xml:space="preserve">Blog, n.d.). Our tensor will have the following dimensions: origin county, </w:t>
      </w:r>
      <w:proofErr w:type="gramStart"/>
      <w:r w:rsidRPr="003015D7">
        <w:rPr>
          <w:rFonts w:ascii="Arial" w:hAnsi="Arial" w:cs="Arial"/>
          <w:sz w:val="22"/>
          <w:szCs w:val="22"/>
        </w:rPr>
        <w:t>time period</w:t>
      </w:r>
      <w:proofErr w:type="gramEnd"/>
      <w:r w:rsidRPr="003015D7">
        <w:rPr>
          <w:rFonts w:ascii="Arial" w:hAnsi="Arial" w:cs="Arial"/>
          <w:sz w:val="22"/>
          <w:szCs w:val="22"/>
        </w:rPr>
        <w:t xml:space="preserve">, type of migration, and educational attainment group. For example, a single entry of our four-way tensor </w:t>
      </w:r>
      <m:oMath>
        <m:r>
          <w:rPr>
            <w:rFonts w:ascii="Cambria Math" w:hAnsi="Cambria Math" w:cs="Arial"/>
            <w:sz w:val="22"/>
            <w:szCs w:val="22"/>
          </w:rPr>
          <m:t>X</m:t>
        </m:r>
      </m:oMath>
      <w:r w:rsidRPr="003015D7">
        <w:rPr>
          <w:rFonts w:ascii="Arial" w:hAnsi="Arial" w:cs="Arial"/>
          <w:sz w:val="22"/>
          <w:szCs w:val="22"/>
        </w:rPr>
        <w:t xml:space="preserve"> can be represented as </w:t>
      </w:r>
      <m:oMath>
        <m:r>
          <w:rPr>
            <w:rFonts w:ascii="Cambria Math" w:hAnsi="Cambria Math" w:cs="Arial"/>
            <w:sz w:val="22"/>
            <w:szCs w:val="22"/>
          </w:rPr>
          <m:t>X</m:t>
        </m:r>
        <m:d>
          <m:dPr>
            <m:ctrlPr>
              <w:rPr>
                <w:rFonts w:ascii="Cambria Math" w:hAnsi="Cambria Math" w:cs="Arial"/>
                <w:sz w:val="22"/>
                <w:szCs w:val="22"/>
              </w:rPr>
            </m:ctrlPr>
          </m:dPr>
          <m:e>
            <m:sSub>
              <m:sSubPr>
                <m:ctrlPr>
                  <w:rPr>
                    <w:rFonts w:ascii="Cambria Math" w:hAnsi="Cambria Math" w:cs="Arial"/>
                    <w:sz w:val="22"/>
                    <w:szCs w:val="22"/>
                  </w:rPr>
                </m:ctrlPr>
              </m:sSubPr>
              <m:e>
                <m:r>
                  <w:rPr>
                    <w:rFonts w:ascii="Cambria Math" w:hAnsi="Cambria Math" w:cs="Arial"/>
                    <w:sz w:val="22"/>
                    <w:szCs w:val="22"/>
                  </w:rPr>
                  <m:t>a</m:t>
                </m:r>
              </m:e>
              <m:sub>
                <m:r>
                  <w:rPr>
                    <w:rFonts w:ascii="Cambria Math" w:hAnsi="Cambria Math" w:cs="Arial"/>
                    <w:sz w:val="22"/>
                    <w:szCs w:val="22"/>
                  </w:rPr>
                  <m:t>i</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b</m:t>
                </m:r>
              </m:e>
              <m:sub>
                <m:r>
                  <w:rPr>
                    <w:rFonts w:ascii="Cambria Math" w:hAnsi="Cambria Math" w:cs="Arial"/>
                    <w:sz w:val="22"/>
                    <w:szCs w:val="22"/>
                  </w:rPr>
                  <m:t>j</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k</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n</m:t>
                </m:r>
              </m:sub>
            </m:sSub>
          </m:e>
        </m:d>
      </m:oMath>
      <w:r w:rsidRPr="003015D7">
        <w:rPr>
          <w:rFonts w:ascii="Arial" w:hAnsi="Arial" w:cs="Arial"/>
          <w:sz w:val="22"/>
          <w:szCs w:val="22"/>
        </w:rPr>
        <w:t xml:space="preserve">: the number of migrants from origin </w:t>
      </w:r>
      <m:oMath>
        <m:r>
          <w:rPr>
            <w:rFonts w:ascii="Cambria Math" w:hAnsi="Cambria Math" w:cs="Arial"/>
            <w:sz w:val="22"/>
            <w:szCs w:val="22"/>
          </w:rPr>
          <m:t>i</m:t>
        </m:r>
      </m:oMath>
      <w:r w:rsidRPr="003015D7">
        <w:rPr>
          <w:rFonts w:ascii="Arial" w:hAnsi="Arial" w:cs="Arial"/>
          <w:sz w:val="22"/>
          <w:szCs w:val="22"/>
        </w:rPr>
        <w:t xml:space="preserve"> in period </w:t>
      </w:r>
      <m:oMath>
        <m:r>
          <w:rPr>
            <w:rFonts w:ascii="Cambria Math" w:hAnsi="Cambria Math" w:cs="Arial"/>
            <w:sz w:val="22"/>
            <w:szCs w:val="22"/>
          </w:rPr>
          <m:t>j</m:t>
        </m:r>
      </m:oMath>
      <w:r w:rsidRPr="003015D7">
        <w:rPr>
          <w:rFonts w:ascii="Arial" w:hAnsi="Arial" w:cs="Arial"/>
          <w:sz w:val="22"/>
          <w:szCs w:val="22"/>
        </w:rPr>
        <w:t xml:space="preserve"> doing migration type </w:t>
      </w:r>
      <m:oMath>
        <m:r>
          <w:rPr>
            <w:rFonts w:ascii="Cambria Math" w:hAnsi="Cambria Math" w:cs="Arial"/>
            <w:sz w:val="22"/>
            <w:szCs w:val="22"/>
          </w:rPr>
          <m:t>k</m:t>
        </m:r>
      </m:oMath>
      <w:r w:rsidRPr="003015D7">
        <w:rPr>
          <w:rFonts w:ascii="Arial" w:hAnsi="Arial" w:cs="Arial"/>
          <w:sz w:val="22"/>
          <w:szCs w:val="22"/>
        </w:rPr>
        <w:t xml:space="preserve"> belonging to educational attainment group </w:t>
      </w:r>
      <m:oMath>
        <m:r>
          <w:rPr>
            <w:rFonts w:ascii="Cambria Math" w:hAnsi="Cambria Math" w:cs="Arial"/>
            <w:sz w:val="22"/>
            <w:szCs w:val="22"/>
          </w:rPr>
          <m:t>n</m:t>
        </m:r>
      </m:oMath>
      <w:r w:rsidRPr="003015D7">
        <w:rPr>
          <w:rFonts w:ascii="Arial" w:hAnsi="Arial" w:cs="Arial"/>
          <w:sz w:val="22"/>
          <w:szCs w:val="22"/>
        </w:rPr>
        <w:t xml:space="preserve">. Our four-way tensor </w:t>
      </w:r>
      <m:oMath>
        <m:r>
          <w:rPr>
            <w:rFonts w:ascii="Cambria Math" w:hAnsi="Cambria Math" w:cs="Arial"/>
            <w:sz w:val="22"/>
            <w:szCs w:val="22"/>
          </w:rPr>
          <m:t>X</m:t>
        </m:r>
      </m:oMath>
      <w:r w:rsidRPr="003015D7">
        <w:rPr>
          <w:rFonts w:ascii="Arial" w:hAnsi="Arial" w:cs="Arial"/>
          <w:sz w:val="22"/>
          <w:szCs w:val="22"/>
        </w:rPr>
        <w:t xml:space="preserve"> can be further described as:</w:t>
      </w:r>
    </w:p>
    <w:p w14:paraId="3E7F08D1" w14:textId="77777777" w:rsidR="00792322" w:rsidRPr="003015D7" w:rsidRDefault="00000000" w:rsidP="003015D7">
      <w:pPr>
        <w:pStyle w:val="BodyText"/>
        <w:rPr>
          <w:rFonts w:ascii="Arial" w:hAnsi="Arial" w:cs="Arial"/>
          <w:sz w:val="22"/>
          <w:szCs w:val="22"/>
        </w:rPr>
      </w:pPr>
      <m:oMathPara>
        <m:oMathParaPr>
          <m:jc m:val="center"/>
        </m:oMathParaPr>
        <m:oMath>
          <m:r>
            <w:rPr>
              <w:rFonts w:ascii="Cambria Math" w:hAnsi="Cambria Math" w:cs="Arial"/>
              <w:sz w:val="22"/>
              <w:szCs w:val="22"/>
            </w:rPr>
            <m:t>X</m:t>
          </m:r>
          <m:r>
            <m:rPr>
              <m:sty m:val="p"/>
            </m:rPr>
            <w:rPr>
              <w:rFonts w:ascii="Cambria Math" w:hAnsi="Cambria Math" w:cs="Arial"/>
              <w:sz w:val="22"/>
              <w:szCs w:val="22"/>
            </w:rPr>
            <m:t>≈</m:t>
          </m:r>
          <m:nary>
            <m:naryPr>
              <m:chr m:val="∑"/>
              <m:limLoc m:val="undOvr"/>
              <m:ctrlPr>
                <w:rPr>
                  <w:rFonts w:ascii="Cambria Math" w:hAnsi="Cambria Math" w:cs="Arial"/>
                  <w:sz w:val="22"/>
                  <w:szCs w:val="22"/>
                </w:rPr>
              </m:ctrlPr>
            </m:naryPr>
            <m:sub>
              <m:r>
                <w:rPr>
                  <w:rFonts w:ascii="Cambria Math" w:hAnsi="Cambria Math" w:cs="Arial"/>
                  <w:sz w:val="22"/>
                  <w:szCs w:val="22"/>
                </w:rPr>
                <m:t>f</m:t>
              </m:r>
              <m:r>
                <m:rPr>
                  <m:sty m:val="p"/>
                </m:rPr>
                <w:rPr>
                  <w:rFonts w:ascii="Cambria Math" w:hAnsi="Cambria Math" w:cs="Arial"/>
                  <w:sz w:val="22"/>
                  <w:szCs w:val="22"/>
                </w:rPr>
                <m:t>=</m:t>
              </m:r>
              <m:r>
                <w:rPr>
                  <w:rFonts w:ascii="Cambria Math" w:hAnsi="Cambria Math" w:cs="Arial"/>
                  <w:sz w:val="22"/>
                  <w:szCs w:val="22"/>
                </w:rPr>
                <m:t>1</m:t>
              </m:r>
            </m:sub>
            <m:sup>
              <m:r>
                <w:rPr>
                  <w:rFonts w:ascii="Cambria Math" w:hAnsi="Cambria Math" w:cs="Arial"/>
                  <w:sz w:val="22"/>
                  <w:szCs w:val="22"/>
                </w:rPr>
                <m:t>F</m:t>
              </m:r>
            </m:sup>
            <m:e>
              <m:sSub>
                <m:sSubPr>
                  <m:ctrlPr>
                    <w:rPr>
                      <w:rFonts w:ascii="Cambria Math" w:hAnsi="Cambria Math" w:cs="Arial"/>
                      <w:sz w:val="22"/>
                      <w:szCs w:val="22"/>
                    </w:rPr>
                  </m:ctrlPr>
                </m:sSubPr>
                <m:e>
                  <m:r>
                    <w:rPr>
                      <w:rFonts w:ascii="Cambria Math" w:hAnsi="Cambria Math" w:cs="Arial"/>
                      <w:sz w:val="22"/>
                      <w:szCs w:val="22"/>
                    </w:rPr>
                    <m:t>a</m:t>
                  </m:r>
                </m:e>
                <m:sub>
                  <m:r>
                    <w:rPr>
                      <w:rFonts w:ascii="Cambria Math" w:hAnsi="Cambria Math" w:cs="Arial"/>
                      <w:sz w:val="22"/>
                      <w:szCs w:val="22"/>
                    </w:rPr>
                    <m:t>f</m:t>
                  </m:r>
                </m:sub>
              </m:sSub>
            </m:e>
          </m:nary>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b</m:t>
              </m:r>
            </m:e>
            <m:sub>
              <m:r>
                <w:rPr>
                  <w:rFonts w:ascii="Cambria Math" w:hAnsi="Cambria Math" w:cs="Arial"/>
                  <w:sz w:val="22"/>
                  <w:szCs w:val="22"/>
                </w:rPr>
                <m:t>f</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f</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f</m:t>
              </m:r>
            </m:sub>
          </m:sSub>
        </m:oMath>
      </m:oMathPara>
    </w:p>
    <w:p w14:paraId="2A821FC1" w14:textId="2035C1B3" w:rsidR="00792322" w:rsidRPr="003015D7" w:rsidRDefault="00000000" w:rsidP="003015D7">
      <w:pPr>
        <w:pStyle w:val="FirstParagraph"/>
        <w:rPr>
          <w:rFonts w:ascii="Arial" w:hAnsi="Arial" w:cs="Arial"/>
          <w:sz w:val="22"/>
          <w:szCs w:val="22"/>
        </w:rPr>
      </w:pPr>
      <w:r w:rsidRPr="003015D7">
        <w:rPr>
          <w:rFonts w:ascii="Arial" w:hAnsi="Arial" w:cs="Arial"/>
          <w:sz w:val="22"/>
          <w:szCs w:val="22"/>
        </w:rPr>
        <w:t xml:space="preserve">where </w:t>
      </w:r>
      <m:oMath>
        <m:sSub>
          <m:sSubPr>
            <m:ctrlPr>
              <w:rPr>
                <w:rFonts w:ascii="Cambria Math" w:hAnsi="Cambria Math" w:cs="Arial"/>
                <w:sz w:val="22"/>
                <w:szCs w:val="22"/>
              </w:rPr>
            </m:ctrlPr>
          </m:sSubPr>
          <m:e>
            <m:r>
              <w:rPr>
                <w:rFonts w:ascii="Cambria Math" w:hAnsi="Cambria Math" w:cs="Arial"/>
                <w:sz w:val="22"/>
                <w:szCs w:val="22"/>
              </w:rPr>
              <m:t>a</m:t>
            </m:r>
          </m:e>
          <m:sub>
            <m:r>
              <w:rPr>
                <w:rFonts w:ascii="Cambria Math" w:hAnsi="Cambria Math" w:cs="Arial"/>
                <w:sz w:val="22"/>
                <w:szCs w:val="22"/>
              </w:rPr>
              <m:t>f</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b</m:t>
            </m:r>
          </m:e>
          <m:sub>
            <m:r>
              <w:rPr>
                <w:rFonts w:ascii="Cambria Math" w:hAnsi="Cambria Math" w:cs="Arial"/>
                <w:sz w:val="22"/>
                <w:szCs w:val="22"/>
              </w:rPr>
              <m:t>f</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c</m:t>
            </m:r>
          </m:e>
          <m:sub>
            <m:r>
              <w:rPr>
                <w:rFonts w:ascii="Cambria Math" w:hAnsi="Cambria Math" w:cs="Arial"/>
                <w:sz w:val="22"/>
                <w:szCs w:val="22"/>
              </w:rPr>
              <m:t>f</m:t>
            </m:r>
          </m:sub>
        </m:sSub>
        <m:r>
          <m:rPr>
            <m:sty m:val="p"/>
          </m:rPr>
          <w:rPr>
            <w:rFonts w:ascii="Cambria Math" w:hAnsi="Cambria Math" w:cs="Arial"/>
            <w:sz w:val="22"/>
            <w:szCs w:val="22"/>
          </w:rPr>
          <m:t>•</m:t>
        </m:r>
        <m:sSub>
          <m:sSubPr>
            <m:ctrlPr>
              <w:rPr>
                <w:rFonts w:ascii="Cambria Math" w:hAnsi="Cambria Math" w:cs="Arial"/>
                <w:sz w:val="22"/>
                <w:szCs w:val="22"/>
              </w:rPr>
            </m:ctrlPr>
          </m:sSubPr>
          <m:e>
            <m:r>
              <w:rPr>
                <w:rFonts w:ascii="Cambria Math" w:hAnsi="Cambria Math" w:cs="Arial"/>
                <w:sz w:val="22"/>
                <w:szCs w:val="22"/>
              </w:rPr>
              <m:t>d</m:t>
            </m:r>
          </m:e>
          <m:sub>
            <m:r>
              <w:rPr>
                <w:rFonts w:ascii="Cambria Math" w:hAnsi="Cambria Math" w:cs="Arial"/>
                <w:sz w:val="22"/>
                <w:szCs w:val="22"/>
              </w:rPr>
              <m:t>f</m:t>
            </m:r>
          </m:sub>
        </m:sSub>
      </m:oMath>
      <w:r w:rsidRPr="003015D7">
        <w:rPr>
          <w:rFonts w:ascii="Arial" w:hAnsi="Arial" w:cs="Arial"/>
          <w:sz w:val="22"/>
          <w:szCs w:val="22"/>
        </w:rPr>
        <w:t xml:space="preserve"> represents the </w:t>
      </w:r>
      <m:oMath>
        <m:r>
          <w:rPr>
            <w:rFonts w:ascii="Cambria Math" w:hAnsi="Cambria Math" w:cs="Arial"/>
            <w:sz w:val="22"/>
            <w:szCs w:val="22"/>
          </w:rPr>
          <m:t>fth</m:t>
        </m:r>
      </m:oMath>
      <w:r w:rsidRPr="003015D7">
        <w:rPr>
          <w:rFonts w:ascii="Arial" w:hAnsi="Arial" w:cs="Arial"/>
          <w:sz w:val="22"/>
          <w:szCs w:val="22"/>
        </w:rPr>
        <w:t xml:space="preserve"> co-cluster migration system such that </w:t>
      </w:r>
      <m:oMath>
        <m:sSub>
          <m:sSubPr>
            <m:ctrlPr>
              <w:rPr>
                <w:rFonts w:ascii="Cambria Math" w:hAnsi="Cambria Math" w:cs="Arial"/>
                <w:sz w:val="22"/>
                <w:szCs w:val="22"/>
              </w:rPr>
            </m:ctrlPr>
          </m:sSubPr>
          <m:e>
            <m:r>
              <w:rPr>
                <w:rFonts w:ascii="Cambria Math" w:hAnsi="Cambria Math" w:cs="Arial"/>
                <w:sz w:val="22"/>
                <w:szCs w:val="22"/>
              </w:rPr>
              <m:t>a</m:t>
            </m:r>
          </m:e>
          <m:sub>
            <m:r>
              <w:rPr>
                <w:rFonts w:ascii="Cambria Math" w:hAnsi="Cambria Math" w:cs="Arial"/>
                <w:sz w:val="22"/>
                <w:szCs w:val="22"/>
              </w:rPr>
              <m:t>f</m:t>
            </m:r>
          </m:sub>
        </m:sSub>
      </m:oMath>
      <w:r w:rsidRPr="003015D7">
        <w:rPr>
          <w:rFonts w:ascii="Arial" w:hAnsi="Arial" w:cs="Arial"/>
          <w:sz w:val="22"/>
          <w:szCs w:val="22"/>
        </w:rPr>
        <w:t xml:space="preserve"> is the degree of association of the </w:t>
      </w:r>
      <w:proofErr w:type="spellStart"/>
      <w:proofErr w:type="gramStart"/>
      <w:r w:rsidR="008145C3" w:rsidRPr="003015D7">
        <w:rPr>
          <w:rFonts w:ascii="Arial" w:hAnsi="Arial" w:cs="Arial"/>
          <w:sz w:val="22"/>
          <w:szCs w:val="22"/>
        </w:rPr>
        <w:t>all</w:t>
      </w:r>
      <w:r w:rsidR="008145C3">
        <w:rPr>
          <w:rFonts w:ascii="Arial" w:hAnsi="Arial" w:cs="Arial"/>
          <w:sz w:val="22"/>
          <w:szCs w:val="22"/>
        </w:rPr>
        <w:t xml:space="preserve"> </w:t>
      </w:r>
      <w:r w:rsidR="008145C3" w:rsidRPr="003015D7">
        <w:rPr>
          <w:rFonts w:ascii="Arial" w:hAnsi="Arial" w:cs="Arial"/>
          <w:sz w:val="22"/>
          <w:szCs w:val="22"/>
        </w:rPr>
        <w:t>county</w:t>
      </w:r>
      <w:proofErr w:type="spellEnd"/>
      <w:proofErr w:type="gramEnd"/>
      <w:r w:rsidRPr="003015D7">
        <w:rPr>
          <w:rFonts w:ascii="Arial" w:hAnsi="Arial" w:cs="Arial"/>
          <w:sz w:val="22"/>
          <w:szCs w:val="22"/>
        </w:rPr>
        <w:t xml:space="preserve"> origins with co-cluster </w:t>
      </w:r>
      <m:oMath>
        <m:r>
          <w:rPr>
            <w:rFonts w:ascii="Cambria Math" w:hAnsi="Cambria Math" w:cs="Arial"/>
            <w:sz w:val="22"/>
            <w:szCs w:val="22"/>
          </w:rPr>
          <m:t>f</m:t>
        </m:r>
      </m:oMath>
      <w:r w:rsidRPr="003015D7">
        <w:rPr>
          <w:rFonts w:ascii="Arial" w:hAnsi="Arial" w:cs="Arial"/>
          <w:sz w:val="22"/>
          <w:szCs w:val="22"/>
        </w:rPr>
        <w:t xml:space="preserve">. Therefore, it follows that if </w:t>
      </w:r>
      <m:oMath>
        <m:sSub>
          <m:sSubPr>
            <m:ctrlPr>
              <w:rPr>
                <w:rFonts w:ascii="Cambria Math" w:hAnsi="Cambria Math" w:cs="Arial"/>
                <w:sz w:val="22"/>
                <w:szCs w:val="22"/>
              </w:rPr>
            </m:ctrlPr>
          </m:sSubPr>
          <m:e>
            <m:r>
              <w:rPr>
                <w:rFonts w:ascii="Cambria Math" w:hAnsi="Cambria Math" w:cs="Arial"/>
                <w:sz w:val="22"/>
                <w:szCs w:val="22"/>
              </w:rPr>
              <m:t>a</m:t>
            </m:r>
          </m:e>
          <m:sub>
            <m:r>
              <w:rPr>
                <w:rFonts w:ascii="Cambria Math" w:hAnsi="Cambria Math" w:cs="Arial"/>
                <w:sz w:val="22"/>
                <w:szCs w:val="22"/>
              </w:rPr>
              <m:t>i</m:t>
            </m:r>
          </m:sub>
        </m:sSub>
        <m:d>
          <m:dPr>
            <m:ctrlPr>
              <w:rPr>
                <w:rFonts w:ascii="Cambria Math" w:hAnsi="Cambria Math" w:cs="Arial"/>
                <w:sz w:val="22"/>
                <w:szCs w:val="22"/>
              </w:rPr>
            </m:ctrlPr>
          </m:dPr>
          <m:e>
            <m:r>
              <w:rPr>
                <w:rFonts w:ascii="Cambria Math" w:hAnsi="Cambria Math" w:cs="Arial"/>
                <w:sz w:val="22"/>
                <w:szCs w:val="22"/>
              </w:rPr>
              <m:t>f</m:t>
            </m:r>
          </m:e>
        </m:d>
        <m:r>
          <m:rPr>
            <m:sty m:val="p"/>
          </m:rPr>
          <w:rPr>
            <w:rFonts w:ascii="Cambria Math" w:hAnsi="Cambria Math" w:cs="Arial"/>
            <w:sz w:val="22"/>
            <w:szCs w:val="22"/>
          </w:rPr>
          <m:t>=</m:t>
        </m:r>
        <m:r>
          <w:rPr>
            <w:rFonts w:ascii="Cambria Math" w:hAnsi="Cambria Math" w:cs="Arial"/>
            <w:sz w:val="22"/>
            <w:szCs w:val="22"/>
          </w:rPr>
          <m:t>0</m:t>
        </m:r>
      </m:oMath>
      <w:r w:rsidRPr="003015D7">
        <w:rPr>
          <w:rFonts w:ascii="Arial" w:hAnsi="Arial" w:cs="Arial"/>
          <w:sz w:val="22"/>
          <w:szCs w:val="22"/>
        </w:rPr>
        <w:t xml:space="preserve"> we know that origin </w:t>
      </w:r>
      <m:oMath>
        <m:r>
          <w:rPr>
            <w:rFonts w:ascii="Cambria Math" w:hAnsi="Cambria Math" w:cs="Arial"/>
            <w:sz w:val="22"/>
            <w:szCs w:val="22"/>
          </w:rPr>
          <m:t>i</m:t>
        </m:r>
      </m:oMath>
      <w:r w:rsidRPr="003015D7">
        <w:rPr>
          <w:rFonts w:ascii="Arial" w:hAnsi="Arial" w:cs="Arial"/>
          <w:sz w:val="22"/>
          <w:szCs w:val="22"/>
        </w:rPr>
        <w:t xml:space="preserve"> is not in the </w:t>
      </w:r>
      <m:oMath>
        <m:r>
          <w:rPr>
            <w:rFonts w:ascii="Cambria Math" w:hAnsi="Cambria Math" w:cs="Arial"/>
            <w:sz w:val="22"/>
            <w:szCs w:val="22"/>
          </w:rPr>
          <m:t>fth</m:t>
        </m:r>
      </m:oMath>
      <w:r w:rsidRPr="003015D7">
        <w:rPr>
          <w:rFonts w:ascii="Arial" w:hAnsi="Arial" w:cs="Arial"/>
          <w:sz w:val="22"/>
          <w:szCs w:val="22"/>
        </w:rPr>
        <w:t xml:space="preserve"> migration system. On the other hand, if </w:t>
      </w:r>
      <m:oMath>
        <m:sSub>
          <m:sSubPr>
            <m:ctrlPr>
              <w:rPr>
                <w:rFonts w:ascii="Cambria Math" w:hAnsi="Cambria Math" w:cs="Arial"/>
                <w:sz w:val="22"/>
                <w:szCs w:val="22"/>
              </w:rPr>
            </m:ctrlPr>
          </m:sSubPr>
          <m:e>
            <m:r>
              <w:rPr>
                <w:rFonts w:ascii="Cambria Math" w:hAnsi="Cambria Math" w:cs="Arial"/>
                <w:sz w:val="22"/>
                <w:szCs w:val="22"/>
              </w:rPr>
              <m:t>a</m:t>
            </m:r>
          </m:e>
          <m:sub>
            <m:r>
              <w:rPr>
                <w:rFonts w:ascii="Cambria Math" w:hAnsi="Cambria Math" w:cs="Arial"/>
                <w:sz w:val="22"/>
                <w:szCs w:val="22"/>
              </w:rPr>
              <m:t>i</m:t>
            </m:r>
          </m:sub>
        </m:sSub>
        <m:d>
          <m:dPr>
            <m:ctrlPr>
              <w:rPr>
                <w:rFonts w:ascii="Cambria Math" w:hAnsi="Cambria Math" w:cs="Arial"/>
                <w:sz w:val="22"/>
                <w:szCs w:val="22"/>
              </w:rPr>
            </m:ctrlPr>
          </m:dPr>
          <m:e>
            <m:r>
              <w:rPr>
                <w:rFonts w:ascii="Cambria Math" w:hAnsi="Cambria Math" w:cs="Arial"/>
                <w:sz w:val="22"/>
                <w:szCs w:val="22"/>
              </w:rPr>
              <m:t>f</m:t>
            </m:r>
          </m:e>
        </m:d>
      </m:oMath>
      <w:r w:rsidRPr="003015D7">
        <w:rPr>
          <w:rFonts w:ascii="Arial" w:hAnsi="Arial" w:cs="Arial"/>
          <w:sz w:val="22"/>
          <w:szCs w:val="22"/>
        </w:rPr>
        <w:t xml:space="preserve"> is large, we can infer that the </w:t>
      </w:r>
      <m:oMath>
        <m:r>
          <w:rPr>
            <w:rFonts w:ascii="Cambria Math" w:hAnsi="Cambria Math" w:cs="Arial"/>
            <w:sz w:val="22"/>
            <w:szCs w:val="22"/>
          </w:rPr>
          <m:t>fth</m:t>
        </m:r>
      </m:oMath>
      <w:r w:rsidRPr="003015D7">
        <w:rPr>
          <w:rFonts w:ascii="Arial" w:hAnsi="Arial" w:cs="Arial"/>
          <w:sz w:val="22"/>
          <w:szCs w:val="22"/>
        </w:rPr>
        <w:t xml:space="preserve"> migration system has lots of migration activity from origin </w:t>
      </w:r>
      <m:oMath>
        <m:r>
          <w:rPr>
            <w:rFonts w:ascii="Cambria Math" w:hAnsi="Cambria Math" w:cs="Arial"/>
            <w:sz w:val="22"/>
            <w:szCs w:val="22"/>
          </w:rPr>
          <m:t>i</m:t>
        </m:r>
      </m:oMath>
      <w:r w:rsidRPr="003015D7">
        <w:rPr>
          <w:rFonts w:ascii="Arial" w:hAnsi="Arial" w:cs="Arial"/>
          <w:sz w:val="22"/>
          <w:szCs w:val="22"/>
        </w:rPr>
        <w:t>. This is a direct extension of the decomposition of a three-way tensor described in Almquist et al, 2021(Almquist et al. 2021).</w:t>
      </w:r>
    </w:p>
    <w:p w14:paraId="5D09032E" w14:textId="3FDFD5B8"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There are many different tensor decomposition methods. Two of the most common decomposition methods are Canonical Polyadic (CP) decomposition and Tucker3 decomposition. CP decomposition performs better than Tucker3 decomposition on sparse data (Schein et al. 2015a; Kolda and Bader 2008; Fanaee-T and Gama 2016). However, the Tucker3 decomposition method is commonly used when analyzing variability within multiple </w:t>
      </w:r>
      <w:r w:rsidR="008145C3" w:rsidRPr="003015D7">
        <w:rPr>
          <w:rFonts w:ascii="Arial" w:hAnsi="Arial" w:cs="Arial"/>
          <w:sz w:val="22"/>
          <w:szCs w:val="22"/>
        </w:rPr>
        <w:t>dimensions (</w:t>
      </w:r>
      <w:r w:rsidRPr="003015D7">
        <w:rPr>
          <w:rFonts w:ascii="Arial" w:hAnsi="Arial" w:cs="Arial"/>
          <w:sz w:val="22"/>
          <w:szCs w:val="22"/>
        </w:rPr>
        <w:t xml:space="preserve">Dong et al. 2010). Since we are interested in quantifying patterns across all dimensions of our tensor, the Tucker3 decomposition method is the best choice. The results of this decomposition will represent the most typical or strongest patterns of migration to destination for sociodemographic groups during specific time periods. </w:t>
      </w:r>
      <w:proofErr w:type="gramStart"/>
      <w:r w:rsidRPr="003015D7">
        <w:rPr>
          <w:rFonts w:ascii="Arial" w:hAnsi="Arial" w:cs="Arial"/>
          <w:sz w:val="22"/>
          <w:szCs w:val="22"/>
        </w:rPr>
        <w:t>In order to</w:t>
      </w:r>
      <w:proofErr w:type="gramEnd"/>
      <w:r w:rsidRPr="003015D7">
        <w:rPr>
          <w:rFonts w:ascii="Arial" w:hAnsi="Arial" w:cs="Arial"/>
          <w:sz w:val="22"/>
          <w:szCs w:val="22"/>
        </w:rPr>
        <w:t xml:space="preserve"> identify patterns in our data that do not represent the “typical” we will use a Gini coefficient to rank components of our factor matrices (Schein et al. 2015b). Components with the highest rank (largest Gini coefficient) will represent components that have the most extreme differences across the dimension of </w:t>
      </w:r>
      <w:r w:rsidR="008145C3" w:rsidRPr="003015D7">
        <w:rPr>
          <w:rFonts w:ascii="Arial" w:hAnsi="Arial" w:cs="Arial"/>
          <w:sz w:val="22"/>
          <w:szCs w:val="22"/>
        </w:rPr>
        <w:t>interest,</w:t>
      </w:r>
      <w:r w:rsidRPr="003015D7">
        <w:rPr>
          <w:rFonts w:ascii="Arial" w:hAnsi="Arial" w:cs="Arial"/>
          <w:sz w:val="22"/>
          <w:szCs w:val="22"/>
        </w:rPr>
        <w:t xml:space="preserve"> </w:t>
      </w:r>
      <w:proofErr w:type="gramStart"/>
      <w:r w:rsidRPr="003015D7">
        <w:rPr>
          <w:rFonts w:ascii="Arial" w:hAnsi="Arial" w:cs="Arial"/>
          <w:sz w:val="22"/>
          <w:szCs w:val="22"/>
        </w:rPr>
        <w:t>i.e.</w:t>
      </w:r>
      <w:proofErr w:type="gramEnd"/>
      <w:r w:rsidRPr="003015D7">
        <w:rPr>
          <w:rFonts w:ascii="Arial" w:hAnsi="Arial" w:cs="Arial"/>
          <w:sz w:val="22"/>
          <w:szCs w:val="22"/>
        </w:rPr>
        <w:t> components with the highest rank will represent counties, time periods, migration types, and educational attainment groups with anomalous migration patterns. The Gini coefficient has been used for this purpose by several other studies of migration (Schein et al. 2015c; Nguyen and Garimella 2017). Specifically, to test Hypothesis 3A, we will calculate and rank the Gini coefficient for each component of our tensor to establish the counties, time periods, migration types, and educational attainment groups with the most common and the least common migration patterns. To test Hypothesis 3B, we will use a simple two sample t-test to determine whether the self-reported poor mental health days and age-adjusted mortality rates of counties identified in Hypothesis 3A are like counties not identified in Hypothesis 3A. Self-reported poor mental health days and age-adjusted mortality were used in Aims 1 and 2 respectively, so we include them as outcomes of interest with hopes of confirming our findings of Aims 1 and 2.</w:t>
      </w:r>
    </w:p>
    <w:p w14:paraId="3DCBF445"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u w:val="single"/>
        </w:rPr>
        <w:lastRenderedPageBreak/>
        <w:t>Expected results:</w:t>
      </w:r>
      <w:r w:rsidRPr="003015D7">
        <w:rPr>
          <w:rFonts w:ascii="Arial" w:hAnsi="Arial" w:cs="Arial"/>
          <w:sz w:val="22"/>
          <w:szCs w:val="22"/>
        </w:rPr>
        <w:t xml:space="preserve"> We expect to see high levels of dissimilarity among migrants with less than high school education because education is a known “pull factor” of migration - it is common for individuals to migrate seeking educational opportunities (Everett S. Lee, n.d.; Greenwood 1975). Therefore, individuals with less education are less likely to migrate and therefore less likely to be part of the core migration system.</w:t>
      </w:r>
    </w:p>
    <w:p w14:paraId="5466DEDF"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On the other hand, according to Lee’s theory of migration, migration is often bimodal in that only the most advantaged and the least advantaged individuals relocate (Everett S. Lee, n.d.). Therefore, it is possible that our hypothesis will be disproven - perhaps individuals with less than high school education </w:t>
      </w:r>
      <w:proofErr w:type="gramStart"/>
      <w:r w:rsidRPr="003015D7">
        <w:rPr>
          <w:rFonts w:ascii="Arial" w:hAnsi="Arial" w:cs="Arial"/>
          <w:sz w:val="22"/>
          <w:szCs w:val="22"/>
        </w:rPr>
        <w:t>are</w:t>
      </w:r>
      <w:proofErr w:type="gramEnd"/>
      <w:r w:rsidRPr="003015D7">
        <w:rPr>
          <w:rFonts w:ascii="Arial" w:hAnsi="Arial" w:cs="Arial"/>
          <w:sz w:val="22"/>
          <w:szCs w:val="22"/>
        </w:rPr>
        <w:t xml:space="preserve"> most likely to be “pushed” out of their counties of origin due to hardship. It will be interesting to see how our method, tensor factorization, might handle this potential bimodality.</w:t>
      </w:r>
    </w:p>
    <w:p w14:paraId="0980E8C2"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rPr>
        <w:t>Similar logic could be extended to the health distribution of migrants: only the most and least healthy individuals migrate. Though the relationship between education and health is well established and largely considered one-directional (D. Cutler and Lleras-Muney 2006; D. M. Cutler and Lleras-Muney 2012; Ross and Wu 1995), as we saw in Aim 2, the relationship between migration, place, and health is more difficult to parse. Because we suspect heterogeneity in the relationship between migration and health across counties, we also expect the health of counties included and excluded from our core tensor to be heterogeneous. Therefore, we expect counties and educational attainment groups in the core migration system to have significantly different health than counties not in the core migration system.</w:t>
      </w:r>
    </w:p>
    <w:p w14:paraId="316E027D"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u w:val="single"/>
        </w:rPr>
        <w:t>Pitfalls and alternatives:</w:t>
      </w:r>
      <w:r w:rsidRPr="003015D7">
        <w:rPr>
          <w:rFonts w:ascii="Arial" w:hAnsi="Arial" w:cs="Arial"/>
          <w:sz w:val="22"/>
          <w:szCs w:val="22"/>
        </w:rPr>
        <w:t xml:space="preserve"> Originally, we proposed the use of IRS migration flow data instead of ACS mobility data to assess migration because we thought that the IRS origin-destination pairs for each year could help us understand the effects of county-interconnectedness over time. However, because IRS and ACS datasets represent different populations, joining IRS county-to-county migration flow data to ACS demographic estimates required many assumptions. Thus, we have decided to use ACS five-year estimates of demographic mobility. As a result, our analyses will not be applicable to migration as a “system,” (</w:t>
      </w:r>
      <w:proofErr w:type="gramStart"/>
      <w:r w:rsidRPr="003015D7">
        <w:rPr>
          <w:rFonts w:ascii="Arial" w:hAnsi="Arial" w:cs="Arial"/>
          <w:sz w:val="22"/>
          <w:szCs w:val="22"/>
        </w:rPr>
        <w:t>i.e.</w:t>
      </w:r>
      <w:proofErr w:type="gramEnd"/>
      <w:r w:rsidRPr="003015D7">
        <w:rPr>
          <w:rFonts w:ascii="Arial" w:hAnsi="Arial" w:cs="Arial"/>
          <w:sz w:val="22"/>
          <w:szCs w:val="22"/>
        </w:rPr>
        <w:t> origin and destination pairs) but instead will allow us to better understand how social groups of people migrate across the United States.</w:t>
      </w:r>
    </w:p>
    <w:p w14:paraId="64624F19" w14:textId="1D16192C"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Another downside of the ACS mobility data is that ACS does not publish single-year estimates of county-level socioeconomic group mobility. Therefore, we must use five-year estimates. Five-year estimates provide an imprecise understanding of migration over time; however, they allow for greater representation among small geographies and sociodemographic groups (less missingness due to suppression). Therefore, in this aim, we are unable to fully assess temporal patterns of migration. </w:t>
      </w:r>
      <w:r w:rsidR="008145C3" w:rsidRPr="003015D7">
        <w:rPr>
          <w:rFonts w:ascii="Arial" w:hAnsi="Arial" w:cs="Arial"/>
          <w:sz w:val="22"/>
          <w:szCs w:val="22"/>
        </w:rPr>
        <w:t>Instead,</w:t>
      </w:r>
      <w:r w:rsidRPr="003015D7">
        <w:rPr>
          <w:rFonts w:ascii="Arial" w:hAnsi="Arial" w:cs="Arial"/>
          <w:sz w:val="22"/>
          <w:szCs w:val="22"/>
        </w:rPr>
        <w:t xml:space="preserve"> we prioritize understanding mobility patterns across sociodemographic identity, specifically educational attainment, rather than over time.</w:t>
      </w:r>
    </w:p>
    <w:p w14:paraId="2A815C2F" w14:textId="4F9A7A3E" w:rsidR="00792322" w:rsidRPr="003015D7" w:rsidRDefault="00000000" w:rsidP="003015D7">
      <w:pPr>
        <w:pStyle w:val="BodyText"/>
        <w:rPr>
          <w:rFonts w:ascii="Arial" w:hAnsi="Arial" w:cs="Arial"/>
          <w:sz w:val="22"/>
          <w:szCs w:val="22"/>
        </w:rPr>
      </w:pPr>
      <w:r w:rsidRPr="003015D7">
        <w:rPr>
          <w:rFonts w:ascii="Arial" w:hAnsi="Arial" w:cs="Arial"/>
          <w:sz w:val="22"/>
          <w:szCs w:val="22"/>
        </w:rPr>
        <w:t xml:space="preserve">There are many possible dimension reduction techniques that we could employ in place of or in addition to tensor factorization. If time, we will attempt to confirm our tensor factorization findings using </w:t>
      </w:r>
      <w:r w:rsidR="008145C3" w:rsidRPr="003015D7">
        <w:rPr>
          <w:rFonts w:ascii="Arial" w:hAnsi="Arial" w:cs="Arial"/>
          <w:sz w:val="22"/>
          <w:szCs w:val="22"/>
        </w:rPr>
        <w:t>principal</w:t>
      </w:r>
      <w:r w:rsidRPr="003015D7">
        <w:rPr>
          <w:rFonts w:ascii="Arial" w:hAnsi="Arial" w:cs="Arial"/>
          <w:sz w:val="22"/>
          <w:szCs w:val="22"/>
        </w:rPr>
        <w:t xml:space="preserve"> component analysis (PCA) which has been used to study population mobility during the COVID-19 pandemic (Elarde et al. 2021), to assess factors related to illegal immigration into Nigeria (Uzomah and Madu 2020), and to measure urban population movement in China using cell phone data (Sun, and Axhausen, n.d.). PCA is a top-down approach which systematically discards components that do not explain variance in a dataset, sometimes resulting in loss of structure (Allen, n.d.). Meanwhile, our application of tensor factorization will assess dissimilarity within each component to indicate the components that are most meaningful. If implemented correctly, PCA and tensor factorization should yield similar results. </w:t>
      </w:r>
    </w:p>
    <w:p w14:paraId="3FBA3258" w14:textId="77777777" w:rsidR="00792322" w:rsidRPr="003015D7" w:rsidRDefault="00000000" w:rsidP="003015D7">
      <w:pPr>
        <w:pStyle w:val="BodyText"/>
        <w:rPr>
          <w:rFonts w:ascii="Arial" w:hAnsi="Arial" w:cs="Arial"/>
          <w:sz w:val="22"/>
          <w:szCs w:val="22"/>
        </w:rPr>
      </w:pPr>
      <w:r w:rsidRPr="003015D7">
        <w:rPr>
          <w:rFonts w:ascii="Arial" w:hAnsi="Arial" w:cs="Arial"/>
          <w:b/>
          <w:bCs/>
          <w:sz w:val="22"/>
          <w:szCs w:val="22"/>
          <w:u w:val="single"/>
        </w:rPr>
        <w:t>Overall Summary and Conclusions</w:t>
      </w:r>
    </w:p>
    <w:p w14:paraId="652A2771" w14:textId="77777777" w:rsidR="00792322" w:rsidRPr="003015D7" w:rsidRDefault="00000000" w:rsidP="003015D7">
      <w:pPr>
        <w:pStyle w:val="BodyText"/>
        <w:rPr>
          <w:rFonts w:ascii="Arial" w:hAnsi="Arial" w:cs="Arial"/>
          <w:sz w:val="22"/>
          <w:szCs w:val="22"/>
        </w:rPr>
      </w:pPr>
      <w:r w:rsidRPr="003015D7">
        <w:rPr>
          <w:rFonts w:ascii="Arial" w:hAnsi="Arial" w:cs="Arial"/>
          <w:sz w:val="22"/>
          <w:szCs w:val="22"/>
        </w:rPr>
        <w:t>We cannot fully understand county-level health without first understanding county interconnectedness and how it drives place-based health disparities. In this proposal, we first measure the relationship between place and health during a static time point, next we model the relationship between place, migration, and health, and finally, we examine counties that have anomalous relationships between place, migration, and health. Recognizing that the United States is heterogeneous and that the mechanisms by which migration may impact health may also be heterogeneous, we attempt to quantify rural-urban disparities in mobility and health at each step. The long-term goal of this work is to contribute to understanding the mechanisms by which mobility may be related to place-based health disparities so that local decision-makers may account for patterns in mobility when creating policy towards improved health for all people in all places. Understanding rural-urban mobility patterns is a necessary first step towards understanding rural-urban health disparities.</w:t>
      </w:r>
    </w:p>
    <w:p w14:paraId="1D381336" w14:textId="77777777" w:rsidR="00792322" w:rsidRPr="003015D7" w:rsidRDefault="00000000" w:rsidP="003015D7">
      <w:pPr>
        <w:rPr>
          <w:rFonts w:ascii="Arial" w:hAnsi="Arial" w:cs="Arial"/>
          <w:sz w:val="22"/>
          <w:szCs w:val="22"/>
        </w:rPr>
      </w:pPr>
      <w:r>
        <w:rPr>
          <w:rFonts w:ascii="Arial" w:hAnsi="Arial" w:cs="Arial"/>
          <w:sz w:val="22"/>
          <w:szCs w:val="22"/>
        </w:rPr>
        <w:lastRenderedPageBreak/>
        <w:pict w14:anchorId="303D315B">
          <v:rect id="_x0000_i1027" style="width:0;height:1.5pt" o:hralign="center" o:hrstd="t" o:hr="t"/>
        </w:pict>
      </w:r>
    </w:p>
    <w:p w14:paraId="0B45CD72" w14:textId="77777777" w:rsidR="00792322" w:rsidRPr="003015D7" w:rsidRDefault="00000000" w:rsidP="003015D7">
      <w:pPr>
        <w:pStyle w:val="FirstParagraph"/>
        <w:rPr>
          <w:rFonts w:ascii="Arial" w:hAnsi="Arial" w:cs="Arial"/>
          <w:sz w:val="22"/>
          <w:szCs w:val="22"/>
        </w:rPr>
      </w:pPr>
      <w:r w:rsidRPr="003015D7">
        <w:rPr>
          <w:rFonts w:ascii="Arial" w:hAnsi="Arial" w:cs="Arial"/>
          <w:b/>
          <w:bCs/>
          <w:sz w:val="22"/>
          <w:szCs w:val="22"/>
          <w:u w:val="single"/>
        </w:rPr>
        <w:t>References</w:t>
      </w:r>
    </w:p>
    <w:p w14:paraId="0FE74531" w14:textId="77777777" w:rsidR="00792322" w:rsidRPr="003015D7" w:rsidRDefault="00000000" w:rsidP="003015D7">
      <w:pPr>
        <w:pStyle w:val="Bibliography"/>
        <w:rPr>
          <w:rFonts w:ascii="Arial" w:hAnsi="Arial" w:cs="Arial"/>
          <w:sz w:val="22"/>
          <w:szCs w:val="22"/>
        </w:rPr>
      </w:pPr>
      <w:bookmarkStart w:id="0" w:name="ref-agyemang2019"/>
      <w:bookmarkStart w:id="1" w:name="refs"/>
      <w:r w:rsidRPr="003015D7">
        <w:rPr>
          <w:rFonts w:ascii="Arial" w:hAnsi="Arial" w:cs="Arial"/>
          <w:sz w:val="22"/>
          <w:szCs w:val="22"/>
        </w:rPr>
        <w:t xml:space="preserve">Agyemang, Charles, and Bert-Jan van den Born. 2019. “Non-Communicable Diseases in Migrants: An Expert Review.” </w:t>
      </w:r>
      <w:r w:rsidRPr="003015D7">
        <w:rPr>
          <w:rFonts w:ascii="Arial" w:hAnsi="Arial" w:cs="Arial"/>
          <w:i/>
          <w:iCs/>
          <w:sz w:val="22"/>
          <w:szCs w:val="22"/>
        </w:rPr>
        <w:t>Journal of Travel Medicine</w:t>
      </w:r>
      <w:r w:rsidRPr="003015D7">
        <w:rPr>
          <w:rFonts w:ascii="Arial" w:hAnsi="Arial" w:cs="Arial"/>
          <w:sz w:val="22"/>
          <w:szCs w:val="22"/>
        </w:rPr>
        <w:t xml:space="preserve"> 26 (2): tay107. </w:t>
      </w:r>
      <w:hyperlink r:id="rId11">
        <w:r w:rsidRPr="003015D7">
          <w:rPr>
            <w:rStyle w:val="Hyperlink"/>
            <w:rFonts w:ascii="Arial" w:hAnsi="Arial" w:cs="Arial"/>
            <w:color w:val="auto"/>
            <w:sz w:val="22"/>
            <w:szCs w:val="22"/>
          </w:rPr>
          <w:t>https://doi.org/10.1093/jtm/tay107</w:t>
        </w:r>
      </w:hyperlink>
      <w:r w:rsidRPr="003015D7">
        <w:rPr>
          <w:rFonts w:ascii="Arial" w:hAnsi="Arial" w:cs="Arial"/>
          <w:sz w:val="22"/>
          <w:szCs w:val="22"/>
        </w:rPr>
        <w:t>.</w:t>
      </w:r>
    </w:p>
    <w:p w14:paraId="365613CF" w14:textId="362DB4E3" w:rsidR="00792322" w:rsidRPr="003015D7" w:rsidRDefault="008145C3" w:rsidP="003015D7">
      <w:pPr>
        <w:pStyle w:val="Bibliography"/>
        <w:rPr>
          <w:rFonts w:ascii="Arial" w:hAnsi="Arial" w:cs="Arial"/>
          <w:sz w:val="22"/>
          <w:szCs w:val="22"/>
        </w:rPr>
      </w:pPr>
      <w:bookmarkStart w:id="2" w:name="ref-agyemang2022"/>
      <w:bookmarkEnd w:id="0"/>
      <w:r w:rsidRPr="008145C3">
        <w:rPr>
          <w:rFonts w:ascii="Arial" w:hAnsi="Arial" w:cs="Arial"/>
          <w:sz w:val="22"/>
          <w:szCs w:val="22"/>
        </w:rPr>
        <w:t>Agyemang</w:t>
      </w:r>
      <w:r>
        <w:rPr>
          <w:rFonts w:ascii="Arial" w:hAnsi="Arial" w:cs="Arial"/>
          <w:sz w:val="22"/>
          <w:szCs w:val="22"/>
        </w:rPr>
        <w:t xml:space="preserve">, Charles and </w:t>
      </w:r>
      <w:r w:rsidRPr="008145C3">
        <w:rPr>
          <w:rFonts w:ascii="Arial" w:hAnsi="Arial" w:cs="Arial"/>
          <w:sz w:val="22"/>
          <w:szCs w:val="22"/>
        </w:rPr>
        <w:t xml:space="preserve">Bert-Jan van den </w:t>
      </w:r>
      <w:proofErr w:type="gramStart"/>
      <w:r w:rsidRPr="008145C3">
        <w:rPr>
          <w:rFonts w:ascii="Arial" w:hAnsi="Arial" w:cs="Arial"/>
          <w:sz w:val="22"/>
          <w:szCs w:val="22"/>
        </w:rPr>
        <w:t xml:space="preserve">Born </w:t>
      </w:r>
      <w:r w:rsidRPr="003015D7">
        <w:rPr>
          <w:rFonts w:ascii="Arial" w:hAnsi="Arial" w:cs="Arial"/>
          <w:sz w:val="22"/>
          <w:szCs w:val="22"/>
        </w:rPr>
        <w:t xml:space="preserve"> 2022</w:t>
      </w:r>
      <w:proofErr w:type="gramEnd"/>
      <w:r w:rsidRPr="003015D7">
        <w:rPr>
          <w:rFonts w:ascii="Arial" w:hAnsi="Arial" w:cs="Arial"/>
          <w:sz w:val="22"/>
          <w:szCs w:val="22"/>
        </w:rPr>
        <w:t xml:space="preserve">. “Cardiovascular Health and Disease in Migrant Populations: A Call to Action.” </w:t>
      </w:r>
      <w:r w:rsidRPr="003015D7">
        <w:rPr>
          <w:rFonts w:ascii="Arial" w:hAnsi="Arial" w:cs="Arial"/>
          <w:i/>
          <w:iCs/>
          <w:sz w:val="22"/>
          <w:szCs w:val="22"/>
        </w:rPr>
        <w:t>Nature Reviews Cardiology</w:t>
      </w:r>
      <w:r w:rsidRPr="003015D7">
        <w:rPr>
          <w:rFonts w:ascii="Arial" w:hAnsi="Arial" w:cs="Arial"/>
          <w:sz w:val="22"/>
          <w:szCs w:val="22"/>
        </w:rPr>
        <w:t xml:space="preserve"> 19 (1): 1–2. </w:t>
      </w:r>
      <w:hyperlink r:id="rId12">
        <w:r w:rsidRPr="003015D7">
          <w:rPr>
            <w:rStyle w:val="Hyperlink"/>
            <w:rFonts w:ascii="Arial" w:hAnsi="Arial" w:cs="Arial"/>
            <w:color w:val="auto"/>
            <w:sz w:val="22"/>
            <w:szCs w:val="22"/>
          </w:rPr>
          <w:t>https://doi.org/10.1038/s41569-021-00644-y</w:t>
        </w:r>
      </w:hyperlink>
      <w:r w:rsidRPr="003015D7">
        <w:rPr>
          <w:rFonts w:ascii="Arial" w:hAnsi="Arial" w:cs="Arial"/>
          <w:sz w:val="22"/>
          <w:szCs w:val="22"/>
        </w:rPr>
        <w:t>.</w:t>
      </w:r>
    </w:p>
    <w:p w14:paraId="1F42D015" w14:textId="77777777" w:rsidR="00792322" w:rsidRPr="003015D7" w:rsidRDefault="00000000" w:rsidP="003015D7">
      <w:pPr>
        <w:pStyle w:val="Bibliography"/>
        <w:rPr>
          <w:rFonts w:ascii="Arial" w:hAnsi="Arial" w:cs="Arial"/>
          <w:sz w:val="22"/>
          <w:szCs w:val="22"/>
        </w:rPr>
      </w:pPr>
      <w:bookmarkStart w:id="3" w:name="ref-allen"/>
      <w:bookmarkEnd w:id="2"/>
      <w:r w:rsidRPr="003015D7">
        <w:rPr>
          <w:rFonts w:ascii="Arial" w:hAnsi="Arial" w:cs="Arial"/>
          <w:sz w:val="22"/>
          <w:szCs w:val="22"/>
        </w:rPr>
        <w:t xml:space="preserve">Allen, Genevera I. n.d. “Regularized Tensor Factorizations and Higher-Order Principal Components Analysis.” </w:t>
      </w:r>
      <w:hyperlink r:id="rId13">
        <w:r w:rsidRPr="003015D7">
          <w:rPr>
            <w:rStyle w:val="Hyperlink"/>
            <w:rFonts w:ascii="Arial" w:hAnsi="Arial" w:cs="Arial"/>
            <w:color w:val="auto"/>
            <w:sz w:val="22"/>
            <w:szCs w:val="22"/>
          </w:rPr>
          <w:t>https://doi.org/10.48550/arXiv.1202.2476</w:t>
        </w:r>
      </w:hyperlink>
      <w:r w:rsidRPr="003015D7">
        <w:rPr>
          <w:rFonts w:ascii="Arial" w:hAnsi="Arial" w:cs="Arial"/>
          <w:sz w:val="22"/>
          <w:szCs w:val="22"/>
        </w:rPr>
        <w:t>.</w:t>
      </w:r>
    </w:p>
    <w:p w14:paraId="61356DF9" w14:textId="77777777" w:rsidR="00792322" w:rsidRPr="003015D7" w:rsidRDefault="00000000" w:rsidP="003015D7">
      <w:pPr>
        <w:pStyle w:val="Bibliography"/>
        <w:rPr>
          <w:rFonts w:ascii="Arial" w:hAnsi="Arial" w:cs="Arial"/>
          <w:sz w:val="22"/>
          <w:szCs w:val="22"/>
        </w:rPr>
      </w:pPr>
      <w:bookmarkStart w:id="4" w:name="ref-almquist2021"/>
      <w:bookmarkEnd w:id="3"/>
      <w:r w:rsidRPr="003015D7">
        <w:rPr>
          <w:rFonts w:ascii="Arial" w:hAnsi="Arial" w:cs="Arial"/>
          <w:sz w:val="22"/>
          <w:szCs w:val="22"/>
        </w:rPr>
        <w:t xml:space="preserve">Almquist, Zack W., Tri Duc Nguyen, Mikael Sorensen, Xiao Fu, and Nicholas D. Sidiropoulos. 2021. “Uncovering Migration Systems Through Spatio-Temporal Tensor Co-Clustering.” </w:t>
      </w:r>
      <w:hyperlink r:id="rId14">
        <w:r w:rsidRPr="003015D7">
          <w:rPr>
            <w:rStyle w:val="Hyperlink"/>
            <w:rFonts w:ascii="Arial" w:hAnsi="Arial" w:cs="Arial"/>
            <w:color w:val="auto"/>
            <w:sz w:val="22"/>
            <w:szCs w:val="22"/>
          </w:rPr>
          <w:t>http://arxiv.org/abs/2112.15296</w:t>
        </w:r>
      </w:hyperlink>
      <w:r w:rsidRPr="003015D7">
        <w:rPr>
          <w:rFonts w:ascii="Arial" w:hAnsi="Arial" w:cs="Arial"/>
          <w:sz w:val="22"/>
          <w:szCs w:val="22"/>
        </w:rPr>
        <w:t>.</w:t>
      </w:r>
    </w:p>
    <w:p w14:paraId="59C8DA13" w14:textId="77777777" w:rsidR="00792322" w:rsidRPr="003015D7" w:rsidRDefault="00000000" w:rsidP="003015D7">
      <w:pPr>
        <w:pStyle w:val="Bibliography"/>
        <w:rPr>
          <w:rFonts w:ascii="Arial" w:hAnsi="Arial" w:cs="Arial"/>
          <w:sz w:val="22"/>
          <w:szCs w:val="22"/>
        </w:rPr>
      </w:pPr>
      <w:bookmarkStart w:id="5" w:name="ref-araya2003"/>
      <w:bookmarkEnd w:id="4"/>
      <w:r w:rsidRPr="003015D7">
        <w:rPr>
          <w:rFonts w:ascii="Arial" w:hAnsi="Arial" w:cs="Arial"/>
          <w:sz w:val="22"/>
          <w:szCs w:val="22"/>
        </w:rPr>
        <w:t xml:space="preserve">Araya, R., G. Lewis, G. Rojas, and R. Fritsch. 2003. “Education and Income: Which Is More Important for Mental Health?” </w:t>
      </w:r>
      <w:r w:rsidRPr="003015D7">
        <w:rPr>
          <w:rFonts w:ascii="Arial" w:hAnsi="Arial" w:cs="Arial"/>
          <w:i/>
          <w:iCs/>
          <w:sz w:val="22"/>
          <w:szCs w:val="22"/>
        </w:rPr>
        <w:t>Journal of Epidemiology &amp; Community Health</w:t>
      </w:r>
      <w:r w:rsidRPr="003015D7">
        <w:rPr>
          <w:rFonts w:ascii="Arial" w:hAnsi="Arial" w:cs="Arial"/>
          <w:sz w:val="22"/>
          <w:szCs w:val="22"/>
        </w:rPr>
        <w:t xml:space="preserve"> 57 (7): 501–5. </w:t>
      </w:r>
      <w:hyperlink r:id="rId15">
        <w:r w:rsidRPr="003015D7">
          <w:rPr>
            <w:rStyle w:val="Hyperlink"/>
            <w:rFonts w:ascii="Arial" w:hAnsi="Arial" w:cs="Arial"/>
            <w:color w:val="auto"/>
            <w:sz w:val="22"/>
            <w:szCs w:val="22"/>
          </w:rPr>
          <w:t>https://doi.org/10.1136/jech.57.7.501</w:t>
        </w:r>
      </w:hyperlink>
      <w:r w:rsidRPr="003015D7">
        <w:rPr>
          <w:rFonts w:ascii="Arial" w:hAnsi="Arial" w:cs="Arial"/>
          <w:sz w:val="22"/>
          <w:szCs w:val="22"/>
        </w:rPr>
        <w:t>.</w:t>
      </w:r>
    </w:p>
    <w:p w14:paraId="0962E4F8" w14:textId="77777777" w:rsidR="00792322" w:rsidRPr="003015D7" w:rsidRDefault="00000000" w:rsidP="003015D7">
      <w:pPr>
        <w:pStyle w:val="Bibliography"/>
        <w:rPr>
          <w:rFonts w:ascii="Arial" w:hAnsi="Arial" w:cs="Arial"/>
          <w:sz w:val="22"/>
          <w:szCs w:val="22"/>
        </w:rPr>
      </w:pPr>
      <w:bookmarkStart w:id="6" w:name="ref-blog"/>
      <w:bookmarkEnd w:id="5"/>
      <w:r w:rsidRPr="003015D7">
        <w:rPr>
          <w:rFonts w:ascii="Arial" w:hAnsi="Arial" w:cs="Arial"/>
          <w:sz w:val="22"/>
          <w:szCs w:val="22"/>
        </w:rPr>
        <w:t xml:space="preserve">Blog, Rajat’s. n.d. “Visualizing Tensor Operations with Factor Graphs.” </w:t>
      </w:r>
      <w:hyperlink r:id="rId16">
        <w:r w:rsidRPr="003015D7">
          <w:rPr>
            <w:rStyle w:val="Hyperlink"/>
            <w:rFonts w:ascii="Arial" w:hAnsi="Arial" w:cs="Arial"/>
            <w:color w:val="auto"/>
            <w:sz w:val="22"/>
            <w:szCs w:val="22"/>
          </w:rPr>
          <w:t>https://rajatvd.github.io/Factor-Graphs/</w:t>
        </w:r>
      </w:hyperlink>
      <w:r w:rsidRPr="003015D7">
        <w:rPr>
          <w:rFonts w:ascii="Arial" w:hAnsi="Arial" w:cs="Arial"/>
          <w:sz w:val="22"/>
          <w:szCs w:val="22"/>
        </w:rPr>
        <w:t>.</w:t>
      </w:r>
    </w:p>
    <w:p w14:paraId="31F6BE4F" w14:textId="77777777" w:rsidR="00792322" w:rsidRPr="003015D7" w:rsidRDefault="00000000" w:rsidP="003015D7">
      <w:pPr>
        <w:pStyle w:val="Bibliography"/>
        <w:rPr>
          <w:rFonts w:ascii="Arial" w:hAnsi="Arial" w:cs="Arial"/>
          <w:sz w:val="22"/>
          <w:szCs w:val="22"/>
        </w:rPr>
      </w:pPr>
      <w:bookmarkStart w:id="7" w:name="ref-bureaua"/>
      <w:bookmarkEnd w:id="6"/>
      <w:r w:rsidRPr="003015D7">
        <w:rPr>
          <w:rFonts w:ascii="Arial" w:hAnsi="Arial" w:cs="Arial"/>
          <w:sz w:val="22"/>
          <w:szCs w:val="22"/>
        </w:rPr>
        <w:t xml:space="preserve">Bureau, US Census. n.d.a. “Addressing Nonresponse Bias in the American Community Survey During the Pandemic Using Administrative Data.” </w:t>
      </w:r>
      <w:hyperlink r:id="rId17">
        <w:r w:rsidRPr="003015D7">
          <w:rPr>
            <w:rStyle w:val="Hyperlink"/>
            <w:rFonts w:ascii="Arial" w:hAnsi="Arial" w:cs="Arial"/>
            <w:color w:val="auto"/>
            <w:sz w:val="22"/>
            <w:szCs w:val="22"/>
          </w:rPr>
          <w:t>https://www.census.gov/library/working-papers/2021/acs/2021_Rothbaum_01.html</w:t>
        </w:r>
      </w:hyperlink>
      <w:r w:rsidRPr="003015D7">
        <w:rPr>
          <w:rFonts w:ascii="Arial" w:hAnsi="Arial" w:cs="Arial"/>
          <w:sz w:val="22"/>
          <w:szCs w:val="22"/>
        </w:rPr>
        <w:t>.</w:t>
      </w:r>
    </w:p>
    <w:p w14:paraId="61EFA9B9" w14:textId="77777777" w:rsidR="00792322" w:rsidRPr="003015D7" w:rsidRDefault="00000000" w:rsidP="003015D7">
      <w:pPr>
        <w:pStyle w:val="Bibliography"/>
        <w:rPr>
          <w:rFonts w:ascii="Arial" w:hAnsi="Arial" w:cs="Arial"/>
          <w:sz w:val="22"/>
          <w:szCs w:val="22"/>
        </w:rPr>
      </w:pPr>
      <w:bookmarkStart w:id="8" w:name="ref-bureau"/>
      <w:bookmarkEnd w:id="7"/>
      <w:r w:rsidRPr="003015D7">
        <w:rPr>
          <w:rFonts w:ascii="Arial" w:hAnsi="Arial" w:cs="Arial"/>
          <w:sz w:val="22"/>
          <w:szCs w:val="22"/>
        </w:rPr>
        <w:t xml:space="preserve">———. n.d.b. “Data Suppression.” </w:t>
      </w:r>
      <w:hyperlink r:id="rId18">
        <w:r w:rsidRPr="003015D7">
          <w:rPr>
            <w:rStyle w:val="Hyperlink"/>
            <w:rFonts w:ascii="Arial" w:hAnsi="Arial" w:cs="Arial"/>
            <w:color w:val="auto"/>
            <w:sz w:val="22"/>
            <w:szCs w:val="22"/>
          </w:rPr>
          <w:t>https://www.census.gov/programs-surveys/acs/technical-documentation/data-suppression.html</w:t>
        </w:r>
      </w:hyperlink>
      <w:r w:rsidRPr="003015D7">
        <w:rPr>
          <w:rFonts w:ascii="Arial" w:hAnsi="Arial" w:cs="Arial"/>
          <w:sz w:val="22"/>
          <w:szCs w:val="22"/>
        </w:rPr>
        <w:t>.</w:t>
      </w:r>
    </w:p>
    <w:p w14:paraId="424F13EB" w14:textId="77777777" w:rsidR="00792322" w:rsidRPr="003015D7" w:rsidRDefault="00000000" w:rsidP="003015D7">
      <w:pPr>
        <w:pStyle w:val="Bibliography"/>
        <w:rPr>
          <w:rFonts w:ascii="Arial" w:hAnsi="Arial" w:cs="Arial"/>
          <w:sz w:val="22"/>
          <w:szCs w:val="22"/>
        </w:rPr>
      </w:pPr>
      <w:bookmarkStart w:id="9" w:name="ref-bureaub"/>
      <w:bookmarkEnd w:id="8"/>
      <w:r w:rsidRPr="003015D7">
        <w:rPr>
          <w:rFonts w:ascii="Arial" w:hAnsi="Arial" w:cs="Arial"/>
          <w:sz w:val="22"/>
          <w:szCs w:val="22"/>
        </w:rPr>
        <w:t xml:space="preserve">———. n.d.c. “When to Use 1-Year or 5-Year Estimates.” </w:t>
      </w:r>
      <w:hyperlink r:id="rId19">
        <w:r w:rsidRPr="003015D7">
          <w:rPr>
            <w:rStyle w:val="Hyperlink"/>
            <w:rFonts w:ascii="Arial" w:hAnsi="Arial" w:cs="Arial"/>
            <w:color w:val="auto"/>
            <w:sz w:val="22"/>
            <w:szCs w:val="22"/>
          </w:rPr>
          <w:t>https://www.census.gov/programs-surveys/acs/guidance/estimates.html</w:t>
        </w:r>
      </w:hyperlink>
      <w:r w:rsidRPr="003015D7">
        <w:rPr>
          <w:rFonts w:ascii="Arial" w:hAnsi="Arial" w:cs="Arial"/>
          <w:sz w:val="22"/>
          <w:szCs w:val="22"/>
        </w:rPr>
        <w:t>.</w:t>
      </w:r>
    </w:p>
    <w:p w14:paraId="6EBC05EB" w14:textId="77777777" w:rsidR="00792322" w:rsidRPr="003015D7" w:rsidRDefault="00000000" w:rsidP="003015D7">
      <w:pPr>
        <w:pStyle w:val="Bibliography"/>
        <w:rPr>
          <w:rFonts w:ascii="Arial" w:hAnsi="Arial" w:cs="Arial"/>
          <w:sz w:val="22"/>
          <w:szCs w:val="22"/>
        </w:rPr>
      </w:pPr>
      <w:bookmarkStart w:id="10" w:name="ref-cdc-ab2019"/>
      <w:bookmarkEnd w:id="9"/>
      <w:r w:rsidRPr="003015D7">
        <w:rPr>
          <w:rFonts w:ascii="Arial" w:hAnsi="Arial" w:cs="Arial"/>
          <w:sz w:val="22"/>
          <w:szCs w:val="22"/>
        </w:rPr>
        <w:t xml:space="preserve">“CDC - about BRFSS.” 2019. </w:t>
      </w:r>
      <w:hyperlink r:id="rId20">
        <w:r w:rsidRPr="003015D7">
          <w:rPr>
            <w:rStyle w:val="Hyperlink"/>
            <w:rFonts w:ascii="Arial" w:hAnsi="Arial" w:cs="Arial"/>
            <w:color w:val="auto"/>
            <w:sz w:val="22"/>
            <w:szCs w:val="22"/>
          </w:rPr>
          <w:t>https://www.cdc.gov/brfss/about/index.htm</w:t>
        </w:r>
      </w:hyperlink>
      <w:r w:rsidRPr="003015D7">
        <w:rPr>
          <w:rFonts w:ascii="Arial" w:hAnsi="Arial" w:cs="Arial"/>
          <w:sz w:val="22"/>
          <w:szCs w:val="22"/>
        </w:rPr>
        <w:t>.</w:t>
      </w:r>
    </w:p>
    <w:p w14:paraId="3E3C099F" w14:textId="77777777" w:rsidR="00792322" w:rsidRPr="003015D7" w:rsidRDefault="00000000" w:rsidP="003015D7">
      <w:pPr>
        <w:pStyle w:val="Bibliography"/>
        <w:rPr>
          <w:rFonts w:ascii="Arial" w:hAnsi="Arial" w:cs="Arial"/>
          <w:sz w:val="22"/>
          <w:szCs w:val="22"/>
        </w:rPr>
      </w:pPr>
      <w:bookmarkStart w:id="11" w:name="ref-cdcwond"/>
      <w:bookmarkEnd w:id="10"/>
      <w:r w:rsidRPr="003015D7">
        <w:rPr>
          <w:rFonts w:ascii="Arial" w:hAnsi="Arial" w:cs="Arial"/>
          <w:sz w:val="22"/>
          <w:szCs w:val="22"/>
        </w:rPr>
        <w:t xml:space="preserve">“CDC WONDER.” n.d. </w:t>
      </w:r>
      <w:hyperlink r:id="rId21">
        <w:r w:rsidRPr="003015D7">
          <w:rPr>
            <w:rStyle w:val="Hyperlink"/>
            <w:rFonts w:ascii="Arial" w:hAnsi="Arial" w:cs="Arial"/>
            <w:color w:val="auto"/>
            <w:sz w:val="22"/>
            <w:szCs w:val="22"/>
          </w:rPr>
          <w:t>https://wonder.cdc.gov/</w:t>
        </w:r>
      </w:hyperlink>
      <w:r w:rsidRPr="003015D7">
        <w:rPr>
          <w:rFonts w:ascii="Arial" w:hAnsi="Arial" w:cs="Arial"/>
          <w:sz w:val="22"/>
          <w:szCs w:val="22"/>
        </w:rPr>
        <w:t>.</w:t>
      </w:r>
    </w:p>
    <w:p w14:paraId="2049FF57" w14:textId="77777777" w:rsidR="00792322" w:rsidRPr="003015D7" w:rsidRDefault="00000000" w:rsidP="003015D7">
      <w:pPr>
        <w:pStyle w:val="Bibliography"/>
        <w:rPr>
          <w:rFonts w:ascii="Arial" w:hAnsi="Arial" w:cs="Arial"/>
          <w:sz w:val="22"/>
          <w:szCs w:val="22"/>
        </w:rPr>
      </w:pPr>
      <w:bookmarkStart w:id="12" w:name="ref-chan1977"/>
      <w:bookmarkEnd w:id="11"/>
      <w:r w:rsidRPr="003015D7">
        <w:rPr>
          <w:rFonts w:ascii="Arial" w:hAnsi="Arial" w:cs="Arial"/>
          <w:sz w:val="22"/>
          <w:szCs w:val="22"/>
        </w:rPr>
        <w:t xml:space="preserve">Chan, Kwok Bun. 1977. “Individual Differences in Reactions to Stress and Their Personality and Situational Determinants: Some Implications for Community Mental Health.” </w:t>
      </w:r>
      <w:r w:rsidRPr="003015D7">
        <w:rPr>
          <w:rFonts w:ascii="Arial" w:hAnsi="Arial" w:cs="Arial"/>
          <w:i/>
          <w:iCs/>
          <w:sz w:val="22"/>
          <w:szCs w:val="22"/>
        </w:rPr>
        <w:t>Social Science &amp; Medicine (1967)</w:t>
      </w:r>
      <w:r w:rsidRPr="003015D7">
        <w:rPr>
          <w:rFonts w:ascii="Arial" w:hAnsi="Arial" w:cs="Arial"/>
          <w:sz w:val="22"/>
          <w:szCs w:val="22"/>
        </w:rPr>
        <w:t xml:space="preserve"> 11 (2): 89–103. </w:t>
      </w:r>
      <w:hyperlink r:id="rId22">
        <w:r w:rsidRPr="003015D7">
          <w:rPr>
            <w:rStyle w:val="Hyperlink"/>
            <w:rFonts w:ascii="Arial" w:hAnsi="Arial" w:cs="Arial"/>
            <w:color w:val="auto"/>
            <w:sz w:val="22"/>
            <w:szCs w:val="22"/>
          </w:rPr>
          <w:t>https://doi.org/10.1016/0037-7856(77)90004-X</w:t>
        </w:r>
      </w:hyperlink>
      <w:r w:rsidRPr="003015D7">
        <w:rPr>
          <w:rFonts w:ascii="Arial" w:hAnsi="Arial" w:cs="Arial"/>
          <w:sz w:val="22"/>
          <w:szCs w:val="22"/>
        </w:rPr>
        <w:t>.</w:t>
      </w:r>
    </w:p>
    <w:p w14:paraId="51D579A2" w14:textId="77777777" w:rsidR="00792322" w:rsidRPr="003015D7" w:rsidRDefault="00000000" w:rsidP="003015D7">
      <w:pPr>
        <w:pStyle w:val="Bibliography"/>
        <w:rPr>
          <w:rFonts w:ascii="Arial" w:hAnsi="Arial" w:cs="Arial"/>
          <w:sz w:val="22"/>
          <w:szCs w:val="22"/>
        </w:rPr>
      </w:pPr>
      <w:bookmarkStart w:id="13" w:name="ref-chevalier2006"/>
      <w:bookmarkEnd w:id="12"/>
      <w:r w:rsidRPr="003015D7">
        <w:rPr>
          <w:rFonts w:ascii="Arial" w:hAnsi="Arial" w:cs="Arial"/>
          <w:sz w:val="22"/>
          <w:szCs w:val="22"/>
        </w:rPr>
        <w:t xml:space="preserve">Chevalier, Arnaud, and Leon Feinstein. 2006. “Sheepskin or Prozac: The Causal Effect of Education on Mental Health.” Rochester, NY. </w:t>
      </w:r>
      <w:hyperlink r:id="rId23">
        <w:r w:rsidRPr="003015D7">
          <w:rPr>
            <w:rStyle w:val="Hyperlink"/>
            <w:rFonts w:ascii="Arial" w:hAnsi="Arial" w:cs="Arial"/>
            <w:color w:val="auto"/>
            <w:sz w:val="22"/>
            <w:szCs w:val="22"/>
          </w:rPr>
          <w:t>https://papers.ssrn.com/abstract=923530</w:t>
        </w:r>
      </w:hyperlink>
      <w:r w:rsidRPr="003015D7">
        <w:rPr>
          <w:rFonts w:ascii="Arial" w:hAnsi="Arial" w:cs="Arial"/>
          <w:sz w:val="22"/>
          <w:szCs w:val="22"/>
        </w:rPr>
        <w:t>.</w:t>
      </w:r>
    </w:p>
    <w:p w14:paraId="05A80B34" w14:textId="77777777" w:rsidR="00792322" w:rsidRPr="003015D7" w:rsidRDefault="00000000" w:rsidP="003015D7">
      <w:pPr>
        <w:pStyle w:val="Bibliography"/>
        <w:rPr>
          <w:rFonts w:ascii="Arial" w:hAnsi="Arial" w:cs="Arial"/>
          <w:sz w:val="22"/>
          <w:szCs w:val="22"/>
        </w:rPr>
      </w:pPr>
      <w:bookmarkStart w:id="14" w:name="ref-cooke2013"/>
      <w:bookmarkEnd w:id="13"/>
      <w:r w:rsidRPr="003015D7">
        <w:rPr>
          <w:rFonts w:ascii="Arial" w:hAnsi="Arial" w:cs="Arial"/>
          <w:sz w:val="22"/>
          <w:szCs w:val="22"/>
        </w:rPr>
        <w:t xml:space="preserve">Cooke, Thomas J. 2013. “Internal Migration in Decline.” </w:t>
      </w:r>
      <w:r w:rsidRPr="003015D7">
        <w:rPr>
          <w:rFonts w:ascii="Arial" w:hAnsi="Arial" w:cs="Arial"/>
          <w:i/>
          <w:iCs/>
          <w:sz w:val="22"/>
          <w:szCs w:val="22"/>
        </w:rPr>
        <w:t>The Professional Geographer</w:t>
      </w:r>
      <w:r w:rsidRPr="003015D7">
        <w:rPr>
          <w:rFonts w:ascii="Arial" w:hAnsi="Arial" w:cs="Arial"/>
          <w:sz w:val="22"/>
          <w:szCs w:val="22"/>
        </w:rPr>
        <w:t xml:space="preserve"> 65 (4): 664–75. </w:t>
      </w:r>
      <w:hyperlink r:id="rId24">
        <w:r w:rsidRPr="003015D7">
          <w:rPr>
            <w:rStyle w:val="Hyperlink"/>
            <w:rFonts w:ascii="Arial" w:hAnsi="Arial" w:cs="Arial"/>
            <w:color w:val="auto"/>
            <w:sz w:val="22"/>
            <w:szCs w:val="22"/>
          </w:rPr>
          <w:t>https://doi.org/10.1080/00330124.2012.724343</w:t>
        </w:r>
      </w:hyperlink>
      <w:r w:rsidRPr="003015D7">
        <w:rPr>
          <w:rFonts w:ascii="Arial" w:hAnsi="Arial" w:cs="Arial"/>
          <w:sz w:val="22"/>
          <w:szCs w:val="22"/>
        </w:rPr>
        <w:t>.</w:t>
      </w:r>
    </w:p>
    <w:p w14:paraId="1AC28B15" w14:textId="77777777" w:rsidR="00792322" w:rsidRPr="003015D7" w:rsidRDefault="00000000" w:rsidP="003015D7">
      <w:pPr>
        <w:pStyle w:val="Bibliography"/>
        <w:rPr>
          <w:rFonts w:ascii="Arial" w:hAnsi="Arial" w:cs="Arial"/>
          <w:sz w:val="22"/>
          <w:szCs w:val="22"/>
        </w:rPr>
      </w:pPr>
      <w:bookmarkStart w:id="15" w:name="ref-cummins2007"/>
      <w:bookmarkEnd w:id="14"/>
      <w:r w:rsidRPr="003015D7">
        <w:rPr>
          <w:rFonts w:ascii="Arial" w:hAnsi="Arial" w:cs="Arial"/>
          <w:sz w:val="22"/>
          <w:szCs w:val="22"/>
        </w:rPr>
        <w:t xml:space="preserve">Cummins, Steven, Sarah Curtis, Ana V. Diez-Roux, and Sally Macintyre. 2007. “Understanding and Representing ‘Place’ in Health Research: A Relational Approach.” </w:t>
      </w:r>
      <w:r w:rsidRPr="003015D7">
        <w:rPr>
          <w:rFonts w:ascii="Arial" w:hAnsi="Arial" w:cs="Arial"/>
          <w:i/>
          <w:iCs/>
          <w:sz w:val="22"/>
          <w:szCs w:val="22"/>
        </w:rPr>
        <w:t>Social Science &amp; Medicine</w:t>
      </w:r>
      <w:r w:rsidRPr="003015D7">
        <w:rPr>
          <w:rFonts w:ascii="Arial" w:hAnsi="Arial" w:cs="Arial"/>
          <w:sz w:val="22"/>
          <w:szCs w:val="22"/>
        </w:rPr>
        <w:t xml:space="preserve">, Placing Health in Context, 65 (9): 1825–38. </w:t>
      </w:r>
      <w:hyperlink r:id="rId25">
        <w:r w:rsidRPr="003015D7">
          <w:rPr>
            <w:rStyle w:val="Hyperlink"/>
            <w:rFonts w:ascii="Arial" w:hAnsi="Arial" w:cs="Arial"/>
            <w:color w:val="auto"/>
            <w:sz w:val="22"/>
            <w:szCs w:val="22"/>
          </w:rPr>
          <w:t>https://doi.org/10.1016/j.socscimed.2007.05.036</w:t>
        </w:r>
      </w:hyperlink>
      <w:r w:rsidRPr="003015D7">
        <w:rPr>
          <w:rFonts w:ascii="Arial" w:hAnsi="Arial" w:cs="Arial"/>
          <w:sz w:val="22"/>
          <w:szCs w:val="22"/>
        </w:rPr>
        <w:t>.</w:t>
      </w:r>
    </w:p>
    <w:p w14:paraId="345E5928" w14:textId="77777777" w:rsidR="00792322" w:rsidRPr="003015D7" w:rsidRDefault="00000000" w:rsidP="003015D7">
      <w:pPr>
        <w:pStyle w:val="Bibliography"/>
        <w:rPr>
          <w:rFonts w:ascii="Arial" w:hAnsi="Arial" w:cs="Arial"/>
          <w:sz w:val="22"/>
          <w:szCs w:val="22"/>
        </w:rPr>
      </w:pPr>
      <w:bookmarkStart w:id="16" w:name="ref-curtis2015"/>
      <w:bookmarkEnd w:id="15"/>
      <w:r w:rsidRPr="003015D7">
        <w:rPr>
          <w:rFonts w:ascii="Arial" w:hAnsi="Arial" w:cs="Arial"/>
          <w:sz w:val="22"/>
          <w:szCs w:val="22"/>
        </w:rPr>
        <w:t xml:space="preserve">Curtis, Katherine J., Elizabeth Fussell, and Jack DeWaard. 2015. “Recovery Migration After Hurricanes Katrina and Rita: Spatial Concentration and Intensification in the Migration System.” </w:t>
      </w:r>
      <w:r w:rsidRPr="003015D7">
        <w:rPr>
          <w:rFonts w:ascii="Arial" w:hAnsi="Arial" w:cs="Arial"/>
          <w:i/>
          <w:iCs/>
          <w:sz w:val="22"/>
          <w:szCs w:val="22"/>
        </w:rPr>
        <w:t>Demography</w:t>
      </w:r>
      <w:r w:rsidRPr="003015D7">
        <w:rPr>
          <w:rFonts w:ascii="Arial" w:hAnsi="Arial" w:cs="Arial"/>
          <w:sz w:val="22"/>
          <w:szCs w:val="22"/>
        </w:rPr>
        <w:t xml:space="preserve"> 52 (4): 1269–93. </w:t>
      </w:r>
      <w:hyperlink r:id="rId26">
        <w:r w:rsidRPr="003015D7">
          <w:rPr>
            <w:rStyle w:val="Hyperlink"/>
            <w:rFonts w:ascii="Arial" w:hAnsi="Arial" w:cs="Arial"/>
            <w:color w:val="auto"/>
            <w:sz w:val="22"/>
            <w:szCs w:val="22"/>
          </w:rPr>
          <w:t>https://doi.org/10.1007/s13524-015-0400-7</w:t>
        </w:r>
      </w:hyperlink>
      <w:r w:rsidRPr="003015D7">
        <w:rPr>
          <w:rFonts w:ascii="Arial" w:hAnsi="Arial" w:cs="Arial"/>
          <w:sz w:val="22"/>
          <w:szCs w:val="22"/>
        </w:rPr>
        <w:t>.</w:t>
      </w:r>
    </w:p>
    <w:p w14:paraId="228F13AC" w14:textId="77777777" w:rsidR="00792322" w:rsidRPr="003015D7" w:rsidRDefault="00000000" w:rsidP="003015D7">
      <w:pPr>
        <w:pStyle w:val="Bibliography"/>
        <w:rPr>
          <w:rFonts w:ascii="Arial" w:hAnsi="Arial" w:cs="Arial"/>
          <w:sz w:val="22"/>
          <w:szCs w:val="22"/>
        </w:rPr>
      </w:pPr>
      <w:bookmarkStart w:id="17" w:name="ref-cutler2012"/>
      <w:bookmarkEnd w:id="16"/>
      <w:r w:rsidRPr="003015D7">
        <w:rPr>
          <w:rFonts w:ascii="Arial" w:hAnsi="Arial" w:cs="Arial"/>
          <w:sz w:val="22"/>
          <w:szCs w:val="22"/>
        </w:rPr>
        <w:t xml:space="preserve">Cutler, David M., and Adriana Lleras-Muney. 2012. “Education and Health: Insights from International Comparisons.” </w:t>
      </w:r>
      <w:hyperlink r:id="rId27">
        <w:r w:rsidRPr="003015D7">
          <w:rPr>
            <w:rStyle w:val="Hyperlink"/>
            <w:rFonts w:ascii="Arial" w:hAnsi="Arial" w:cs="Arial"/>
            <w:color w:val="auto"/>
            <w:sz w:val="22"/>
            <w:szCs w:val="22"/>
          </w:rPr>
          <w:t>https://doi.org/10.3386/w17738</w:t>
        </w:r>
      </w:hyperlink>
      <w:r w:rsidRPr="003015D7">
        <w:rPr>
          <w:rFonts w:ascii="Arial" w:hAnsi="Arial" w:cs="Arial"/>
          <w:sz w:val="22"/>
          <w:szCs w:val="22"/>
        </w:rPr>
        <w:t>.</w:t>
      </w:r>
    </w:p>
    <w:p w14:paraId="65F2738A" w14:textId="77777777" w:rsidR="00792322" w:rsidRPr="003015D7" w:rsidRDefault="00000000" w:rsidP="003015D7">
      <w:pPr>
        <w:pStyle w:val="Bibliography"/>
        <w:rPr>
          <w:rFonts w:ascii="Arial" w:hAnsi="Arial" w:cs="Arial"/>
          <w:sz w:val="22"/>
          <w:szCs w:val="22"/>
        </w:rPr>
      </w:pPr>
      <w:bookmarkStart w:id="18" w:name="ref-cutler2006"/>
      <w:bookmarkEnd w:id="17"/>
      <w:r w:rsidRPr="003015D7">
        <w:rPr>
          <w:rFonts w:ascii="Arial" w:hAnsi="Arial" w:cs="Arial"/>
          <w:sz w:val="22"/>
          <w:szCs w:val="22"/>
        </w:rPr>
        <w:lastRenderedPageBreak/>
        <w:t xml:space="preserve">Cutler, David, and Adriana Lleras-Muney. 2006. “Education and Health: Evaluating Theories and Evidence.” </w:t>
      </w:r>
      <w:r w:rsidRPr="003015D7">
        <w:rPr>
          <w:rFonts w:ascii="Arial" w:hAnsi="Arial" w:cs="Arial"/>
          <w:i/>
          <w:iCs/>
          <w:sz w:val="22"/>
          <w:szCs w:val="22"/>
        </w:rPr>
        <w:t>Making Americans Healthier: Social and Economic Policy as Health Policy</w:t>
      </w:r>
      <w:r w:rsidRPr="003015D7">
        <w:rPr>
          <w:rFonts w:ascii="Arial" w:hAnsi="Arial" w:cs="Arial"/>
          <w:sz w:val="22"/>
          <w:szCs w:val="22"/>
        </w:rPr>
        <w:t xml:space="preserve"> 12352 (August). </w:t>
      </w:r>
      <w:hyperlink r:id="rId28">
        <w:r w:rsidRPr="003015D7">
          <w:rPr>
            <w:rStyle w:val="Hyperlink"/>
            <w:rFonts w:ascii="Arial" w:hAnsi="Arial" w:cs="Arial"/>
            <w:color w:val="auto"/>
            <w:sz w:val="22"/>
            <w:szCs w:val="22"/>
          </w:rPr>
          <w:t>https://doi.org/10.3386/w12352</w:t>
        </w:r>
      </w:hyperlink>
      <w:r w:rsidRPr="003015D7">
        <w:rPr>
          <w:rFonts w:ascii="Arial" w:hAnsi="Arial" w:cs="Arial"/>
          <w:sz w:val="22"/>
          <w:szCs w:val="22"/>
        </w:rPr>
        <w:t>.</w:t>
      </w:r>
    </w:p>
    <w:p w14:paraId="21476EF8" w14:textId="77777777" w:rsidR="00792322" w:rsidRPr="003015D7" w:rsidRDefault="00000000" w:rsidP="003015D7">
      <w:pPr>
        <w:pStyle w:val="Bibliography"/>
        <w:rPr>
          <w:rFonts w:ascii="Arial" w:hAnsi="Arial" w:cs="Arial"/>
          <w:sz w:val="22"/>
          <w:szCs w:val="22"/>
        </w:rPr>
      </w:pPr>
      <w:bookmarkStart w:id="19" w:name="ref-dewaard2022"/>
      <w:bookmarkEnd w:id="18"/>
      <w:r w:rsidRPr="003015D7">
        <w:rPr>
          <w:rFonts w:ascii="Arial" w:hAnsi="Arial" w:cs="Arial"/>
          <w:sz w:val="22"/>
          <w:szCs w:val="22"/>
        </w:rPr>
        <w:t xml:space="preserve">DeWaard, Jack, Mathew Hauer, Elizabeth Fussell, Katherine J. Curtis, Stephan D. Whitaker, Kathryn McConnell, Kobie Price, David Egan-Robertson, Michael Soto, and Catalina Anampa Castro. 2022. “User Beware: Concerning Findings from the Post 20112012 U.S. Internal Revenue Service Migration Data.” </w:t>
      </w:r>
      <w:r w:rsidRPr="003015D7">
        <w:rPr>
          <w:rFonts w:ascii="Arial" w:hAnsi="Arial" w:cs="Arial"/>
          <w:i/>
          <w:iCs/>
          <w:sz w:val="22"/>
          <w:szCs w:val="22"/>
        </w:rPr>
        <w:t>Population Research and Policy Review</w:t>
      </w:r>
      <w:r w:rsidRPr="003015D7">
        <w:rPr>
          <w:rFonts w:ascii="Arial" w:hAnsi="Arial" w:cs="Arial"/>
          <w:sz w:val="22"/>
          <w:szCs w:val="22"/>
        </w:rPr>
        <w:t xml:space="preserve"> 41 (2): 437–48. </w:t>
      </w:r>
      <w:hyperlink r:id="rId29">
        <w:r w:rsidRPr="003015D7">
          <w:rPr>
            <w:rStyle w:val="Hyperlink"/>
            <w:rFonts w:ascii="Arial" w:hAnsi="Arial" w:cs="Arial"/>
            <w:color w:val="auto"/>
            <w:sz w:val="22"/>
            <w:szCs w:val="22"/>
          </w:rPr>
          <w:t>https://doi.org/10.1007/s11113-021-09663-6</w:t>
        </w:r>
      </w:hyperlink>
      <w:r w:rsidRPr="003015D7">
        <w:rPr>
          <w:rFonts w:ascii="Arial" w:hAnsi="Arial" w:cs="Arial"/>
          <w:sz w:val="22"/>
          <w:szCs w:val="22"/>
        </w:rPr>
        <w:t>.</w:t>
      </w:r>
    </w:p>
    <w:p w14:paraId="4C78E0E8" w14:textId="77777777" w:rsidR="00792322" w:rsidRPr="003015D7" w:rsidRDefault="00000000" w:rsidP="003015D7">
      <w:pPr>
        <w:pStyle w:val="Bibliography"/>
        <w:rPr>
          <w:rFonts w:ascii="Arial" w:hAnsi="Arial" w:cs="Arial"/>
          <w:sz w:val="22"/>
          <w:szCs w:val="22"/>
        </w:rPr>
      </w:pPr>
      <w:bookmarkStart w:id="20" w:name="ref-dong2010"/>
      <w:bookmarkEnd w:id="19"/>
      <w:r w:rsidRPr="003015D7">
        <w:rPr>
          <w:rFonts w:ascii="Arial" w:hAnsi="Arial" w:cs="Arial"/>
          <w:sz w:val="22"/>
          <w:szCs w:val="22"/>
        </w:rPr>
        <w:t xml:space="preserve">Dong, Jun-De, Yan-Ying Zhang, Si Zhang, You-Shao Wang, Zhi-Hao Yang, and Mei-Lin Wu. 2010. “Identification of Temporal and Spatial Variations of Water Quality in Sanya Bay, China by Three-Way Principal Component Analysis.” </w:t>
      </w:r>
      <w:r w:rsidRPr="003015D7">
        <w:rPr>
          <w:rFonts w:ascii="Arial" w:hAnsi="Arial" w:cs="Arial"/>
          <w:i/>
          <w:iCs/>
          <w:sz w:val="22"/>
          <w:szCs w:val="22"/>
        </w:rPr>
        <w:t>Environmental Earth Sciences</w:t>
      </w:r>
      <w:r w:rsidRPr="003015D7">
        <w:rPr>
          <w:rFonts w:ascii="Arial" w:hAnsi="Arial" w:cs="Arial"/>
          <w:sz w:val="22"/>
          <w:szCs w:val="22"/>
        </w:rPr>
        <w:t xml:space="preserve"> 60 (8): 1673–82. </w:t>
      </w:r>
      <w:hyperlink r:id="rId30">
        <w:r w:rsidRPr="003015D7">
          <w:rPr>
            <w:rStyle w:val="Hyperlink"/>
            <w:rFonts w:ascii="Arial" w:hAnsi="Arial" w:cs="Arial"/>
            <w:color w:val="auto"/>
            <w:sz w:val="22"/>
            <w:szCs w:val="22"/>
          </w:rPr>
          <w:t>https://doi.org/10.1007/s12665-009-0301-4</w:t>
        </w:r>
      </w:hyperlink>
      <w:r w:rsidRPr="003015D7">
        <w:rPr>
          <w:rFonts w:ascii="Arial" w:hAnsi="Arial" w:cs="Arial"/>
          <w:sz w:val="22"/>
          <w:szCs w:val="22"/>
        </w:rPr>
        <w:t>.</w:t>
      </w:r>
    </w:p>
    <w:p w14:paraId="545902B1" w14:textId="77777777" w:rsidR="00792322" w:rsidRPr="003015D7" w:rsidRDefault="00000000" w:rsidP="003015D7">
      <w:pPr>
        <w:pStyle w:val="Bibliography"/>
        <w:rPr>
          <w:rFonts w:ascii="Arial" w:hAnsi="Arial" w:cs="Arial"/>
          <w:sz w:val="22"/>
          <w:szCs w:val="22"/>
        </w:rPr>
      </w:pPr>
      <w:bookmarkStart w:id="21" w:name="ref-elarde2021"/>
      <w:bookmarkEnd w:id="20"/>
      <w:r w:rsidRPr="003015D7">
        <w:rPr>
          <w:rFonts w:ascii="Arial" w:hAnsi="Arial" w:cs="Arial"/>
          <w:sz w:val="22"/>
          <w:szCs w:val="22"/>
        </w:rPr>
        <w:t xml:space="preserve">Elarde, Justin, Joon-Seok Kim, Hamdi Kavak, Andreas Züfle, and Taylor Anderson. 2021. “Change of Human Mobility During COVID-19: A United States Case Study.” </w:t>
      </w:r>
      <w:r w:rsidRPr="003015D7">
        <w:rPr>
          <w:rFonts w:ascii="Arial" w:hAnsi="Arial" w:cs="Arial"/>
          <w:i/>
          <w:iCs/>
          <w:sz w:val="22"/>
          <w:szCs w:val="22"/>
        </w:rPr>
        <w:t>PLOS ONE</w:t>
      </w:r>
      <w:r w:rsidRPr="003015D7">
        <w:rPr>
          <w:rFonts w:ascii="Arial" w:hAnsi="Arial" w:cs="Arial"/>
          <w:sz w:val="22"/>
          <w:szCs w:val="22"/>
        </w:rPr>
        <w:t xml:space="preserve"> 16 (11): e0259031. </w:t>
      </w:r>
      <w:hyperlink r:id="rId31">
        <w:r w:rsidRPr="003015D7">
          <w:rPr>
            <w:rStyle w:val="Hyperlink"/>
            <w:rFonts w:ascii="Arial" w:hAnsi="Arial" w:cs="Arial"/>
            <w:color w:val="auto"/>
            <w:sz w:val="22"/>
            <w:szCs w:val="22"/>
          </w:rPr>
          <w:t>https://doi.org/10.1371/journal.pone.0259031</w:t>
        </w:r>
      </w:hyperlink>
      <w:r w:rsidRPr="003015D7">
        <w:rPr>
          <w:rFonts w:ascii="Arial" w:hAnsi="Arial" w:cs="Arial"/>
          <w:sz w:val="22"/>
          <w:szCs w:val="22"/>
        </w:rPr>
        <w:t>.</w:t>
      </w:r>
    </w:p>
    <w:p w14:paraId="75C9150B" w14:textId="77777777" w:rsidR="00792322" w:rsidRPr="003015D7" w:rsidRDefault="00000000" w:rsidP="003015D7">
      <w:pPr>
        <w:pStyle w:val="Bibliography"/>
        <w:rPr>
          <w:rFonts w:ascii="Arial" w:hAnsi="Arial" w:cs="Arial"/>
          <w:sz w:val="22"/>
          <w:szCs w:val="22"/>
        </w:rPr>
      </w:pPr>
      <w:bookmarkStart w:id="22" w:name="ref-explore"/>
      <w:bookmarkEnd w:id="21"/>
      <w:r w:rsidRPr="003015D7">
        <w:rPr>
          <w:rFonts w:ascii="Arial" w:hAnsi="Arial" w:cs="Arial"/>
          <w:sz w:val="22"/>
          <w:szCs w:val="22"/>
        </w:rPr>
        <w:t xml:space="preserve">“Explore Health Rankings | Rankings Data &amp; Documentation.” n.d. </w:t>
      </w:r>
      <w:hyperlink r:id="rId32">
        <w:r w:rsidRPr="003015D7">
          <w:rPr>
            <w:rStyle w:val="Hyperlink"/>
            <w:rFonts w:ascii="Arial" w:hAnsi="Arial" w:cs="Arial"/>
            <w:color w:val="auto"/>
            <w:sz w:val="22"/>
            <w:szCs w:val="22"/>
          </w:rPr>
          <w:t>https://www.countyhealthrankings.org/explore-health-rankings/rankings-data-documentation</w:t>
        </w:r>
      </w:hyperlink>
      <w:r w:rsidRPr="003015D7">
        <w:rPr>
          <w:rFonts w:ascii="Arial" w:hAnsi="Arial" w:cs="Arial"/>
          <w:sz w:val="22"/>
          <w:szCs w:val="22"/>
        </w:rPr>
        <w:t>.</w:t>
      </w:r>
    </w:p>
    <w:p w14:paraId="3E39318B" w14:textId="77777777" w:rsidR="00792322" w:rsidRPr="003015D7" w:rsidRDefault="00000000" w:rsidP="003015D7">
      <w:pPr>
        <w:pStyle w:val="Bibliography"/>
        <w:rPr>
          <w:rFonts w:ascii="Arial" w:hAnsi="Arial" w:cs="Arial"/>
          <w:sz w:val="22"/>
          <w:szCs w:val="22"/>
        </w:rPr>
      </w:pPr>
      <w:bookmarkStart w:id="23" w:name="ref-fanaee-t2016"/>
      <w:bookmarkEnd w:id="22"/>
      <w:r w:rsidRPr="003015D7">
        <w:rPr>
          <w:rFonts w:ascii="Arial" w:hAnsi="Arial" w:cs="Arial"/>
          <w:sz w:val="22"/>
          <w:szCs w:val="22"/>
        </w:rPr>
        <w:t xml:space="preserve">Fanaee-T, Hadi, and João Gama. 2016. “Tensor-Based Anomaly Detection: An Interdisciplinary Survey.” </w:t>
      </w:r>
      <w:r w:rsidRPr="003015D7">
        <w:rPr>
          <w:rFonts w:ascii="Arial" w:hAnsi="Arial" w:cs="Arial"/>
          <w:i/>
          <w:iCs/>
          <w:sz w:val="22"/>
          <w:szCs w:val="22"/>
        </w:rPr>
        <w:t>Knowledge-Based Systems</w:t>
      </w:r>
      <w:r w:rsidRPr="003015D7">
        <w:rPr>
          <w:rFonts w:ascii="Arial" w:hAnsi="Arial" w:cs="Arial"/>
          <w:sz w:val="22"/>
          <w:szCs w:val="22"/>
        </w:rPr>
        <w:t xml:space="preserve"> 98 (April): 130–47. </w:t>
      </w:r>
      <w:hyperlink r:id="rId33">
        <w:r w:rsidRPr="003015D7">
          <w:rPr>
            <w:rStyle w:val="Hyperlink"/>
            <w:rFonts w:ascii="Arial" w:hAnsi="Arial" w:cs="Arial"/>
            <w:color w:val="auto"/>
            <w:sz w:val="22"/>
            <w:szCs w:val="22"/>
          </w:rPr>
          <w:t>https://doi.org/10.1016/j.knosys.2016.01.027</w:t>
        </w:r>
      </w:hyperlink>
      <w:r w:rsidRPr="003015D7">
        <w:rPr>
          <w:rFonts w:ascii="Arial" w:hAnsi="Arial" w:cs="Arial"/>
          <w:sz w:val="22"/>
          <w:szCs w:val="22"/>
        </w:rPr>
        <w:t>.</w:t>
      </w:r>
    </w:p>
    <w:p w14:paraId="332E86BA" w14:textId="77777777" w:rsidR="00792322" w:rsidRPr="003015D7" w:rsidRDefault="00000000" w:rsidP="003015D7">
      <w:pPr>
        <w:pStyle w:val="Bibliography"/>
        <w:rPr>
          <w:rFonts w:ascii="Arial" w:hAnsi="Arial" w:cs="Arial"/>
          <w:sz w:val="22"/>
          <w:szCs w:val="22"/>
        </w:rPr>
      </w:pPr>
      <w:bookmarkStart w:id="24" w:name="ref-fielding-miller2020"/>
      <w:bookmarkEnd w:id="23"/>
      <w:r w:rsidRPr="003015D7">
        <w:rPr>
          <w:rFonts w:ascii="Arial" w:hAnsi="Arial" w:cs="Arial"/>
          <w:sz w:val="22"/>
          <w:szCs w:val="22"/>
        </w:rPr>
        <w:t xml:space="preserve">Fielding-Miller, Rebecca K., Maria E. Sundaram, and Kimberly Brouwer. 2020. “Social Determinants of COVID-19 Mortality at the County Level.” </w:t>
      </w:r>
      <w:r w:rsidRPr="003015D7">
        <w:rPr>
          <w:rFonts w:ascii="Arial" w:hAnsi="Arial" w:cs="Arial"/>
          <w:i/>
          <w:iCs/>
          <w:sz w:val="22"/>
          <w:szCs w:val="22"/>
        </w:rPr>
        <w:t>PLOS ONE</w:t>
      </w:r>
      <w:r w:rsidRPr="003015D7">
        <w:rPr>
          <w:rFonts w:ascii="Arial" w:hAnsi="Arial" w:cs="Arial"/>
          <w:sz w:val="22"/>
          <w:szCs w:val="22"/>
        </w:rPr>
        <w:t xml:space="preserve"> 15 (10): e0240151. </w:t>
      </w:r>
      <w:hyperlink r:id="rId34">
        <w:r w:rsidRPr="003015D7">
          <w:rPr>
            <w:rStyle w:val="Hyperlink"/>
            <w:rFonts w:ascii="Arial" w:hAnsi="Arial" w:cs="Arial"/>
            <w:color w:val="auto"/>
            <w:sz w:val="22"/>
            <w:szCs w:val="22"/>
          </w:rPr>
          <w:t>https://doi.org/10.1371/journal.pone.0240151</w:t>
        </w:r>
      </w:hyperlink>
      <w:r w:rsidRPr="003015D7">
        <w:rPr>
          <w:rFonts w:ascii="Arial" w:hAnsi="Arial" w:cs="Arial"/>
          <w:sz w:val="22"/>
          <w:szCs w:val="22"/>
        </w:rPr>
        <w:t>.</w:t>
      </w:r>
    </w:p>
    <w:p w14:paraId="1AF35042" w14:textId="77777777" w:rsidR="00792322" w:rsidRPr="003015D7" w:rsidRDefault="00000000" w:rsidP="003015D7">
      <w:pPr>
        <w:pStyle w:val="Bibliography"/>
        <w:rPr>
          <w:rFonts w:ascii="Arial" w:hAnsi="Arial" w:cs="Arial"/>
          <w:sz w:val="22"/>
          <w:szCs w:val="22"/>
        </w:rPr>
      </w:pPr>
      <w:bookmarkStart w:id="25" w:name="ref-greenland1989"/>
      <w:bookmarkEnd w:id="24"/>
      <w:r w:rsidRPr="003015D7">
        <w:rPr>
          <w:rFonts w:ascii="Arial" w:hAnsi="Arial" w:cs="Arial"/>
          <w:sz w:val="22"/>
          <w:szCs w:val="22"/>
        </w:rPr>
        <w:t xml:space="preserve">GREENLAND, SANDER, and HAL MORGENSTERN. 1989. “Ecological Bias, Confounding, and Effect Modification.” </w:t>
      </w:r>
      <w:r w:rsidRPr="003015D7">
        <w:rPr>
          <w:rFonts w:ascii="Arial" w:hAnsi="Arial" w:cs="Arial"/>
          <w:i/>
          <w:iCs/>
          <w:sz w:val="22"/>
          <w:szCs w:val="22"/>
        </w:rPr>
        <w:t>International Journal of Epidemiology</w:t>
      </w:r>
      <w:r w:rsidRPr="003015D7">
        <w:rPr>
          <w:rFonts w:ascii="Arial" w:hAnsi="Arial" w:cs="Arial"/>
          <w:sz w:val="22"/>
          <w:szCs w:val="22"/>
        </w:rPr>
        <w:t xml:space="preserve"> 18 (1): 269–74. </w:t>
      </w:r>
      <w:hyperlink r:id="rId35">
        <w:r w:rsidRPr="003015D7">
          <w:rPr>
            <w:rStyle w:val="Hyperlink"/>
            <w:rFonts w:ascii="Arial" w:hAnsi="Arial" w:cs="Arial"/>
            <w:color w:val="auto"/>
            <w:sz w:val="22"/>
            <w:szCs w:val="22"/>
          </w:rPr>
          <w:t>https://doi.org/10.1093/ije/18.1.269</w:t>
        </w:r>
      </w:hyperlink>
      <w:r w:rsidRPr="003015D7">
        <w:rPr>
          <w:rFonts w:ascii="Arial" w:hAnsi="Arial" w:cs="Arial"/>
          <w:sz w:val="22"/>
          <w:szCs w:val="22"/>
        </w:rPr>
        <w:t>.</w:t>
      </w:r>
    </w:p>
    <w:p w14:paraId="035AC0C8" w14:textId="77777777" w:rsidR="00792322" w:rsidRPr="003015D7" w:rsidRDefault="00000000" w:rsidP="003015D7">
      <w:pPr>
        <w:pStyle w:val="Bibliography"/>
        <w:rPr>
          <w:rFonts w:ascii="Arial" w:hAnsi="Arial" w:cs="Arial"/>
          <w:sz w:val="22"/>
          <w:szCs w:val="22"/>
        </w:rPr>
      </w:pPr>
      <w:bookmarkStart w:id="26" w:name="ref-greenwood1975"/>
      <w:bookmarkEnd w:id="25"/>
      <w:r w:rsidRPr="003015D7">
        <w:rPr>
          <w:rFonts w:ascii="Arial" w:hAnsi="Arial" w:cs="Arial"/>
          <w:sz w:val="22"/>
          <w:szCs w:val="22"/>
        </w:rPr>
        <w:t xml:space="preserve">Greenwood, Michael J. 1975. “Research on Internal Migration in the United States: A Survey.” </w:t>
      </w:r>
      <w:r w:rsidRPr="003015D7">
        <w:rPr>
          <w:rFonts w:ascii="Arial" w:hAnsi="Arial" w:cs="Arial"/>
          <w:i/>
          <w:iCs/>
          <w:sz w:val="22"/>
          <w:szCs w:val="22"/>
        </w:rPr>
        <w:t>Journal of Economic Literature</w:t>
      </w:r>
      <w:r w:rsidRPr="003015D7">
        <w:rPr>
          <w:rFonts w:ascii="Arial" w:hAnsi="Arial" w:cs="Arial"/>
          <w:sz w:val="22"/>
          <w:szCs w:val="22"/>
        </w:rPr>
        <w:t xml:space="preserve"> 13 (2): 397–433. </w:t>
      </w:r>
      <w:hyperlink r:id="rId36">
        <w:r w:rsidRPr="003015D7">
          <w:rPr>
            <w:rStyle w:val="Hyperlink"/>
            <w:rFonts w:ascii="Arial" w:hAnsi="Arial" w:cs="Arial"/>
            <w:color w:val="auto"/>
            <w:sz w:val="22"/>
            <w:szCs w:val="22"/>
          </w:rPr>
          <w:t>https://www.jstor.org/stable/2722115</w:t>
        </w:r>
      </w:hyperlink>
      <w:r w:rsidRPr="003015D7">
        <w:rPr>
          <w:rFonts w:ascii="Arial" w:hAnsi="Arial" w:cs="Arial"/>
          <w:sz w:val="22"/>
          <w:szCs w:val="22"/>
        </w:rPr>
        <w:t>.</w:t>
      </w:r>
    </w:p>
    <w:p w14:paraId="4BA2731A" w14:textId="77777777" w:rsidR="00792322" w:rsidRPr="003015D7" w:rsidRDefault="00000000" w:rsidP="003015D7">
      <w:pPr>
        <w:pStyle w:val="Bibliography"/>
        <w:rPr>
          <w:rFonts w:ascii="Arial" w:hAnsi="Arial" w:cs="Arial"/>
          <w:sz w:val="22"/>
          <w:szCs w:val="22"/>
        </w:rPr>
      </w:pPr>
      <w:bookmarkStart w:id="27" w:name="ref-grembowski2002"/>
      <w:bookmarkEnd w:id="26"/>
      <w:r w:rsidRPr="003015D7">
        <w:rPr>
          <w:rFonts w:ascii="Arial" w:hAnsi="Arial" w:cs="Arial"/>
          <w:sz w:val="22"/>
          <w:szCs w:val="22"/>
        </w:rPr>
        <w:t xml:space="preserve">Grembowski, David E., Diane Martin, Donald L. Patrick, Paula Diehr, Wayne Katon, Barbara Williams, Ruth Engelberg, et al. 2002. “Managed Care, Access to Mental Health Specialists, and Outcomes Among Primary Care Patients with Depressive Symptoms.” </w:t>
      </w:r>
      <w:r w:rsidRPr="003015D7">
        <w:rPr>
          <w:rFonts w:ascii="Arial" w:hAnsi="Arial" w:cs="Arial"/>
          <w:i/>
          <w:iCs/>
          <w:sz w:val="22"/>
          <w:szCs w:val="22"/>
        </w:rPr>
        <w:t>Journal of General Internal Medicine</w:t>
      </w:r>
      <w:r w:rsidRPr="003015D7">
        <w:rPr>
          <w:rFonts w:ascii="Arial" w:hAnsi="Arial" w:cs="Arial"/>
          <w:sz w:val="22"/>
          <w:szCs w:val="22"/>
        </w:rPr>
        <w:t xml:space="preserve"> 17 (4): 258–69. </w:t>
      </w:r>
      <w:hyperlink r:id="rId37">
        <w:r w:rsidRPr="003015D7">
          <w:rPr>
            <w:rStyle w:val="Hyperlink"/>
            <w:rFonts w:ascii="Arial" w:hAnsi="Arial" w:cs="Arial"/>
            <w:color w:val="auto"/>
            <w:sz w:val="22"/>
            <w:szCs w:val="22"/>
          </w:rPr>
          <w:t>https://doi.org/10.1046/j.1525-1497.2002.10321.x</w:t>
        </w:r>
      </w:hyperlink>
      <w:r w:rsidRPr="003015D7">
        <w:rPr>
          <w:rFonts w:ascii="Arial" w:hAnsi="Arial" w:cs="Arial"/>
          <w:sz w:val="22"/>
          <w:szCs w:val="22"/>
        </w:rPr>
        <w:t>.</w:t>
      </w:r>
    </w:p>
    <w:p w14:paraId="322679FF" w14:textId="77777777" w:rsidR="00792322" w:rsidRPr="003015D7" w:rsidRDefault="00000000" w:rsidP="003015D7">
      <w:pPr>
        <w:pStyle w:val="Bibliography"/>
        <w:rPr>
          <w:rFonts w:ascii="Arial" w:hAnsi="Arial" w:cs="Arial"/>
          <w:sz w:val="22"/>
          <w:szCs w:val="22"/>
        </w:rPr>
      </w:pPr>
      <w:bookmarkStart w:id="28" w:name="ref-gushulak2006"/>
      <w:bookmarkEnd w:id="27"/>
      <w:r w:rsidRPr="003015D7">
        <w:rPr>
          <w:rFonts w:ascii="Arial" w:hAnsi="Arial" w:cs="Arial"/>
          <w:sz w:val="22"/>
          <w:szCs w:val="22"/>
        </w:rPr>
        <w:t xml:space="preserve">Gushulak, Brian D., and Douglas W. MacPherson. 2006. “The Basic Principles of Migration Health: Population Mobility and Gaps in Disease Prevalence.” </w:t>
      </w:r>
      <w:r w:rsidRPr="003015D7">
        <w:rPr>
          <w:rFonts w:ascii="Arial" w:hAnsi="Arial" w:cs="Arial"/>
          <w:i/>
          <w:iCs/>
          <w:sz w:val="22"/>
          <w:szCs w:val="22"/>
        </w:rPr>
        <w:t>Emerging Themes in Epidemiology</w:t>
      </w:r>
      <w:r w:rsidRPr="003015D7">
        <w:rPr>
          <w:rFonts w:ascii="Arial" w:hAnsi="Arial" w:cs="Arial"/>
          <w:sz w:val="22"/>
          <w:szCs w:val="22"/>
        </w:rPr>
        <w:t xml:space="preserve"> 3 (1): 1–11. </w:t>
      </w:r>
      <w:hyperlink r:id="rId38">
        <w:r w:rsidRPr="003015D7">
          <w:rPr>
            <w:rStyle w:val="Hyperlink"/>
            <w:rFonts w:ascii="Arial" w:hAnsi="Arial" w:cs="Arial"/>
            <w:color w:val="auto"/>
            <w:sz w:val="22"/>
            <w:szCs w:val="22"/>
          </w:rPr>
          <w:t>https://doi.org/10.1186/1742-7622-3-3</w:t>
        </w:r>
      </w:hyperlink>
      <w:r w:rsidRPr="003015D7">
        <w:rPr>
          <w:rFonts w:ascii="Arial" w:hAnsi="Arial" w:cs="Arial"/>
          <w:sz w:val="22"/>
          <w:szCs w:val="22"/>
        </w:rPr>
        <w:t>.</w:t>
      </w:r>
    </w:p>
    <w:p w14:paraId="09230568" w14:textId="77777777" w:rsidR="00792322" w:rsidRPr="003015D7" w:rsidRDefault="00000000" w:rsidP="003015D7">
      <w:pPr>
        <w:pStyle w:val="Bibliography"/>
        <w:rPr>
          <w:rFonts w:ascii="Arial" w:hAnsi="Arial" w:cs="Arial"/>
          <w:sz w:val="22"/>
          <w:szCs w:val="22"/>
        </w:rPr>
      </w:pPr>
      <w:bookmarkStart w:id="29" w:name="ref-ha2017"/>
      <w:bookmarkEnd w:id="28"/>
      <w:r w:rsidRPr="003015D7">
        <w:rPr>
          <w:rFonts w:ascii="Arial" w:hAnsi="Arial" w:cs="Arial"/>
          <w:sz w:val="22"/>
          <w:szCs w:val="22"/>
        </w:rPr>
        <w:t xml:space="preserve">Ha, Hoehun. 2017. “Geographic Variation in Mentally Unhealthy Days: Air Pollution and Altitude Perspectives.” </w:t>
      </w:r>
      <w:r w:rsidRPr="003015D7">
        <w:rPr>
          <w:rFonts w:ascii="Arial" w:hAnsi="Arial" w:cs="Arial"/>
          <w:i/>
          <w:iCs/>
          <w:sz w:val="22"/>
          <w:szCs w:val="22"/>
        </w:rPr>
        <w:t>High Altitude Medicine &amp; Biology</w:t>
      </w:r>
      <w:r w:rsidRPr="003015D7">
        <w:rPr>
          <w:rFonts w:ascii="Arial" w:hAnsi="Arial" w:cs="Arial"/>
          <w:sz w:val="22"/>
          <w:szCs w:val="22"/>
        </w:rPr>
        <w:t xml:space="preserve"> 18 (3): 258–66. </w:t>
      </w:r>
      <w:hyperlink r:id="rId39">
        <w:r w:rsidRPr="003015D7">
          <w:rPr>
            <w:rStyle w:val="Hyperlink"/>
            <w:rFonts w:ascii="Arial" w:hAnsi="Arial" w:cs="Arial"/>
            <w:color w:val="auto"/>
            <w:sz w:val="22"/>
            <w:szCs w:val="22"/>
          </w:rPr>
          <w:t>https://doi.org/10.1089/ham.2016.0137</w:t>
        </w:r>
      </w:hyperlink>
      <w:r w:rsidRPr="003015D7">
        <w:rPr>
          <w:rFonts w:ascii="Arial" w:hAnsi="Arial" w:cs="Arial"/>
          <w:sz w:val="22"/>
          <w:szCs w:val="22"/>
        </w:rPr>
        <w:t>.</w:t>
      </w:r>
    </w:p>
    <w:p w14:paraId="1F930B20" w14:textId="77777777" w:rsidR="00792322" w:rsidRPr="003015D7" w:rsidRDefault="00000000" w:rsidP="003015D7">
      <w:pPr>
        <w:pStyle w:val="Bibliography"/>
        <w:rPr>
          <w:rFonts w:ascii="Arial" w:hAnsi="Arial" w:cs="Arial"/>
          <w:sz w:val="22"/>
          <w:szCs w:val="22"/>
        </w:rPr>
      </w:pPr>
      <w:bookmarkStart w:id="30" w:name="ref-ha2019"/>
      <w:bookmarkEnd w:id="29"/>
      <w:r w:rsidRPr="003015D7">
        <w:rPr>
          <w:rFonts w:ascii="Arial" w:hAnsi="Arial" w:cs="Arial"/>
          <w:sz w:val="22"/>
          <w:szCs w:val="22"/>
        </w:rPr>
        <w:t xml:space="preserve">Ha, Hoehun, and Wanyun Shao. 2019. “A Spatial Epidemiology Case Study of Mentally Unhealthy Days (MUDs): Air Pollution, Community Resilience, and Sunlight Perspectives.” </w:t>
      </w:r>
      <w:r w:rsidRPr="003015D7">
        <w:rPr>
          <w:rFonts w:ascii="Arial" w:hAnsi="Arial" w:cs="Arial"/>
          <w:i/>
          <w:iCs/>
          <w:sz w:val="22"/>
          <w:szCs w:val="22"/>
        </w:rPr>
        <w:t>International Journal of Environmental Health Research</w:t>
      </w:r>
      <w:r w:rsidRPr="003015D7">
        <w:rPr>
          <w:rFonts w:ascii="Arial" w:hAnsi="Arial" w:cs="Arial"/>
          <w:sz w:val="22"/>
          <w:szCs w:val="22"/>
        </w:rPr>
        <w:t xml:space="preserve"> 0 (0): 1–16. </w:t>
      </w:r>
      <w:hyperlink r:id="rId40">
        <w:r w:rsidRPr="003015D7">
          <w:rPr>
            <w:rStyle w:val="Hyperlink"/>
            <w:rFonts w:ascii="Arial" w:hAnsi="Arial" w:cs="Arial"/>
            <w:color w:val="auto"/>
            <w:sz w:val="22"/>
            <w:szCs w:val="22"/>
          </w:rPr>
          <w:t>https://doi.org/10.1080/09603123.2019.1669768</w:t>
        </w:r>
      </w:hyperlink>
      <w:r w:rsidRPr="003015D7">
        <w:rPr>
          <w:rFonts w:ascii="Arial" w:hAnsi="Arial" w:cs="Arial"/>
          <w:sz w:val="22"/>
          <w:szCs w:val="22"/>
        </w:rPr>
        <w:t>.</w:t>
      </w:r>
    </w:p>
    <w:p w14:paraId="671E81C5" w14:textId="77777777" w:rsidR="00792322" w:rsidRPr="003015D7" w:rsidRDefault="00000000" w:rsidP="003015D7">
      <w:pPr>
        <w:pStyle w:val="Bibliography"/>
        <w:rPr>
          <w:rFonts w:ascii="Arial" w:hAnsi="Arial" w:cs="Arial"/>
          <w:sz w:val="22"/>
          <w:szCs w:val="22"/>
        </w:rPr>
      </w:pPr>
      <w:bookmarkStart w:id="31" w:name="ref-dehaas2021"/>
      <w:bookmarkEnd w:id="30"/>
      <w:r w:rsidRPr="003015D7">
        <w:rPr>
          <w:rFonts w:ascii="Arial" w:hAnsi="Arial" w:cs="Arial"/>
          <w:sz w:val="22"/>
          <w:szCs w:val="22"/>
        </w:rPr>
        <w:t xml:space="preserve">Haas, H. de. 2021. “Migration System Formation and Decline: A Theoretical Inquiry into the Self-Perpetuating and Self-Undermining Dynamics of Migration Processes.” </w:t>
      </w:r>
      <w:hyperlink r:id="rId41">
        <w:r w:rsidRPr="003015D7">
          <w:rPr>
            <w:rStyle w:val="Hyperlink"/>
            <w:rFonts w:ascii="Arial" w:hAnsi="Arial" w:cs="Arial"/>
            <w:color w:val="auto"/>
            <w:sz w:val="22"/>
            <w:szCs w:val="22"/>
          </w:rPr>
          <w:t>https://ora.ox.ac.uk/objects/uuid:94db8a0c-f78b-4fd2-b40f-1aa43d5a3b60</w:t>
        </w:r>
      </w:hyperlink>
      <w:r w:rsidRPr="003015D7">
        <w:rPr>
          <w:rFonts w:ascii="Arial" w:hAnsi="Arial" w:cs="Arial"/>
          <w:sz w:val="22"/>
          <w:szCs w:val="22"/>
        </w:rPr>
        <w:t>.</w:t>
      </w:r>
    </w:p>
    <w:p w14:paraId="186556C8" w14:textId="77777777" w:rsidR="00792322" w:rsidRPr="003015D7" w:rsidRDefault="00000000" w:rsidP="003015D7">
      <w:pPr>
        <w:pStyle w:val="Bibliography"/>
        <w:rPr>
          <w:rFonts w:ascii="Arial" w:hAnsi="Arial" w:cs="Arial"/>
          <w:sz w:val="22"/>
          <w:szCs w:val="22"/>
        </w:rPr>
      </w:pPr>
      <w:bookmarkStart w:id="32" w:name="ref-dehaas2010"/>
      <w:bookmarkEnd w:id="31"/>
      <w:r w:rsidRPr="003015D7">
        <w:rPr>
          <w:rFonts w:ascii="Arial" w:hAnsi="Arial" w:cs="Arial"/>
          <w:sz w:val="22"/>
          <w:szCs w:val="22"/>
        </w:rPr>
        <w:t xml:space="preserve">Haas, Hein de. 2010a. “The Internal Dynamics of Migration Processes: A Theoretical Inquiry.” </w:t>
      </w:r>
      <w:r w:rsidRPr="003015D7">
        <w:rPr>
          <w:rFonts w:ascii="Arial" w:hAnsi="Arial" w:cs="Arial"/>
          <w:i/>
          <w:iCs/>
          <w:sz w:val="22"/>
          <w:szCs w:val="22"/>
        </w:rPr>
        <w:t>Journal of Ethnic and Migration Studies</w:t>
      </w:r>
      <w:r w:rsidRPr="003015D7">
        <w:rPr>
          <w:rFonts w:ascii="Arial" w:hAnsi="Arial" w:cs="Arial"/>
          <w:sz w:val="22"/>
          <w:szCs w:val="22"/>
        </w:rPr>
        <w:t xml:space="preserve"> 36 (10): 1587–617. </w:t>
      </w:r>
      <w:hyperlink r:id="rId42">
        <w:r w:rsidRPr="003015D7">
          <w:rPr>
            <w:rStyle w:val="Hyperlink"/>
            <w:rFonts w:ascii="Arial" w:hAnsi="Arial" w:cs="Arial"/>
            <w:color w:val="auto"/>
            <w:sz w:val="22"/>
            <w:szCs w:val="22"/>
          </w:rPr>
          <w:t>https://doi.org/10.1080/1369183X.2010.489361</w:t>
        </w:r>
      </w:hyperlink>
      <w:r w:rsidRPr="003015D7">
        <w:rPr>
          <w:rFonts w:ascii="Arial" w:hAnsi="Arial" w:cs="Arial"/>
          <w:sz w:val="22"/>
          <w:szCs w:val="22"/>
        </w:rPr>
        <w:t>.</w:t>
      </w:r>
    </w:p>
    <w:p w14:paraId="75535C0A" w14:textId="77777777" w:rsidR="00792322" w:rsidRPr="003015D7" w:rsidRDefault="00000000" w:rsidP="003015D7">
      <w:pPr>
        <w:pStyle w:val="Bibliography"/>
        <w:rPr>
          <w:rFonts w:ascii="Arial" w:hAnsi="Arial" w:cs="Arial"/>
          <w:sz w:val="22"/>
          <w:szCs w:val="22"/>
        </w:rPr>
      </w:pPr>
      <w:bookmarkStart w:id="33" w:name="ref-halliday2008"/>
      <w:bookmarkEnd w:id="32"/>
      <w:r w:rsidRPr="003015D7">
        <w:rPr>
          <w:rFonts w:ascii="Arial" w:hAnsi="Arial" w:cs="Arial"/>
          <w:sz w:val="22"/>
          <w:szCs w:val="22"/>
        </w:rPr>
        <w:t xml:space="preserve">Halliday, Timothy J., and Michael C. Kimmitt. 2008. “Selective Migration and Health in the USA, 198493.” </w:t>
      </w:r>
      <w:r w:rsidRPr="003015D7">
        <w:rPr>
          <w:rFonts w:ascii="Arial" w:hAnsi="Arial" w:cs="Arial"/>
          <w:i/>
          <w:iCs/>
          <w:sz w:val="22"/>
          <w:szCs w:val="22"/>
        </w:rPr>
        <w:t>Population Studies</w:t>
      </w:r>
      <w:r w:rsidRPr="003015D7">
        <w:rPr>
          <w:rFonts w:ascii="Arial" w:hAnsi="Arial" w:cs="Arial"/>
          <w:sz w:val="22"/>
          <w:szCs w:val="22"/>
        </w:rPr>
        <w:t xml:space="preserve"> 62 (3): 321–34. </w:t>
      </w:r>
      <w:hyperlink r:id="rId43">
        <w:r w:rsidRPr="003015D7">
          <w:rPr>
            <w:rStyle w:val="Hyperlink"/>
            <w:rFonts w:ascii="Arial" w:hAnsi="Arial" w:cs="Arial"/>
            <w:color w:val="auto"/>
            <w:sz w:val="22"/>
            <w:szCs w:val="22"/>
          </w:rPr>
          <w:t>https://doi.org/10.1080/00324720802339806</w:t>
        </w:r>
      </w:hyperlink>
      <w:r w:rsidRPr="003015D7">
        <w:rPr>
          <w:rFonts w:ascii="Arial" w:hAnsi="Arial" w:cs="Arial"/>
          <w:sz w:val="22"/>
          <w:szCs w:val="22"/>
        </w:rPr>
        <w:t>.</w:t>
      </w:r>
    </w:p>
    <w:p w14:paraId="19FEF103" w14:textId="77777777" w:rsidR="00792322" w:rsidRPr="003015D7" w:rsidRDefault="00000000" w:rsidP="003015D7">
      <w:pPr>
        <w:pStyle w:val="Bibliography"/>
        <w:rPr>
          <w:rFonts w:ascii="Arial" w:hAnsi="Arial" w:cs="Arial"/>
          <w:sz w:val="22"/>
          <w:szCs w:val="22"/>
        </w:rPr>
      </w:pPr>
      <w:bookmarkStart w:id="34" w:name="ref-hauer2017"/>
      <w:bookmarkEnd w:id="33"/>
      <w:r w:rsidRPr="003015D7">
        <w:rPr>
          <w:rFonts w:ascii="Arial" w:hAnsi="Arial" w:cs="Arial"/>
          <w:sz w:val="22"/>
          <w:szCs w:val="22"/>
        </w:rPr>
        <w:lastRenderedPageBreak/>
        <w:t xml:space="preserve">Hauer, Mathew E. 2017. “Migration Induced by Sea-Level Rise Could Reshape the US Population Landscape.” </w:t>
      </w:r>
      <w:r w:rsidRPr="003015D7">
        <w:rPr>
          <w:rFonts w:ascii="Arial" w:hAnsi="Arial" w:cs="Arial"/>
          <w:i/>
          <w:iCs/>
          <w:sz w:val="22"/>
          <w:szCs w:val="22"/>
        </w:rPr>
        <w:t>Nature Climate Change</w:t>
      </w:r>
      <w:r w:rsidRPr="003015D7">
        <w:rPr>
          <w:rFonts w:ascii="Arial" w:hAnsi="Arial" w:cs="Arial"/>
          <w:sz w:val="22"/>
          <w:szCs w:val="22"/>
        </w:rPr>
        <w:t xml:space="preserve"> 7 (5): 321–25. </w:t>
      </w:r>
      <w:hyperlink r:id="rId44">
        <w:r w:rsidRPr="003015D7">
          <w:rPr>
            <w:rStyle w:val="Hyperlink"/>
            <w:rFonts w:ascii="Arial" w:hAnsi="Arial" w:cs="Arial"/>
            <w:color w:val="auto"/>
            <w:sz w:val="22"/>
            <w:szCs w:val="22"/>
          </w:rPr>
          <w:t>https://doi.org/10.1038/nclimate3271</w:t>
        </w:r>
      </w:hyperlink>
      <w:r w:rsidRPr="003015D7">
        <w:rPr>
          <w:rFonts w:ascii="Arial" w:hAnsi="Arial" w:cs="Arial"/>
          <w:sz w:val="22"/>
          <w:szCs w:val="22"/>
        </w:rPr>
        <w:t>.</w:t>
      </w:r>
    </w:p>
    <w:p w14:paraId="6470B091" w14:textId="77777777" w:rsidR="00792322" w:rsidRPr="003015D7" w:rsidRDefault="00000000" w:rsidP="003015D7">
      <w:pPr>
        <w:pStyle w:val="Bibliography"/>
        <w:rPr>
          <w:rFonts w:ascii="Arial" w:hAnsi="Arial" w:cs="Arial"/>
          <w:sz w:val="22"/>
          <w:szCs w:val="22"/>
        </w:rPr>
      </w:pPr>
      <w:bookmarkStart w:id="35" w:name="ref-hughes1998"/>
      <w:bookmarkEnd w:id="34"/>
      <w:r w:rsidRPr="003015D7">
        <w:rPr>
          <w:rFonts w:ascii="Arial" w:hAnsi="Arial" w:cs="Arial"/>
          <w:sz w:val="22"/>
          <w:szCs w:val="22"/>
        </w:rPr>
        <w:t xml:space="preserve">Hughes, Michael, and Melvin E. Thomas. 1998. “The Continuing Significance of Race Revisited: A Study of Race, Class, and Quality of Life in America, 1972 to 1996.” </w:t>
      </w:r>
      <w:r w:rsidRPr="003015D7">
        <w:rPr>
          <w:rFonts w:ascii="Arial" w:hAnsi="Arial" w:cs="Arial"/>
          <w:i/>
          <w:iCs/>
          <w:sz w:val="22"/>
          <w:szCs w:val="22"/>
        </w:rPr>
        <w:t>American Sociological Review</w:t>
      </w:r>
      <w:r w:rsidRPr="003015D7">
        <w:rPr>
          <w:rFonts w:ascii="Arial" w:hAnsi="Arial" w:cs="Arial"/>
          <w:sz w:val="22"/>
          <w:szCs w:val="22"/>
        </w:rPr>
        <w:t xml:space="preserve"> 63 (6): 785–95. </w:t>
      </w:r>
      <w:hyperlink r:id="rId45">
        <w:r w:rsidRPr="003015D7">
          <w:rPr>
            <w:rStyle w:val="Hyperlink"/>
            <w:rFonts w:ascii="Arial" w:hAnsi="Arial" w:cs="Arial"/>
            <w:color w:val="auto"/>
            <w:sz w:val="22"/>
            <w:szCs w:val="22"/>
          </w:rPr>
          <w:t>https://doi.org/10.2307/2657501</w:t>
        </w:r>
      </w:hyperlink>
      <w:r w:rsidRPr="003015D7">
        <w:rPr>
          <w:rFonts w:ascii="Arial" w:hAnsi="Arial" w:cs="Arial"/>
          <w:sz w:val="22"/>
          <w:szCs w:val="22"/>
        </w:rPr>
        <w:t>.</w:t>
      </w:r>
    </w:p>
    <w:p w14:paraId="52329885" w14:textId="77777777" w:rsidR="00792322" w:rsidRPr="003015D7" w:rsidRDefault="00000000" w:rsidP="003015D7">
      <w:pPr>
        <w:pStyle w:val="Bibliography"/>
        <w:rPr>
          <w:rFonts w:ascii="Arial" w:hAnsi="Arial" w:cs="Arial"/>
          <w:sz w:val="22"/>
          <w:szCs w:val="22"/>
        </w:rPr>
      </w:pPr>
      <w:bookmarkStart w:id="36" w:name="ref-imai2010"/>
      <w:bookmarkEnd w:id="35"/>
      <w:r w:rsidRPr="003015D7">
        <w:rPr>
          <w:rFonts w:ascii="Arial" w:hAnsi="Arial" w:cs="Arial"/>
          <w:sz w:val="22"/>
          <w:szCs w:val="22"/>
        </w:rPr>
        <w:t xml:space="preserve">Imai, Kosuke, Luke Keele, and Dustin Tingley. 2010. “A General Approach to Causal Mediation Analysis.” </w:t>
      </w:r>
      <w:r w:rsidRPr="003015D7">
        <w:rPr>
          <w:rFonts w:ascii="Arial" w:hAnsi="Arial" w:cs="Arial"/>
          <w:i/>
          <w:iCs/>
          <w:sz w:val="22"/>
          <w:szCs w:val="22"/>
        </w:rPr>
        <w:t>Psychological Methods</w:t>
      </w:r>
      <w:r w:rsidRPr="003015D7">
        <w:rPr>
          <w:rFonts w:ascii="Arial" w:hAnsi="Arial" w:cs="Arial"/>
          <w:sz w:val="22"/>
          <w:szCs w:val="22"/>
        </w:rPr>
        <w:t xml:space="preserve"> 15 (4): 309–34. </w:t>
      </w:r>
      <w:hyperlink r:id="rId46">
        <w:r w:rsidRPr="003015D7">
          <w:rPr>
            <w:rStyle w:val="Hyperlink"/>
            <w:rFonts w:ascii="Arial" w:hAnsi="Arial" w:cs="Arial"/>
            <w:color w:val="auto"/>
            <w:sz w:val="22"/>
            <w:szCs w:val="22"/>
          </w:rPr>
          <w:t>https://doi.org/10.1037/a0020761</w:t>
        </w:r>
      </w:hyperlink>
      <w:r w:rsidRPr="003015D7">
        <w:rPr>
          <w:rFonts w:ascii="Arial" w:hAnsi="Arial" w:cs="Arial"/>
          <w:sz w:val="22"/>
          <w:szCs w:val="22"/>
        </w:rPr>
        <w:t>.</w:t>
      </w:r>
    </w:p>
    <w:p w14:paraId="7A120B17" w14:textId="77777777" w:rsidR="00792322" w:rsidRPr="003015D7" w:rsidRDefault="00000000" w:rsidP="003015D7">
      <w:pPr>
        <w:pStyle w:val="Bibliography"/>
        <w:rPr>
          <w:rFonts w:ascii="Arial" w:hAnsi="Arial" w:cs="Arial"/>
          <w:sz w:val="22"/>
          <w:szCs w:val="22"/>
        </w:rPr>
      </w:pPr>
      <w:bookmarkStart w:id="37" w:name="ref-jylhä2009"/>
      <w:bookmarkEnd w:id="36"/>
      <w:r w:rsidRPr="003015D7">
        <w:rPr>
          <w:rFonts w:ascii="Arial" w:hAnsi="Arial" w:cs="Arial"/>
          <w:sz w:val="22"/>
          <w:szCs w:val="22"/>
        </w:rPr>
        <w:t xml:space="preserve">Jylhä, Marja. 2009. “What Is Self-Rated Health and Why Does It Predict Mortality? Towards a Unified Conceptual Model.” </w:t>
      </w:r>
      <w:r w:rsidRPr="003015D7">
        <w:rPr>
          <w:rFonts w:ascii="Arial" w:hAnsi="Arial" w:cs="Arial"/>
          <w:i/>
          <w:iCs/>
          <w:sz w:val="22"/>
          <w:szCs w:val="22"/>
        </w:rPr>
        <w:t>Social Science &amp; Medicine</w:t>
      </w:r>
      <w:r w:rsidRPr="003015D7">
        <w:rPr>
          <w:rFonts w:ascii="Arial" w:hAnsi="Arial" w:cs="Arial"/>
          <w:sz w:val="22"/>
          <w:szCs w:val="22"/>
        </w:rPr>
        <w:t xml:space="preserve"> 69 (3): 307–16. </w:t>
      </w:r>
      <w:hyperlink r:id="rId47">
        <w:r w:rsidRPr="003015D7">
          <w:rPr>
            <w:rStyle w:val="Hyperlink"/>
            <w:rFonts w:ascii="Arial" w:hAnsi="Arial" w:cs="Arial"/>
            <w:color w:val="auto"/>
            <w:sz w:val="22"/>
            <w:szCs w:val="22"/>
          </w:rPr>
          <w:t>https://doi.org/10.1016/j.socscimed.2009.05.013</w:t>
        </w:r>
      </w:hyperlink>
      <w:r w:rsidRPr="003015D7">
        <w:rPr>
          <w:rFonts w:ascii="Arial" w:hAnsi="Arial" w:cs="Arial"/>
          <w:sz w:val="22"/>
          <w:szCs w:val="22"/>
        </w:rPr>
        <w:t>.</w:t>
      </w:r>
    </w:p>
    <w:p w14:paraId="21407D53" w14:textId="77777777" w:rsidR="00792322" w:rsidRPr="003015D7" w:rsidRDefault="00000000" w:rsidP="003015D7">
      <w:pPr>
        <w:pStyle w:val="Bibliography"/>
        <w:rPr>
          <w:rFonts w:ascii="Arial" w:hAnsi="Arial" w:cs="Arial"/>
          <w:sz w:val="22"/>
          <w:szCs w:val="22"/>
        </w:rPr>
      </w:pPr>
      <w:bookmarkStart w:id="38" w:name="ref-kindig2017"/>
      <w:bookmarkEnd w:id="37"/>
      <w:r w:rsidRPr="003015D7">
        <w:rPr>
          <w:rFonts w:ascii="Arial" w:hAnsi="Arial" w:cs="Arial"/>
          <w:sz w:val="22"/>
          <w:szCs w:val="22"/>
        </w:rPr>
        <w:t xml:space="preserve">Kindig, David. 2017. “Population Health Equity: Rate and Burden, Race and Class.” </w:t>
      </w:r>
      <w:r w:rsidRPr="003015D7">
        <w:rPr>
          <w:rFonts w:ascii="Arial" w:hAnsi="Arial" w:cs="Arial"/>
          <w:i/>
          <w:iCs/>
          <w:sz w:val="22"/>
          <w:szCs w:val="22"/>
        </w:rPr>
        <w:t>JAMA</w:t>
      </w:r>
      <w:r w:rsidRPr="003015D7">
        <w:rPr>
          <w:rFonts w:ascii="Arial" w:hAnsi="Arial" w:cs="Arial"/>
          <w:sz w:val="22"/>
          <w:szCs w:val="22"/>
        </w:rPr>
        <w:t xml:space="preserve"> 317 (5): 467–68. </w:t>
      </w:r>
      <w:hyperlink r:id="rId48">
        <w:r w:rsidRPr="003015D7">
          <w:rPr>
            <w:rStyle w:val="Hyperlink"/>
            <w:rFonts w:ascii="Arial" w:hAnsi="Arial" w:cs="Arial"/>
            <w:color w:val="auto"/>
            <w:sz w:val="22"/>
            <w:szCs w:val="22"/>
          </w:rPr>
          <w:t>https://doi.org/10.1001/jama.2016.19435</w:t>
        </w:r>
      </w:hyperlink>
      <w:r w:rsidRPr="003015D7">
        <w:rPr>
          <w:rFonts w:ascii="Arial" w:hAnsi="Arial" w:cs="Arial"/>
          <w:sz w:val="22"/>
          <w:szCs w:val="22"/>
        </w:rPr>
        <w:t>.</w:t>
      </w:r>
    </w:p>
    <w:p w14:paraId="42149851" w14:textId="77777777" w:rsidR="00792322" w:rsidRPr="003015D7" w:rsidRDefault="00000000" w:rsidP="003015D7">
      <w:pPr>
        <w:pStyle w:val="Bibliography"/>
        <w:rPr>
          <w:rFonts w:ascii="Arial" w:hAnsi="Arial" w:cs="Arial"/>
          <w:sz w:val="22"/>
          <w:szCs w:val="22"/>
        </w:rPr>
      </w:pPr>
      <w:bookmarkStart w:id="39" w:name="ref-kolda2008"/>
      <w:bookmarkEnd w:id="38"/>
      <w:r w:rsidRPr="003015D7">
        <w:rPr>
          <w:rFonts w:ascii="Arial" w:hAnsi="Arial" w:cs="Arial"/>
          <w:sz w:val="22"/>
          <w:szCs w:val="22"/>
        </w:rPr>
        <w:t>Kolda, Tamara G., and Brett W. Bader. 2008. “Tensor Decompositions and Applications.”</w:t>
      </w:r>
    </w:p>
    <w:p w14:paraId="2B2439FD" w14:textId="77777777" w:rsidR="00792322" w:rsidRPr="003015D7" w:rsidRDefault="00000000" w:rsidP="003015D7">
      <w:pPr>
        <w:pStyle w:val="Bibliography"/>
        <w:rPr>
          <w:rFonts w:ascii="Arial" w:hAnsi="Arial" w:cs="Arial"/>
          <w:sz w:val="22"/>
          <w:szCs w:val="22"/>
        </w:rPr>
      </w:pPr>
      <w:bookmarkStart w:id="40" w:name="ref-kuha2004"/>
      <w:bookmarkEnd w:id="39"/>
      <w:r w:rsidRPr="003015D7">
        <w:rPr>
          <w:rFonts w:ascii="Arial" w:hAnsi="Arial" w:cs="Arial"/>
          <w:sz w:val="22"/>
          <w:szCs w:val="22"/>
        </w:rPr>
        <w:t xml:space="preserve">Kuha, Jouni. 2004. “AIC and BIC: Comparisons of Assumptions and Performance.” </w:t>
      </w:r>
      <w:r w:rsidRPr="003015D7">
        <w:rPr>
          <w:rFonts w:ascii="Arial" w:hAnsi="Arial" w:cs="Arial"/>
          <w:i/>
          <w:iCs/>
          <w:sz w:val="22"/>
          <w:szCs w:val="22"/>
        </w:rPr>
        <w:t>Sociological Methods &amp; Research</w:t>
      </w:r>
      <w:r w:rsidRPr="003015D7">
        <w:rPr>
          <w:rFonts w:ascii="Arial" w:hAnsi="Arial" w:cs="Arial"/>
          <w:sz w:val="22"/>
          <w:szCs w:val="22"/>
        </w:rPr>
        <w:t xml:space="preserve"> 33 (2): 188–229. </w:t>
      </w:r>
      <w:hyperlink r:id="rId49">
        <w:r w:rsidRPr="003015D7">
          <w:rPr>
            <w:rStyle w:val="Hyperlink"/>
            <w:rFonts w:ascii="Arial" w:hAnsi="Arial" w:cs="Arial"/>
            <w:color w:val="auto"/>
            <w:sz w:val="22"/>
            <w:szCs w:val="22"/>
          </w:rPr>
          <w:t>https://doi.org/10.1177/0049124103262065</w:t>
        </w:r>
      </w:hyperlink>
      <w:r w:rsidRPr="003015D7">
        <w:rPr>
          <w:rFonts w:ascii="Arial" w:hAnsi="Arial" w:cs="Arial"/>
          <w:sz w:val="22"/>
          <w:szCs w:val="22"/>
        </w:rPr>
        <w:t>.</w:t>
      </w:r>
    </w:p>
    <w:p w14:paraId="27D15B3B" w14:textId="77777777" w:rsidR="00792322" w:rsidRPr="003015D7" w:rsidRDefault="00000000" w:rsidP="003015D7">
      <w:pPr>
        <w:pStyle w:val="Bibliography"/>
        <w:rPr>
          <w:rFonts w:ascii="Arial" w:hAnsi="Arial" w:cs="Arial"/>
          <w:sz w:val="22"/>
          <w:szCs w:val="22"/>
        </w:rPr>
      </w:pPr>
      <w:bookmarkStart w:id="41" w:name="ref-lee"/>
      <w:bookmarkEnd w:id="40"/>
      <w:r w:rsidRPr="003015D7">
        <w:rPr>
          <w:rFonts w:ascii="Arial" w:hAnsi="Arial" w:cs="Arial"/>
          <w:sz w:val="22"/>
          <w:szCs w:val="22"/>
        </w:rPr>
        <w:t>Lee, Everett S. n.d. “A Theory of Migration,” 11.</w:t>
      </w:r>
    </w:p>
    <w:p w14:paraId="25A5A261" w14:textId="77777777" w:rsidR="00792322" w:rsidRPr="003015D7" w:rsidRDefault="00000000" w:rsidP="003015D7">
      <w:pPr>
        <w:pStyle w:val="Bibliography"/>
        <w:rPr>
          <w:rFonts w:ascii="Arial" w:hAnsi="Arial" w:cs="Arial"/>
          <w:sz w:val="22"/>
          <w:szCs w:val="22"/>
        </w:rPr>
      </w:pPr>
      <w:bookmarkStart w:id="42" w:name="ref-lee1966"/>
      <w:bookmarkEnd w:id="41"/>
      <w:r w:rsidRPr="003015D7">
        <w:rPr>
          <w:rFonts w:ascii="Arial" w:hAnsi="Arial" w:cs="Arial"/>
          <w:sz w:val="22"/>
          <w:szCs w:val="22"/>
        </w:rPr>
        <w:t xml:space="preserve">Lee, Everett S. 1966. “A Theory of Migration.” </w:t>
      </w:r>
      <w:r w:rsidRPr="003015D7">
        <w:rPr>
          <w:rFonts w:ascii="Arial" w:hAnsi="Arial" w:cs="Arial"/>
          <w:i/>
          <w:iCs/>
          <w:sz w:val="22"/>
          <w:szCs w:val="22"/>
        </w:rPr>
        <w:t>Demography</w:t>
      </w:r>
      <w:r w:rsidRPr="003015D7">
        <w:rPr>
          <w:rFonts w:ascii="Arial" w:hAnsi="Arial" w:cs="Arial"/>
          <w:sz w:val="22"/>
          <w:szCs w:val="22"/>
        </w:rPr>
        <w:t xml:space="preserve"> 3 (1): 47–57. </w:t>
      </w:r>
      <w:hyperlink r:id="rId50">
        <w:r w:rsidRPr="003015D7">
          <w:rPr>
            <w:rStyle w:val="Hyperlink"/>
            <w:rFonts w:ascii="Arial" w:hAnsi="Arial" w:cs="Arial"/>
            <w:color w:val="auto"/>
            <w:sz w:val="22"/>
            <w:szCs w:val="22"/>
          </w:rPr>
          <w:t>https://doi.org/10.2307/2060063</w:t>
        </w:r>
      </w:hyperlink>
      <w:r w:rsidRPr="003015D7">
        <w:rPr>
          <w:rFonts w:ascii="Arial" w:hAnsi="Arial" w:cs="Arial"/>
          <w:sz w:val="22"/>
          <w:szCs w:val="22"/>
        </w:rPr>
        <w:t>.</w:t>
      </w:r>
    </w:p>
    <w:p w14:paraId="5E5322B3" w14:textId="77777777" w:rsidR="00792322" w:rsidRPr="003015D7" w:rsidRDefault="00000000" w:rsidP="003015D7">
      <w:pPr>
        <w:pStyle w:val="Bibliography"/>
        <w:rPr>
          <w:rFonts w:ascii="Arial" w:hAnsi="Arial" w:cs="Arial"/>
          <w:sz w:val="22"/>
          <w:szCs w:val="22"/>
        </w:rPr>
      </w:pPr>
      <w:bookmarkStart w:id="43" w:name="ref-lee2021"/>
      <w:bookmarkEnd w:id="42"/>
      <w:r w:rsidRPr="003015D7">
        <w:rPr>
          <w:rFonts w:ascii="Arial" w:hAnsi="Arial" w:cs="Arial"/>
          <w:sz w:val="22"/>
          <w:szCs w:val="22"/>
        </w:rPr>
        <w:t xml:space="preserve">Lee, Hyunjung, and Gopal K. Singh. 2021. “Monthly Trends in Self-Reported Health Status and Depression by Race/Ethnicity and Socioeconomic Status During the COVID-19 Pandemic, United States, April </w:t>
      </w:r>
      <w:proofErr w:type="gramStart"/>
      <w:r w:rsidRPr="003015D7">
        <w:rPr>
          <w:rFonts w:ascii="Arial" w:hAnsi="Arial" w:cs="Arial"/>
          <w:sz w:val="22"/>
          <w:szCs w:val="22"/>
        </w:rPr>
        <w:t>2020  May</w:t>
      </w:r>
      <w:proofErr w:type="gramEnd"/>
      <w:r w:rsidRPr="003015D7">
        <w:rPr>
          <w:rFonts w:ascii="Arial" w:hAnsi="Arial" w:cs="Arial"/>
          <w:sz w:val="22"/>
          <w:szCs w:val="22"/>
        </w:rPr>
        <w:t xml:space="preserve"> 2021.” </w:t>
      </w:r>
      <w:r w:rsidRPr="003015D7">
        <w:rPr>
          <w:rFonts w:ascii="Arial" w:hAnsi="Arial" w:cs="Arial"/>
          <w:i/>
          <w:iCs/>
          <w:sz w:val="22"/>
          <w:szCs w:val="22"/>
        </w:rPr>
        <w:t>Annals of Epidemiology</w:t>
      </w:r>
      <w:r w:rsidRPr="003015D7">
        <w:rPr>
          <w:rFonts w:ascii="Arial" w:hAnsi="Arial" w:cs="Arial"/>
          <w:sz w:val="22"/>
          <w:szCs w:val="22"/>
        </w:rPr>
        <w:t xml:space="preserve"> 63 (November): 52–62. </w:t>
      </w:r>
      <w:hyperlink r:id="rId51">
        <w:r w:rsidRPr="003015D7">
          <w:rPr>
            <w:rStyle w:val="Hyperlink"/>
            <w:rFonts w:ascii="Arial" w:hAnsi="Arial" w:cs="Arial"/>
            <w:color w:val="auto"/>
            <w:sz w:val="22"/>
            <w:szCs w:val="22"/>
          </w:rPr>
          <w:t>https://doi.org/10.1016/j.annepidem.2021.07.014</w:t>
        </w:r>
      </w:hyperlink>
      <w:r w:rsidRPr="003015D7">
        <w:rPr>
          <w:rFonts w:ascii="Arial" w:hAnsi="Arial" w:cs="Arial"/>
          <w:sz w:val="22"/>
          <w:szCs w:val="22"/>
        </w:rPr>
        <w:t>.</w:t>
      </w:r>
    </w:p>
    <w:p w14:paraId="36672776" w14:textId="77777777" w:rsidR="00792322" w:rsidRPr="003015D7" w:rsidRDefault="00000000" w:rsidP="003015D7">
      <w:pPr>
        <w:pStyle w:val="Bibliography"/>
        <w:rPr>
          <w:rFonts w:ascii="Arial" w:hAnsi="Arial" w:cs="Arial"/>
          <w:sz w:val="22"/>
          <w:szCs w:val="22"/>
        </w:rPr>
      </w:pPr>
      <w:bookmarkStart w:id="44" w:name="ref-li2017b"/>
      <w:bookmarkEnd w:id="43"/>
      <w:r w:rsidRPr="003015D7">
        <w:rPr>
          <w:rFonts w:ascii="Arial" w:hAnsi="Arial" w:cs="Arial"/>
          <w:sz w:val="22"/>
          <w:szCs w:val="22"/>
        </w:rPr>
        <w:t xml:space="preserve">Li, Hong, and Yang Lu. 2017. “COHERENT FORECASTING OF MORTALITY RATES: A SPARSE VECTOR-AUTOREGRESSION APPROACH.” </w:t>
      </w:r>
      <w:r w:rsidRPr="003015D7">
        <w:rPr>
          <w:rFonts w:ascii="Arial" w:hAnsi="Arial" w:cs="Arial"/>
          <w:i/>
          <w:iCs/>
          <w:sz w:val="22"/>
          <w:szCs w:val="22"/>
        </w:rPr>
        <w:t>ASTIN Bulletin: The Journal of the IAA</w:t>
      </w:r>
      <w:r w:rsidRPr="003015D7">
        <w:rPr>
          <w:rFonts w:ascii="Arial" w:hAnsi="Arial" w:cs="Arial"/>
          <w:sz w:val="22"/>
          <w:szCs w:val="22"/>
        </w:rPr>
        <w:t xml:space="preserve"> 47 (2): 563–600. </w:t>
      </w:r>
      <w:hyperlink r:id="rId52">
        <w:r w:rsidRPr="003015D7">
          <w:rPr>
            <w:rStyle w:val="Hyperlink"/>
            <w:rFonts w:ascii="Arial" w:hAnsi="Arial" w:cs="Arial"/>
            <w:color w:val="auto"/>
            <w:sz w:val="22"/>
            <w:szCs w:val="22"/>
          </w:rPr>
          <w:t>https://doi.org/10.1017/asb.2016.37</w:t>
        </w:r>
      </w:hyperlink>
      <w:r w:rsidRPr="003015D7">
        <w:rPr>
          <w:rFonts w:ascii="Arial" w:hAnsi="Arial" w:cs="Arial"/>
          <w:sz w:val="22"/>
          <w:szCs w:val="22"/>
        </w:rPr>
        <w:t>.</w:t>
      </w:r>
    </w:p>
    <w:p w14:paraId="2E61AC11" w14:textId="77777777" w:rsidR="00792322" w:rsidRPr="003015D7" w:rsidRDefault="00000000" w:rsidP="003015D7">
      <w:pPr>
        <w:pStyle w:val="Bibliography"/>
        <w:rPr>
          <w:rFonts w:ascii="Arial" w:hAnsi="Arial" w:cs="Arial"/>
          <w:sz w:val="22"/>
          <w:szCs w:val="22"/>
        </w:rPr>
      </w:pPr>
      <w:bookmarkStart w:id="45" w:name="ref-li2017"/>
      <w:bookmarkEnd w:id="44"/>
      <w:r w:rsidRPr="003015D7">
        <w:rPr>
          <w:rFonts w:ascii="Arial" w:hAnsi="Arial" w:cs="Arial"/>
          <w:sz w:val="22"/>
          <w:szCs w:val="22"/>
        </w:rPr>
        <w:t xml:space="preserve">Li, Jie, and Nikolas Rose. 2017. “Urban Social Exclusion and Mental Health of China’s Rural-Urban </w:t>
      </w:r>
      <w:proofErr w:type="gramStart"/>
      <w:r w:rsidRPr="003015D7">
        <w:rPr>
          <w:rFonts w:ascii="Arial" w:hAnsi="Arial" w:cs="Arial"/>
          <w:sz w:val="22"/>
          <w:szCs w:val="22"/>
        </w:rPr>
        <w:t>Migrants  A</w:t>
      </w:r>
      <w:proofErr w:type="gramEnd"/>
      <w:r w:rsidRPr="003015D7">
        <w:rPr>
          <w:rFonts w:ascii="Arial" w:hAnsi="Arial" w:cs="Arial"/>
          <w:sz w:val="22"/>
          <w:szCs w:val="22"/>
        </w:rPr>
        <w:t xml:space="preserve"> Review and Call for Research.” </w:t>
      </w:r>
      <w:r w:rsidRPr="003015D7">
        <w:rPr>
          <w:rFonts w:ascii="Arial" w:hAnsi="Arial" w:cs="Arial"/>
          <w:i/>
          <w:iCs/>
          <w:sz w:val="22"/>
          <w:szCs w:val="22"/>
        </w:rPr>
        <w:t>Health &amp; Place</w:t>
      </w:r>
      <w:r w:rsidRPr="003015D7">
        <w:rPr>
          <w:rFonts w:ascii="Arial" w:hAnsi="Arial" w:cs="Arial"/>
          <w:sz w:val="22"/>
          <w:szCs w:val="22"/>
        </w:rPr>
        <w:t xml:space="preserve"> 48 (November): 20–30. </w:t>
      </w:r>
      <w:hyperlink r:id="rId53">
        <w:r w:rsidRPr="003015D7">
          <w:rPr>
            <w:rStyle w:val="Hyperlink"/>
            <w:rFonts w:ascii="Arial" w:hAnsi="Arial" w:cs="Arial"/>
            <w:color w:val="auto"/>
            <w:sz w:val="22"/>
            <w:szCs w:val="22"/>
          </w:rPr>
          <w:t>https://doi.org/10.1016/j.healthplace.2017.08.009</w:t>
        </w:r>
      </w:hyperlink>
      <w:r w:rsidRPr="003015D7">
        <w:rPr>
          <w:rFonts w:ascii="Arial" w:hAnsi="Arial" w:cs="Arial"/>
          <w:sz w:val="22"/>
          <w:szCs w:val="22"/>
        </w:rPr>
        <w:t>.</w:t>
      </w:r>
    </w:p>
    <w:p w14:paraId="7412C59D" w14:textId="77777777" w:rsidR="00792322" w:rsidRPr="003015D7" w:rsidRDefault="00000000" w:rsidP="003015D7">
      <w:pPr>
        <w:pStyle w:val="Bibliography"/>
        <w:rPr>
          <w:rFonts w:ascii="Arial" w:hAnsi="Arial" w:cs="Arial"/>
          <w:sz w:val="22"/>
          <w:szCs w:val="22"/>
        </w:rPr>
      </w:pPr>
      <w:bookmarkStart w:id="46" w:name="ref-mapthe"/>
      <w:bookmarkEnd w:id="45"/>
      <w:r w:rsidRPr="003015D7">
        <w:rPr>
          <w:rFonts w:ascii="Arial" w:hAnsi="Arial" w:cs="Arial"/>
          <w:sz w:val="22"/>
          <w:szCs w:val="22"/>
        </w:rPr>
        <w:t xml:space="preserve">“Map the Meal Gap Data | Feeding America.” n.d. </w:t>
      </w:r>
      <w:hyperlink r:id="rId54">
        <w:r w:rsidRPr="003015D7">
          <w:rPr>
            <w:rStyle w:val="Hyperlink"/>
            <w:rFonts w:ascii="Arial" w:hAnsi="Arial" w:cs="Arial"/>
            <w:color w:val="auto"/>
            <w:sz w:val="22"/>
            <w:szCs w:val="22"/>
          </w:rPr>
          <w:t>https://www.feedingamerica.org/research/map-the-meal-gap/how-we-got-the-map-data</w:t>
        </w:r>
      </w:hyperlink>
      <w:r w:rsidRPr="003015D7">
        <w:rPr>
          <w:rFonts w:ascii="Arial" w:hAnsi="Arial" w:cs="Arial"/>
          <w:sz w:val="22"/>
          <w:szCs w:val="22"/>
        </w:rPr>
        <w:t>.</w:t>
      </w:r>
    </w:p>
    <w:p w14:paraId="0F341625" w14:textId="77777777" w:rsidR="00792322" w:rsidRPr="003015D7" w:rsidRDefault="00000000" w:rsidP="003015D7">
      <w:pPr>
        <w:pStyle w:val="Bibliography"/>
        <w:rPr>
          <w:rFonts w:ascii="Arial" w:hAnsi="Arial" w:cs="Arial"/>
          <w:sz w:val="22"/>
          <w:szCs w:val="22"/>
        </w:rPr>
      </w:pPr>
      <w:bookmarkStart w:id="47" w:name="ref-marmot1975"/>
      <w:bookmarkEnd w:id="46"/>
      <w:r w:rsidRPr="003015D7">
        <w:rPr>
          <w:rFonts w:ascii="Arial" w:hAnsi="Arial" w:cs="Arial"/>
          <w:sz w:val="22"/>
          <w:szCs w:val="22"/>
        </w:rPr>
        <w:t xml:space="preserve">Marmot, M. G., S. L. Syme, A. Kagan, H. Kato, J. B. Cohen, and J. Belsky. 1975. “EPIDEMIOLOGIC STUDIES OF CORONARY HEART DISEASE AND STROKE IN JAPANESE MEN LIVING IN JAPAN, HAWAII AND CALIFORNIA: PREVALENCE OF CORONARY AND HYPERTENSIVE HEART DISEASE AND ASSOCIATED RISK FACTORS1.” </w:t>
      </w:r>
      <w:r w:rsidRPr="003015D7">
        <w:rPr>
          <w:rFonts w:ascii="Arial" w:hAnsi="Arial" w:cs="Arial"/>
          <w:i/>
          <w:iCs/>
          <w:sz w:val="22"/>
          <w:szCs w:val="22"/>
        </w:rPr>
        <w:t>American Journal of Epidemiology</w:t>
      </w:r>
      <w:r w:rsidRPr="003015D7">
        <w:rPr>
          <w:rFonts w:ascii="Arial" w:hAnsi="Arial" w:cs="Arial"/>
          <w:sz w:val="22"/>
          <w:szCs w:val="22"/>
        </w:rPr>
        <w:t xml:space="preserve"> 102 (6): 514–25. </w:t>
      </w:r>
      <w:hyperlink r:id="rId55">
        <w:r w:rsidRPr="003015D7">
          <w:rPr>
            <w:rStyle w:val="Hyperlink"/>
            <w:rFonts w:ascii="Arial" w:hAnsi="Arial" w:cs="Arial"/>
            <w:color w:val="auto"/>
            <w:sz w:val="22"/>
            <w:szCs w:val="22"/>
          </w:rPr>
          <w:t>https://doi.org/10.1093/oxfordjournals.aje.a112189</w:t>
        </w:r>
      </w:hyperlink>
      <w:r w:rsidRPr="003015D7">
        <w:rPr>
          <w:rFonts w:ascii="Arial" w:hAnsi="Arial" w:cs="Arial"/>
          <w:sz w:val="22"/>
          <w:szCs w:val="22"/>
        </w:rPr>
        <w:t>.</w:t>
      </w:r>
    </w:p>
    <w:p w14:paraId="5C423187" w14:textId="77777777" w:rsidR="00792322" w:rsidRPr="003015D7" w:rsidRDefault="00000000" w:rsidP="003015D7">
      <w:pPr>
        <w:pStyle w:val="Bibliography"/>
        <w:rPr>
          <w:rFonts w:ascii="Arial" w:hAnsi="Arial" w:cs="Arial"/>
          <w:sz w:val="22"/>
          <w:szCs w:val="22"/>
        </w:rPr>
      </w:pPr>
      <w:bookmarkStart w:id="48" w:name="ref-miranda2011"/>
      <w:bookmarkEnd w:id="47"/>
      <w:r w:rsidRPr="003015D7">
        <w:rPr>
          <w:rFonts w:ascii="Arial" w:hAnsi="Arial" w:cs="Arial"/>
          <w:sz w:val="22"/>
          <w:szCs w:val="22"/>
        </w:rPr>
        <w:t xml:space="preserve">Miranda, J. Jaime, Robert H. Gilman, and Liam Smeeth. 2011. “Differences in Cardiovascular Risk Factors in Rural, Urban and Rural-to-Urban Migrants in Peru.” </w:t>
      </w:r>
      <w:r w:rsidRPr="003015D7">
        <w:rPr>
          <w:rFonts w:ascii="Arial" w:hAnsi="Arial" w:cs="Arial"/>
          <w:i/>
          <w:iCs/>
          <w:sz w:val="22"/>
          <w:szCs w:val="22"/>
        </w:rPr>
        <w:t>Heart</w:t>
      </w:r>
      <w:r w:rsidRPr="003015D7">
        <w:rPr>
          <w:rFonts w:ascii="Arial" w:hAnsi="Arial" w:cs="Arial"/>
          <w:sz w:val="22"/>
          <w:szCs w:val="22"/>
        </w:rPr>
        <w:t xml:space="preserve"> 97 (10): 787–96. </w:t>
      </w:r>
      <w:hyperlink r:id="rId56">
        <w:r w:rsidRPr="003015D7">
          <w:rPr>
            <w:rStyle w:val="Hyperlink"/>
            <w:rFonts w:ascii="Arial" w:hAnsi="Arial" w:cs="Arial"/>
            <w:color w:val="auto"/>
            <w:sz w:val="22"/>
            <w:szCs w:val="22"/>
          </w:rPr>
          <w:t>https://doi.org/10.1136/hrt.2010.218537</w:t>
        </w:r>
      </w:hyperlink>
      <w:r w:rsidRPr="003015D7">
        <w:rPr>
          <w:rFonts w:ascii="Arial" w:hAnsi="Arial" w:cs="Arial"/>
          <w:sz w:val="22"/>
          <w:szCs w:val="22"/>
        </w:rPr>
        <w:t>.</w:t>
      </w:r>
    </w:p>
    <w:p w14:paraId="7272E8B3" w14:textId="77777777" w:rsidR="00792322" w:rsidRPr="003015D7" w:rsidRDefault="00000000" w:rsidP="003015D7">
      <w:pPr>
        <w:pStyle w:val="Bibliography"/>
        <w:rPr>
          <w:rFonts w:ascii="Arial" w:hAnsi="Arial" w:cs="Arial"/>
          <w:sz w:val="22"/>
          <w:szCs w:val="22"/>
        </w:rPr>
      </w:pPr>
      <w:bookmarkStart w:id="49" w:name="ref-nguyen2017"/>
      <w:bookmarkEnd w:id="48"/>
      <w:r w:rsidRPr="003015D7">
        <w:rPr>
          <w:rFonts w:ascii="Arial" w:hAnsi="Arial" w:cs="Arial"/>
          <w:sz w:val="22"/>
          <w:szCs w:val="22"/>
        </w:rPr>
        <w:t xml:space="preserve">Nguyen, Hieu, and Kiran Garimella. 2017. “The 26th International Conference.” In, 829–30. Perth, Australia: ACM Press. </w:t>
      </w:r>
      <w:hyperlink r:id="rId57">
        <w:r w:rsidRPr="003015D7">
          <w:rPr>
            <w:rStyle w:val="Hyperlink"/>
            <w:rFonts w:ascii="Arial" w:hAnsi="Arial" w:cs="Arial"/>
            <w:color w:val="auto"/>
            <w:sz w:val="22"/>
            <w:szCs w:val="22"/>
          </w:rPr>
          <w:t>https://doi.org/10.1145/3041021.3054222</w:t>
        </w:r>
      </w:hyperlink>
      <w:r w:rsidRPr="003015D7">
        <w:rPr>
          <w:rFonts w:ascii="Arial" w:hAnsi="Arial" w:cs="Arial"/>
          <w:sz w:val="22"/>
          <w:szCs w:val="22"/>
        </w:rPr>
        <w:t>.</w:t>
      </w:r>
    </w:p>
    <w:p w14:paraId="3D560101" w14:textId="77777777" w:rsidR="00792322" w:rsidRPr="003015D7" w:rsidRDefault="00000000" w:rsidP="003015D7">
      <w:pPr>
        <w:pStyle w:val="Bibliography"/>
        <w:rPr>
          <w:rFonts w:ascii="Arial" w:hAnsi="Arial" w:cs="Arial"/>
          <w:sz w:val="22"/>
          <w:szCs w:val="22"/>
        </w:rPr>
      </w:pPr>
      <w:bookmarkStart w:id="50" w:name="ref-nimh"/>
      <w:bookmarkEnd w:id="49"/>
      <w:r w:rsidRPr="003015D7">
        <w:rPr>
          <w:rFonts w:ascii="Arial" w:hAnsi="Arial" w:cs="Arial"/>
          <w:sz w:val="22"/>
          <w:szCs w:val="22"/>
        </w:rPr>
        <w:t xml:space="preserve">“NIMH » Mental Illness.” n.d. </w:t>
      </w:r>
      <w:hyperlink r:id="rId58">
        <w:r w:rsidRPr="003015D7">
          <w:rPr>
            <w:rStyle w:val="Hyperlink"/>
            <w:rFonts w:ascii="Arial" w:hAnsi="Arial" w:cs="Arial"/>
            <w:color w:val="auto"/>
            <w:sz w:val="22"/>
            <w:szCs w:val="22"/>
          </w:rPr>
          <w:t>https://www.nimh.nih.gov/health/statistics/mental-illness.shtml</w:t>
        </w:r>
      </w:hyperlink>
      <w:r w:rsidRPr="003015D7">
        <w:rPr>
          <w:rFonts w:ascii="Arial" w:hAnsi="Arial" w:cs="Arial"/>
          <w:sz w:val="22"/>
          <w:szCs w:val="22"/>
        </w:rPr>
        <w:t>.</w:t>
      </w:r>
    </w:p>
    <w:p w14:paraId="27716572" w14:textId="77777777" w:rsidR="00792322" w:rsidRPr="003015D7" w:rsidRDefault="00000000" w:rsidP="003015D7">
      <w:pPr>
        <w:pStyle w:val="Bibliography"/>
        <w:rPr>
          <w:rFonts w:ascii="Arial" w:hAnsi="Arial" w:cs="Arial"/>
          <w:sz w:val="22"/>
          <w:szCs w:val="22"/>
        </w:rPr>
      </w:pPr>
      <w:bookmarkStart w:id="51" w:name="ref-norman2005"/>
      <w:bookmarkEnd w:id="50"/>
      <w:r w:rsidRPr="003015D7">
        <w:rPr>
          <w:rFonts w:ascii="Arial" w:hAnsi="Arial" w:cs="Arial"/>
          <w:sz w:val="22"/>
          <w:szCs w:val="22"/>
        </w:rPr>
        <w:t xml:space="preserve">Norman, Paul, Paul Boyle, and Philip Rees. 2005. “Selective Migration, Health and Deprivation: A Longitudinal Analysis.” </w:t>
      </w:r>
      <w:r w:rsidRPr="003015D7">
        <w:rPr>
          <w:rFonts w:ascii="Arial" w:hAnsi="Arial" w:cs="Arial"/>
          <w:i/>
          <w:iCs/>
          <w:sz w:val="22"/>
          <w:szCs w:val="22"/>
        </w:rPr>
        <w:t>Social Science &amp; Medicine</w:t>
      </w:r>
      <w:r w:rsidRPr="003015D7">
        <w:rPr>
          <w:rFonts w:ascii="Arial" w:hAnsi="Arial" w:cs="Arial"/>
          <w:sz w:val="22"/>
          <w:szCs w:val="22"/>
        </w:rPr>
        <w:t xml:space="preserve">, Burning Issues - Selected papers from the 10th International Symposium in Medical Geography, Manchester 2003, 60 (12): 2755–71. </w:t>
      </w:r>
      <w:hyperlink r:id="rId59">
        <w:r w:rsidRPr="003015D7">
          <w:rPr>
            <w:rStyle w:val="Hyperlink"/>
            <w:rFonts w:ascii="Arial" w:hAnsi="Arial" w:cs="Arial"/>
            <w:color w:val="auto"/>
            <w:sz w:val="22"/>
            <w:szCs w:val="22"/>
          </w:rPr>
          <w:t>https://doi.org/10.1016/j.socscimed.2004.11.008</w:t>
        </w:r>
      </w:hyperlink>
      <w:r w:rsidRPr="003015D7">
        <w:rPr>
          <w:rFonts w:ascii="Arial" w:hAnsi="Arial" w:cs="Arial"/>
          <w:sz w:val="22"/>
          <w:szCs w:val="22"/>
        </w:rPr>
        <w:t>.</w:t>
      </w:r>
    </w:p>
    <w:p w14:paraId="444D9756" w14:textId="79EE985E" w:rsidR="00792322" w:rsidRPr="003015D7" w:rsidRDefault="00000000" w:rsidP="003015D7">
      <w:pPr>
        <w:pStyle w:val="Bibliography"/>
        <w:rPr>
          <w:rFonts w:ascii="Arial" w:hAnsi="Arial" w:cs="Arial"/>
          <w:sz w:val="22"/>
          <w:szCs w:val="22"/>
        </w:rPr>
      </w:pPr>
      <w:bookmarkStart w:id="52" w:name="ref-olson-williams2023"/>
      <w:bookmarkEnd w:id="51"/>
      <w:r w:rsidRPr="003015D7">
        <w:rPr>
          <w:rFonts w:ascii="Arial" w:hAnsi="Arial" w:cs="Arial"/>
          <w:sz w:val="22"/>
          <w:szCs w:val="22"/>
        </w:rPr>
        <w:lastRenderedPageBreak/>
        <w:t>Olson-Williams, Hannah</w:t>
      </w:r>
      <w:r w:rsidR="003015D7">
        <w:rPr>
          <w:rFonts w:ascii="Arial" w:hAnsi="Arial" w:cs="Arial"/>
          <w:sz w:val="22"/>
          <w:szCs w:val="22"/>
        </w:rPr>
        <w:t xml:space="preserve">, Keith </w:t>
      </w:r>
      <w:proofErr w:type="spellStart"/>
      <w:r w:rsidR="003015D7">
        <w:rPr>
          <w:rFonts w:ascii="Arial" w:hAnsi="Arial" w:cs="Arial"/>
          <w:sz w:val="22"/>
          <w:szCs w:val="22"/>
        </w:rPr>
        <w:t>Gennuso</w:t>
      </w:r>
      <w:proofErr w:type="spellEnd"/>
      <w:r w:rsidR="003015D7">
        <w:rPr>
          <w:rFonts w:ascii="Arial" w:hAnsi="Arial" w:cs="Arial"/>
          <w:sz w:val="22"/>
          <w:szCs w:val="22"/>
        </w:rPr>
        <w:t xml:space="preserve">, Marjory Givens, and David </w:t>
      </w:r>
      <w:proofErr w:type="spellStart"/>
      <w:r w:rsidR="003015D7">
        <w:rPr>
          <w:rFonts w:ascii="Arial" w:hAnsi="Arial" w:cs="Arial"/>
          <w:sz w:val="22"/>
          <w:szCs w:val="22"/>
        </w:rPr>
        <w:t>Kindig</w:t>
      </w:r>
      <w:proofErr w:type="spellEnd"/>
      <w:r w:rsidRPr="003015D7">
        <w:rPr>
          <w:rFonts w:ascii="Arial" w:hAnsi="Arial" w:cs="Arial"/>
          <w:sz w:val="22"/>
          <w:szCs w:val="22"/>
        </w:rPr>
        <w:t xml:space="preserve">. 2023. “Discounting Health Grades for Disparity: The 2021 Wisconsin Population Health and Equity Report Card.” </w:t>
      </w:r>
      <w:r w:rsidRPr="003015D7">
        <w:rPr>
          <w:rFonts w:ascii="Arial" w:hAnsi="Arial" w:cs="Arial"/>
          <w:i/>
          <w:iCs/>
          <w:sz w:val="22"/>
          <w:szCs w:val="22"/>
        </w:rPr>
        <w:t>Preventing Chronic Disease</w:t>
      </w:r>
      <w:r w:rsidRPr="003015D7">
        <w:rPr>
          <w:rFonts w:ascii="Arial" w:hAnsi="Arial" w:cs="Arial"/>
          <w:sz w:val="22"/>
          <w:szCs w:val="22"/>
        </w:rPr>
        <w:t xml:space="preserve"> 20. </w:t>
      </w:r>
      <w:hyperlink r:id="rId60">
        <w:r w:rsidRPr="003015D7">
          <w:rPr>
            <w:rStyle w:val="Hyperlink"/>
            <w:rFonts w:ascii="Arial" w:hAnsi="Arial" w:cs="Arial"/>
            <w:color w:val="auto"/>
            <w:sz w:val="22"/>
            <w:szCs w:val="22"/>
          </w:rPr>
          <w:t>https://doi.org/10.5888/pcd20.220301</w:t>
        </w:r>
      </w:hyperlink>
      <w:r w:rsidRPr="003015D7">
        <w:rPr>
          <w:rFonts w:ascii="Arial" w:hAnsi="Arial" w:cs="Arial"/>
          <w:sz w:val="22"/>
          <w:szCs w:val="22"/>
        </w:rPr>
        <w:t>.</w:t>
      </w:r>
    </w:p>
    <w:p w14:paraId="6FB39EAC" w14:textId="77777777" w:rsidR="00792322" w:rsidRPr="003015D7" w:rsidRDefault="00000000" w:rsidP="003015D7">
      <w:pPr>
        <w:pStyle w:val="Bibliography"/>
        <w:rPr>
          <w:rFonts w:ascii="Arial" w:hAnsi="Arial" w:cs="Arial"/>
          <w:sz w:val="22"/>
          <w:szCs w:val="22"/>
        </w:rPr>
      </w:pPr>
      <w:bookmarkStart w:id="53" w:name="ref-paykel2000"/>
      <w:bookmarkEnd w:id="52"/>
      <w:r w:rsidRPr="003015D7">
        <w:rPr>
          <w:rFonts w:ascii="Arial" w:hAnsi="Arial" w:cs="Arial"/>
          <w:sz w:val="22"/>
          <w:szCs w:val="22"/>
        </w:rPr>
        <w:t xml:space="preserve">Paykel, E. S., R. Abbott, R. Jenkins, T. S. Brugha, and H. Meltzer. 2000. “Urbanrural Mental Health Differences in Great Britain: Findings from the National Morbidity Survey.” </w:t>
      </w:r>
      <w:r w:rsidRPr="003015D7">
        <w:rPr>
          <w:rFonts w:ascii="Arial" w:hAnsi="Arial" w:cs="Arial"/>
          <w:i/>
          <w:iCs/>
          <w:sz w:val="22"/>
          <w:szCs w:val="22"/>
        </w:rPr>
        <w:t>Psychological Medicine</w:t>
      </w:r>
      <w:r w:rsidRPr="003015D7">
        <w:rPr>
          <w:rFonts w:ascii="Arial" w:hAnsi="Arial" w:cs="Arial"/>
          <w:sz w:val="22"/>
          <w:szCs w:val="22"/>
        </w:rPr>
        <w:t xml:space="preserve"> 30 (2): 269–80. </w:t>
      </w:r>
      <w:hyperlink r:id="rId61">
        <w:r w:rsidRPr="003015D7">
          <w:rPr>
            <w:rStyle w:val="Hyperlink"/>
            <w:rFonts w:ascii="Arial" w:hAnsi="Arial" w:cs="Arial"/>
            <w:color w:val="auto"/>
            <w:sz w:val="22"/>
            <w:szCs w:val="22"/>
          </w:rPr>
          <w:t>https://doi.org/10.1017/S003329179900183X</w:t>
        </w:r>
      </w:hyperlink>
      <w:r w:rsidRPr="003015D7">
        <w:rPr>
          <w:rFonts w:ascii="Arial" w:hAnsi="Arial" w:cs="Arial"/>
          <w:sz w:val="22"/>
          <w:szCs w:val="22"/>
        </w:rPr>
        <w:t>.</w:t>
      </w:r>
    </w:p>
    <w:p w14:paraId="58DB23EB" w14:textId="77777777" w:rsidR="00792322" w:rsidRPr="003015D7" w:rsidRDefault="00000000" w:rsidP="003015D7">
      <w:pPr>
        <w:pStyle w:val="Bibliography"/>
        <w:rPr>
          <w:rFonts w:ascii="Arial" w:hAnsi="Arial" w:cs="Arial"/>
          <w:sz w:val="22"/>
          <w:szCs w:val="22"/>
        </w:rPr>
      </w:pPr>
      <w:bookmarkStart w:id="54" w:name="ref-pierannunzi2013"/>
      <w:bookmarkEnd w:id="53"/>
      <w:r w:rsidRPr="003015D7">
        <w:rPr>
          <w:rFonts w:ascii="Arial" w:hAnsi="Arial" w:cs="Arial"/>
          <w:sz w:val="22"/>
          <w:szCs w:val="22"/>
        </w:rPr>
        <w:t xml:space="preserve">Pierannunzi, Carol, Shaohua Sean Hu, and Lina Balluz. 2013. “A Systematic Review of Publications Assessing Reliability and Validity of the Behavioral Risk Factor Surveillance System (BRFSS), 20042011.” </w:t>
      </w:r>
      <w:r w:rsidRPr="003015D7">
        <w:rPr>
          <w:rFonts w:ascii="Arial" w:hAnsi="Arial" w:cs="Arial"/>
          <w:i/>
          <w:iCs/>
          <w:sz w:val="22"/>
          <w:szCs w:val="22"/>
        </w:rPr>
        <w:t>BMC Medical Research Methodology</w:t>
      </w:r>
      <w:r w:rsidRPr="003015D7">
        <w:rPr>
          <w:rFonts w:ascii="Arial" w:hAnsi="Arial" w:cs="Arial"/>
          <w:sz w:val="22"/>
          <w:szCs w:val="22"/>
        </w:rPr>
        <w:t xml:space="preserve"> 13 (1): 49. </w:t>
      </w:r>
      <w:hyperlink r:id="rId62">
        <w:r w:rsidRPr="003015D7">
          <w:rPr>
            <w:rStyle w:val="Hyperlink"/>
            <w:rFonts w:ascii="Arial" w:hAnsi="Arial" w:cs="Arial"/>
            <w:color w:val="auto"/>
            <w:sz w:val="22"/>
            <w:szCs w:val="22"/>
          </w:rPr>
          <w:t>https://doi.org/10.1186/1471-2288-13-49</w:t>
        </w:r>
      </w:hyperlink>
      <w:r w:rsidRPr="003015D7">
        <w:rPr>
          <w:rFonts w:ascii="Arial" w:hAnsi="Arial" w:cs="Arial"/>
          <w:sz w:val="22"/>
          <w:szCs w:val="22"/>
        </w:rPr>
        <w:t>.</w:t>
      </w:r>
    </w:p>
    <w:p w14:paraId="69FDDCE3" w14:textId="77777777" w:rsidR="00792322" w:rsidRPr="003015D7" w:rsidRDefault="00000000" w:rsidP="003015D7">
      <w:pPr>
        <w:pStyle w:val="Bibliography"/>
        <w:rPr>
          <w:rFonts w:ascii="Arial" w:hAnsi="Arial" w:cs="Arial"/>
          <w:sz w:val="22"/>
          <w:szCs w:val="22"/>
        </w:rPr>
      </w:pPr>
      <w:bookmarkStart w:id="55" w:name="ref-pierce2015"/>
      <w:bookmarkEnd w:id="54"/>
      <w:r w:rsidRPr="003015D7">
        <w:rPr>
          <w:rFonts w:ascii="Arial" w:hAnsi="Arial" w:cs="Arial"/>
          <w:sz w:val="22"/>
          <w:szCs w:val="22"/>
        </w:rPr>
        <w:t>Pierce, Kevin. 2015. “SOI Migration Data: A New Approach,” 4.</w:t>
      </w:r>
    </w:p>
    <w:p w14:paraId="4B0FED98" w14:textId="77777777" w:rsidR="00792322" w:rsidRPr="003015D7" w:rsidRDefault="00000000" w:rsidP="003015D7">
      <w:pPr>
        <w:pStyle w:val="Bibliography"/>
        <w:rPr>
          <w:rFonts w:ascii="Arial" w:hAnsi="Arial" w:cs="Arial"/>
          <w:sz w:val="22"/>
          <w:szCs w:val="22"/>
        </w:rPr>
      </w:pPr>
      <w:bookmarkStart w:id="56" w:name="ref-ross1995"/>
      <w:bookmarkEnd w:id="55"/>
      <w:r w:rsidRPr="003015D7">
        <w:rPr>
          <w:rFonts w:ascii="Arial" w:hAnsi="Arial" w:cs="Arial"/>
          <w:sz w:val="22"/>
          <w:szCs w:val="22"/>
        </w:rPr>
        <w:t xml:space="preserve">Ross, Catherine E., and Chia-ling Wu. 1995. “The Links Between Education and Health.” </w:t>
      </w:r>
      <w:r w:rsidRPr="003015D7">
        <w:rPr>
          <w:rFonts w:ascii="Arial" w:hAnsi="Arial" w:cs="Arial"/>
          <w:i/>
          <w:iCs/>
          <w:sz w:val="22"/>
          <w:szCs w:val="22"/>
        </w:rPr>
        <w:t>American Sociological Review</w:t>
      </w:r>
      <w:r w:rsidRPr="003015D7">
        <w:rPr>
          <w:rFonts w:ascii="Arial" w:hAnsi="Arial" w:cs="Arial"/>
          <w:sz w:val="22"/>
          <w:szCs w:val="22"/>
        </w:rPr>
        <w:t xml:space="preserve"> 60 (5): 719. </w:t>
      </w:r>
      <w:hyperlink r:id="rId63">
        <w:r w:rsidRPr="003015D7">
          <w:rPr>
            <w:rStyle w:val="Hyperlink"/>
            <w:rFonts w:ascii="Arial" w:hAnsi="Arial" w:cs="Arial"/>
            <w:color w:val="auto"/>
            <w:sz w:val="22"/>
            <w:szCs w:val="22"/>
          </w:rPr>
          <w:t>https://www.proquest.com/docview/218816876/abstract/68AE22FD29504EF9PQ/1</w:t>
        </w:r>
      </w:hyperlink>
      <w:r w:rsidRPr="003015D7">
        <w:rPr>
          <w:rFonts w:ascii="Arial" w:hAnsi="Arial" w:cs="Arial"/>
          <w:sz w:val="22"/>
          <w:szCs w:val="22"/>
        </w:rPr>
        <w:t>.</w:t>
      </w:r>
    </w:p>
    <w:p w14:paraId="3D1AC719" w14:textId="77777777" w:rsidR="00792322" w:rsidRPr="003015D7" w:rsidRDefault="00000000" w:rsidP="003015D7">
      <w:pPr>
        <w:pStyle w:val="Bibliography"/>
        <w:rPr>
          <w:rFonts w:ascii="Arial" w:hAnsi="Arial" w:cs="Arial"/>
          <w:sz w:val="22"/>
          <w:szCs w:val="22"/>
        </w:rPr>
      </w:pPr>
      <w:bookmarkStart w:id="57" w:name="ref-rothwell"/>
      <w:bookmarkEnd w:id="56"/>
      <w:r w:rsidRPr="003015D7">
        <w:rPr>
          <w:rFonts w:ascii="Arial" w:hAnsi="Arial" w:cs="Arial"/>
          <w:sz w:val="22"/>
          <w:szCs w:val="22"/>
        </w:rPr>
        <w:t>Rothwell, Charles J, Jennifer H Madans, and Irma E Arispe. n.d. “National Center for Health Statistics,” 81.</w:t>
      </w:r>
    </w:p>
    <w:p w14:paraId="4754CC9E" w14:textId="77777777" w:rsidR="00792322" w:rsidRPr="003015D7" w:rsidRDefault="00000000" w:rsidP="003015D7">
      <w:pPr>
        <w:pStyle w:val="Bibliography"/>
        <w:rPr>
          <w:rFonts w:ascii="Arial" w:hAnsi="Arial" w:cs="Arial"/>
          <w:sz w:val="22"/>
          <w:szCs w:val="22"/>
        </w:rPr>
      </w:pPr>
      <w:bookmarkStart w:id="58" w:name="ref-roubal2021"/>
      <w:bookmarkEnd w:id="57"/>
      <w:r w:rsidRPr="003015D7">
        <w:rPr>
          <w:rFonts w:ascii="Arial" w:hAnsi="Arial" w:cs="Arial"/>
          <w:sz w:val="22"/>
          <w:szCs w:val="22"/>
        </w:rPr>
        <w:t xml:space="preserve">Roubal, Anne M., Elizabeth A. Pollock, Keith P. Gennuso, Courtney K. Blomme, and Marjory L. Givens. 2021. “Comparative Methodologic and Practical Considerations for Life Expectancy as a Public Health Mortality Measure.” </w:t>
      </w:r>
      <w:r w:rsidRPr="003015D7">
        <w:rPr>
          <w:rFonts w:ascii="Arial" w:hAnsi="Arial" w:cs="Arial"/>
          <w:i/>
          <w:iCs/>
          <w:sz w:val="22"/>
          <w:szCs w:val="22"/>
        </w:rPr>
        <w:t>Public Health Reports</w:t>
      </w:r>
      <w:r w:rsidRPr="003015D7">
        <w:rPr>
          <w:rFonts w:ascii="Arial" w:hAnsi="Arial" w:cs="Arial"/>
          <w:sz w:val="22"/>
          <w:szCs w:val="22"/>
        </w:rPr>
        <w:t xml:space="preserve"> 137 (2): 255–62. </w:t>
      </w:r>
      <w:hyperlink r:id="rId64">
        <w:r w:rsidRPr="003015D7">
          <w:rPr>
            <w:rStyle w:val="Hyperlink"/>
            <w:rFonts w:ascii="Arial" w:hAnsi="Arial" w:cs="Arial"/>
            <w:color w:val="auto"/>
            <w:sz w:val="22"/>
            <w:szCs w:val="22"/>
          </w:rPr>
          <w:t>https://doi.org/10.1177/0033354921999407</w:t>
        </w:r>
      </w:hyperlink>
      <w:r w:rsidRPr="003015D7">
        <w:rPr>
          <w:rFonts w:ascii="Arial" w:hAnsi="Arial" w:cs="Arial"/>
          <w:sz w:val="22"/>
          <w:szCs w:val="22"/>
        </w:rPr>
        <w:t>.</w:t>
      </w:r>
    </w:p>
    <w:p w14:paraId="1B3AAEA1" w14:textId="77777777" w:rsidR="00792322" w:rsidRPr="003015D7" w:rsidRDefault="00000000" w:rsidP="003015D7">
      <w:pPr>
        <w:pStyle w:val="Bibliography"/>
        <w:rPr>
          <w:rFonts w:ascii="Arial" w:hAnsi="Arial" w:cs="Arial"/>
          <w:sz w:val="22"/>
          <w:szCs w:val="22"/>
        </w:rPr>
      </w:pPr>
      <w:bookmarkStart w:id="59" w:name="ref-s0701:g"/>
      <w:bookmarkEnd w:id="58"/>
      <w:r w:rsidRPr="003015D7">
        <w:rPr>
          <w:rFonts w:ascii="Arial" w:hAnsi="Arial" w:cs="Arial"/>
          <w:sz w:val="22"/>
          <w:szCs w:val="22"/>
        </w:rPr>
        <w:t xml:space="preserve">“S0701: GEOGRAPHIC MOBILITY BY ... - Census Bureau Table.” n.d. </w:t>
      </w:r>
      <w:hyperlink r:id="rId65">
        <w:r w:rsidRPr="003015D7">
          <w:rPr>
            <w:rStyle w:val="Hyperlink"/>
            <w:rFonts w:ascii="Arial" w:hAnsi="Arial" w:cs="Arial"/>
            <w:color w:val="auto"/>
            <w:sz w:val="22"/>
            <w:szCs w:val="22"/>
          </w:rPr>
          <w:t>https://data.census.gov/table?q=S0701&amp;g=050XX00US21019&amp;tid=ACSST5Y2019.S0701</w:t>
        </w:r>
      </w:hyperlink>
      <w:r w:rsidRPr="003015D7">
        <w:rPr>
          <w:rFonts w:ascii="Arial" w:hAnsi="Arial" w:cs="Arial"/>
          <w:sz w:val="22"/>
          <w:szCs w:val="22"/>
        </w:rPr>
        <w:t>.</w:t>
      </w:r>
    </w:p>
    <w:p w14:paraId="354A192D" w14:textId="77777777" w:rsidR="00792322" w:rsidRPr="003015D7" w:rsidRDefault="00000000" w:rsidP="003015D7">
      <w:pPr>
        <w:pStyle w:val="Bibliography"/>
        <w:rPr>
          <w:rFonts w:ascii="Arial" w:hAnsi="Arial" w:cs="Arial"/>
          <w:sz w:val="22"/>
          <w:szCs w:val="22"/>
        </w:rPr>
      </w:pPr>
      <w:bookmarkStart w:id="60" w:name="ref-schein2015"/>
      <w:bookmarkEnd w:id="59"/>
      <w:r w:rsidRPr="003015D7">
        <w:rPr>
          <w:rFonts w:ascii="Arial" w:hAnsi="Arial" w:cs="Arial"/>
          <w:sz w:val="22"/>
          <w:szCs w:val="22"/>
        </w:rPr>
        <w:t xml:space="preserve">Schein, Aaron, John Paisley, David M. Blei, and Hanna Wallach. 2015a. “Bayesian Poisson Tensor Factorization for Inferring Multilateral Relations from Sparse Dyadic Event Counts.” </w:t>
      </w:r>
      <w:hyperlink r:id="rId66">
        <w:r w:rsidRPr="003015D7">
          <w:rPr>
            <w:rStyle w:val="Hyperlink"/>
            <w:rFonts w:ascii="Arial" w:hAnsi="Arial" w:cs="Arial"/>
            <w:color w:val="auto"/>
            <w:sz w:val="22"/>
            <w:szCs w:val="22"/>
          </w:rPr>
          <w:t>http://arxiv.org/abs/1506.03493</w:t>
        </w:r>
      </w:hyperlink>
      <w:r w:rsidRPr="003015D7">
        <w:rPr>
          <w:rFonts w:ascii="Arial" w:hAnsi="Arial" w:cs="Arial"/>
          <w:sz w:val="22"/>
          <w:szCs w:val="22"/>
        </w:rPr>
        <w:t>.</w:t>
      </w:r>
    </w:p>
    <w:p w14:paraId="2080FE97" w14:textId="10026088" w:rsidR="00792322" w:rsidRPr="003015D7" w:rsidRDefault="008145C3" w:rsidP="003015D7">
      <w:pPr>
        <w:pStyle w:val="Bibliography"/>
        <w:rPr>
          <w:rFonts w:ascii="Arial" w:hAnsi="Arial" w:cs="Arial"/>
          <w:sz w:val="22"/>
          <w:szCs w:val="22"/>
        </w:rPr>
      </w:pPr>
      <w:bookmarkStart w:id="61" w:name="ref-self-rat1997"/>
      <w:bookmarkEnd w:id="60"/>
      <w:proofErr w:type="spellStart"/>
      <w:r w:rsidRPr="008145C3">
        <w:rPr>
          <w:rFonts w:ascii="Arial" w:hAnsi="Arial" w:cs="Arial"/>
          <w:sz w:val="22"/>
          <w:szCs w:val="22"/>
        </w:rPr>
        <w:t>Miilunpalo</w:t>
      </w:r>
      <w:proofErr w:type="spellEnd"/>
      <w:r>
        <w:rPr>
          <w:rFonts w:ascii="Arial" w:hAnsi="Arial" w:cs="Arial"/>
          <w:sz w:val="22"/>
          <w:szCs w:val="22"/>
        </w:rPr>
        <w:t>, S</w:t>
      </w:r>
      <w:r w:rsidRPr="008145C3">
        <w:rPr>
          <w:rFonts w:ascii="Arial" w:hAnsi="Arial" w:cs="Arial"/>
          <w:sz w:val="22"/>
          <w:szCs w:val="22"/>
        </w:rPr>
        <w:t xml:space="preserve">, I </w:t>
      </w:r>
      <w:proofErr w:type="spellStart"/>
      <w:r w:rsidRPr="008145C3">
        <w:rPr>
          <w:rFonts w:ascii="Arial" w:hAnsi="Arial" w:cs="Arial"/>
          <w:sz w:val="22"/>
          <w:szCs w:val="22"/>
        </w:rPr>
        <w:t>Vuori</w:t>
      </w:r>
      <w:proofErr w:type="spellEnd"/>
      <w:r w:rsidRPr="008145C3">
        <w:rPr>
          <w:rFonts w:ascii="Arial" w:hAnsi="Arial" w:cs="Arial"/>
          <w:sz w:val="22"/>
          <w:szCs w:val="22"/>
        </w:rPr>
        <w:t xml:space="preserve">, P </w:t>
      </w:r>
      <w:proofErr w:type="spellStart"/>
      <w:r w:rsidRPr="008145C3">
        <w:rPr>
          <w:rFonts w:ascii="Arial" w:hAnsi="Arial" w:cs="Arial"/>
          <w:sz w:val="22"/>
          <w:szCs w:val="22"/>
        </w:rPr>
        <w:t>Oja</w:t>
      </w:r>
      <w:proofErr w:type="spellEnd"/>
      <w:r w:rsidRPr="008145C3">
        <w:rPr>
          <w:rFonts w:ascii="Arial" w:hAnsi="Arial" w:cs="Arial"/>
          <w:sz w:val="22"/>
          <w:szCs w:val="22"/>
        </w:rPr>
        <w:t xml:space="preserve">, M </w:t>
      </w:r>
      <w:proofErr w:type="spellStart"/>
      <w:r w:rsidRPr="008145C3">
        <w:rPr>
          <w:rFonts w:ascii="Arial" w:hAnsi="Arial" w:cs="Arial"/>
          <w:sz w:val="22"/>
          <w:szCs w:val="22"/>
        </w:rPr>
        <w:t>Pasanen</w:t>
      </w:r>
      <w:proofErr w:type="spellEnd"/>
      <w:r w:rsidRPr="008145C3">
        <w:rPr>
          <w:rFonts w:ascii="Arial" w:hAnsi="Arial" w:cs="Arial"/>
          <w:sz w:val="22"/>
          <w:szCs w:val="22"/>
        </w:rPr>
        <w:t>,</w:t>
      </w:r>
      <w:r>
        <w:rPr>
          <w:rFonts w:ascii="Arial" w:hAnsi="Arial" w:cs="Arial"/>
          <w:sz w:val="22"/>
          <w:szCs w:val="22"/>
        </w:rPr>
        <w:t xml:space="preserve"> and</w:t>
      </w:r>
      <w:r w:rsidRPr="008145C3">
        <w:rPr>
          <w:rFonts w:ascii="Arial" w:hAnsi="Arial" w:cs="Arial"/>
          <w:sz w:val="22"/>
          <w:szCs w:val="22"/>
        </w:rPr>
        <w:t xml:space="preserve"> H </w:t>
      </w:r>
      <w:proofErr w:type="spellStart"/>
      <w:r w:rsidRPr="008145C3">
        <w:rPr>
          <w:rFonts w:ascii="Arial" w:hAnsi="Arial" w:cs="Arial"/>
          <w:sz w:val="22"/>
          <w:szCs w:val="22"/>
        </w:rPr>
        <w:t>Urponen</w:t>
      </w:r>
      <w:proofErr w:type="spellEnd"/>
      <w:r w:rsidRPr="008145C3">
        <w:rPr>
          <w:rFonts w:ascii="Arial" w:hAnsi="Arial" w:cs="Arial"/>
          <w:sz w:val="22"/>
          <w:szCs w:val="22"/>
        </w:rPr>
        <w:t xml:space="preserve"> </w:t>
      </w:r>
      <w:r w:rsidRPr="003015D7">
        <w:rPr>
          <w:rFonts w:ascii="Arial" w:hAnsi="Arial" w:cs="Arial"/>
          <w:sz w:val="22"/>
          <w:szCs w:val="22"/>
        </w:rPr>
        <w:t xml:space="preserve">“Self-Rated Health Status as a Health Measure: The Predictive Value of Self-Reported Health Status on the Use of Physician Services and on Mortality in the Working-Age Population.” 1997. </w:t>
      </w:r>
      <w:r w:rsidRPr="003015D7">
        <w:rPr>
          <w:rFonts w:ascii="Arial" w:hAnsi="Arial" w:cs="Arial"/>
          <w:i/>
          <w:iCs/>
          <w:sz w:val="22"/>
          <w:szCs w:val="22"/>
        </w:rPr>
        <w:t>Journal of Clinical Epidemiology</w:t>
      </w:r>
      <w:r w:rsidRPr="003015D7">
        <w:rPr>
          <w:rFonts w:ascii="Arial" w:hAnsi="Arial" w:cs="Arial"/>
          <w:sz w:val="22"/>
          <w:szCs w:val="22"/>
        </w:rPr>
        <w:t xml:space="preserve"> 50 (5): 517–28. </w:t>
      </w:r>
      <w:hyperlink r:id="rId67">
        <w:r w:rsidRPr="003015D7">
          <w:rPr>
            <w:rStyle w:val="Hyperlink"/>
            <w:rFonts w:ascii="Arial" w:hAnsi="Arial" w:cs="Arial"/>
            <w:color w:val="auto"/>
            <w:sz w:val="22"/>
            <w:szCs w:val="22"/>
          </w:rPr>
          <w:t>https://doi.org/10.1016/S0895-4356(97)00045-0</w:t>
        </w:r>
      </w:hyperlink>
      <w:r w:rsidRPr="003015D7">
        <w:rPr>
          <w:rFonts w:ascii="Arial" w:hAnsi="Arial" w:cs="Arial"/>
          <w:sz w:val="22"/>
          <w:szCs w:val="22"/>
        </w:rPr>
        <w:t>.</w:t>
      </w:r>
    </w:p>
    <w:p w14:paraId="0FB39A42" w14:textId="77777777" w:rsidR="00792322" w:rsidRPr="003015D7" w:rsidRDefault="00000000" w:rsidP="003015D7">
      <w:pPr>
        <w:pStyle w:val="Bibliography"/>
        <w:rPr>
          <w:rFonts w:ascii="Arial" w:hAnsi="Arial" w:cs="Arial"/>
          <w:sz w:val="22"/>
          <w:szCs w:val="22"/>
        </w:rPr>
      </w:pPr>
      <w:bookmarkStart w:id="62" w:name="ref-shi2021"/>
      <w:bookmarkEnd w:id="61"/>
      <w:r w:rsidRPr="003015D7">
        <w:rPr>
          <w:rFonts w:ascii="Arial" w:hAnsi="Arial" w:cs="Arial"/>
          <w:sz w:val="22"/>
          <w:szCs w:val="22"/>
        </w:rPr>
        <w:t xml:space="preserve">Shi, Yanlin. 2021. “Forecasting Mortality Rates with the Adaptive Spatial Temporal Autoregressive Model.” </w:t>
      </w:r>
      <w:r w:rsidRPr="003015D7">
        <w:rPr>
          <w:rFonts w:ascii="Arial" w:hAnsi="Arial" w:cs="Arial"/>
          <w:i/>
          <w:iCs/>
          <w:sz w:val="22"/>
          <w:szCs w:val="22"/>
        </w:rPr>
        <w:t>Journal of Forecasting</w:t>
      </w:r>
      <w:r w:rsidRPr="003015D7">
        <w:rPr>
          <w:rFonts w:ascii="Arial" w:hAnsi="Arial" w:cs="Arial"/>
          <w:sz w:val="22"/>
          <w:szCs w:val="22"/>
        </w:rPr>
        <w:t xml:space="preserve"> 40 (3): 528–46. </w:t>
      </w:r>
      <w:hyperlink r:id="rId68">
        <w:r w:rsidRPr="003015D7">
          <w:rPr>
            <w:rStyle w:val="Hyperlink"/>
            <w:rFonts w:ascii="Arial" w:hAnsi="Arial" w:cs="Arial"/>
            <w:color w:val="auto"/>
            <w:sz w:val="22"/>
            <w:szCs w:val="22"/>
          </w:rPr>
          <w:t>https://doi.org/10.1002/for.2730</w:t>
        </w:r>
      </w:hyperlink>
      <w:r w:rsidRPr="003015D7">
        <w:rPr>
          <w:rFonts w:ascii="Arial" w:hAnsi="Arial" w:cs="Arial"/>
          <w:sz w:val="22"/>
          <w:szCs w:val="22"/>
        </w:rPr>
        <w:t>.</w:t>
      </w:r>
    </w:p>
    <w:p w14:paraId="7831A0AD" w14:textId="77777777" w:rsidR="00792322" w:rsidRPr="003015D7" w:rsidRDefault="00000000" w:rsidP="003015D7">
      <w:pPr>
        <w:pStyle w:val="Bibliography"/>
        <w:rPr>
          <w:rFonts w:ascii="Arial" w:hAnsi="Arial" w:cs="Arial"/>
          <w:sz w:val="22"/>
          <w:szCs w:val="22"/>
        </w:rPr>
      </w:pPr>
      <w:bookmarkStart w:id="63" w:name="ref-shumway2014"/>
      <w:bookmarkEnd w:id="62"/>
      <w:r w:rsidRPr="003015D7">
        <w:rPr>
          <w:rFonts w:ascii="Arial" w:hAnsi="Arial" w:cs="Arial"/>
          <w:sz w:val="22"/>
          <w:szCs w:val="22"/>
        </w:rPr>
        <w:t xml:space="preserve">Shumway, J. Matthew, Samuel Otterstrom, and Sonya Glavac. 2014. “Environmental Hazards as Disamenities: Selective Migration and Income Change in the United States from 20002010.” </w:t>
      </w:r>
      <w:r w:rsidRPr="003015D7">
        <w:rPr>
          <w:rFonts w:ascii="Arial" w:hAnsi="Arial" w:cs="Arial"/>
          <w:i/>
          <w:iCs/>
          <w:sz w:val="22"/>
          <w:szCs w:val="22"/>
        </w:rPr>
        <w:t>Annals of the Association of American Geographers</w:t>
      </w:r>
      <w:r w:rsidRPr="003015D7">
        <w:rPr>
          <w:rFonts w:ascii="Arial" w:hAnsi="Arial" w:cs="Arial"/>
          <w:sz w:val="22"/>
          <w:szCs w:val="22"/>
        </w:rPr>
        <w:t xml:space="preserve"> 104 (2): 280–91. </w:t>
      </w:r>
      <w:hyperlink r:id="rId69">
        <w:r w:rsidRPr="003015D7">
          <w:rPr>
            <w:rStyle w:val="Hyperlink"/>
            <w:rFonts w:ascii="Arial" w:hAnsi="Arial" w:cs="Arial"/>
            <w:color w:val="auto"/>
            <w:sz w:val="22"/>
            <w:szCs w:val="22"/>
          </w:rPr>
          <w:t>https://doi.org/10.1080/00045608.2013.873322</w:t>
        </w:r>
      </w:hyperlink>
      <w:r w:rsidRPr="003015D7">
        <w:rPr>
          <w:rFonts w:ascii="Arial" w:hAnsi="Arial" w:cs="Arial"/>
          <w:sz w:val="22"/>
          <w:szCs w:val="22"/>
        </w:rPr>
        <w:t>.</w:t>
      </w:r>
    </w:p>
    <w:p w14:paraId="22EE10B9" w14:textId="77777777" w:rsidR="00792322" w:rsidRPr="003015D7" w:rsidRDefault="00000000" w:rsidP="003015D7">
      <w:pPr>
        <w:pStyle w:val="Bibliography"/>
        <w:rPr>
          <w:rFonts w:ascii="Arial" w:hAnsi="Arial" w:cs="Arial"/>
          <w:sz w:val="22"/>
          <w:szCs w:val="22"/>
        </w:rPr>
      </w:pPr>
      <w:bookmarkStart w:id="64" w:name="ref-soitax"/>
      <w:bookmarkEnd w:id="63"/>
      <w:r w:rsidRPr="003015D7">
        <w:rPr>
          <w:rFonts w:ascii="Arial" w:hAnsi="Arial" w:cs="Arial"/>
          <w:sz w:val="22"/>
          <w:szCs w:val="22"/>
        </w:rPr>
        <w:t xml:space="preserve">“SOI Tax Stats - Migration Data | Internal Revenue Service.” n.d. </w:t>
      </w:r>
      <w:hyperlink r:id="rId70">
        <w:r w:rsidRPr="003015D7">
          <w:rPr>
            <w:rStyle w:val="Hyperlink"/>
            <w:rFonts w:ascii="Arial" w:hAnsi="Arial" w:cs="Arial"/>
            <w:color w:val="auto"/>
            <w:sz w:val="22"/>
            <w:szCs w:val="22"/>
          </w:rPr>
          <w:t>https://www.irs.gov/statistics/soi-tax-stats-migration-data</w:t>
        </w:r>
      </w:hyperlink>
      <w:r w:rsidRPr="003015D7">
        <w:rPr>
          <w:rFonts w:ascii="Arial" w:hAnsi="Arial" w:cs="Arial"/>
          <w:sz w:val="22"/>
          <w:szCs w:val="22"/>
        </w:rPr>
        <w:t>.</w:t>
      </w:r>
    </w:p>
    <w:p w14:paraId="2204570F" w14:textId="77777777" w:rsidR="00792322" w:rsidRPr="003015D7" w:rsidRDefault="00000000" w:rsidP="003015D7">
      <w:pPr>
        <w:pStyle w:val="Bibliography"/>
        <w:rPr>
          <w:rFonts w:ascii="Arial" w:hAnsi="Arial" w:cs="Arial"/>
          <w:sz w:val="22"/>
          <w:szCs w:val="22"/>
        </w:rPr>
      </w:pPr>
      <w:bookmarkStart w:id="65" w:name="ref-sparks2010"/>
      <w:bookmarkEnd w:id="64"/>
      <w:r w:rsidRPr="003015D7">
        <w:rPr>
          <w:rFonts w:ascii="Arial" w:hAnsi="Arial" w:cs="Arial"/>
          <w:sz w:val="22"/>
          <w:szCs w:val="22"/>
        </w:rPr>
        <w:t xml:space="preserve">Sparks, Patrice Johnelle, and Corey S. Sparks. 2010. “An Application of Spatially Autoregressive Models to the Study of US County Mortality Rates.” </w:t>
      </w:r>
      <w:r w:rsidRPr="003015D7">
        <w:rPr>
          <w:rFonts w:ascii="Arial" w:hAnsi="Arial" w:cs="Arial"/>
          <w:i/>
          <w:iCs/>
          <w:sz w:val="22"/>
          <w:szCs w:val="22"/>
        </w:rPr>
        <w:t>Population, Space and Place</w:t>
      </w:r>
      <w:r w:rsidRPr="003015D7">
        <w:rPr>
          <w:rFonts w:ascii="Arial" w:hAnsi="Arial" w:cs="Arial"/>
          <w:sz w:val="22"/>
          <w:szCs w:val="22"/>
        </w:rPr>
        <w:t xml:space="preserve"> 16 (6): 465–81. </w:t>
      </w:r>
      <w:hyperlink r:id="rId71">
        <w:r w:rsidRPr="003015D7">
          <w:rPr>
            <w:rStyle w:val="Hyperlink"/>
            <w:rFonts w:ascii="Arial" w:hAnsi="Arial" w:cs="Arial"/>
            <w:color w:val="auto"/>
            <w:sz w:val="22"/>
            <w:szCs w:val="22"/>
          </w:rPr>
          <w:t>https://doi.org/10.1002/psp.564</w:t>
        </w:r>
      </w:hyperlink>
      <w:r w:rsidRPr="003015D7">
        <w:rPr>
          <w:rFonts w:ascii="Arial" w:hAnsi="Arial" w:cs="Arial"/>
          <w:sz w:val="22"/>
          <w:szCs w:val="22"/>
        </w:rPr>
        <w:t>.</w:t>
      </w:r>
    </w:p>
    <w:p w14:paraId="1B8CA9BA" w14:textId="77777777" w:rsidR="00792322" w:rsidRPr="003015D7" w:rsidRDefault="00000000" w:rsidP="003015D7">
      <w:pPr>
        <w:pStyle w:val="Bibliography"/>
        <w:rPr>
          <w:rFonts w:ascii="Arial" w:hAnsi="Arial" w:cs="Arial"/>
          <w:sz w:val="22"/>
          <w:szCs w:val="22"/>
        </w:rPr>
      </w:pPr>
      <w:bookmarkStart w:id="66" w:name="ref-sun"/>
      <w:bookmarkEnd w:id="65"/>
      <w:r w:rsidRPr="003015D7">
        <w:rPr>
          <w:rFonts w:ascii="Arial" w:hAnsi="Arial" w:cs="Arial"/>
          <w:sz w:val="22"/>
          <w:szCs w:val="22"/>
        </w:rPr>
        <w:t xml:space="preserve">Sun, Lijun, and Kay Axhausen. n.d. “Understanding Urban Mobility Patterns with a Probabilistic Tensor Factorization Framework.” </w:t>
      </w:r>
      <w:hyperlink r:id="rId72">
        <w:r w:rsidRPr="003015D7">
          <w:rPr>
            <w:rStyle w:val="Hyperlink"/>
            <w:rFonts w:ascii="Arial" w:hAnsi="Arial" w:cs="Arial"/>
            <w:color w:val="auto"/>
            <w:sz w:val="22"/>
            <w:szCs w:val="22"/>
          </w:rPr>
          <w:t>file:///C:/Users/holsonwillia/Downloads/1-s2.0-S0191261516300261-main%20(2).pdf</w:t>
        </w:r>
      </w:hyperlink>
      <w:r w:rsidRPr="003015D7">
        <w:rPr>
          <w:rFonts w:ascii="Arial" w:hAnsi="Arial" w:cs="Arial"/>
          <w:sz w:val="22"/>
          <w:szCs w:val="22"/>
        </w:rPr>
        <w:t>.</w:t>
      </w:r>
    </w:p>
    <w:p w14:paraId="7E57FEC9" w14:textId="77777777" w:rsidR="00792322" w:rsidRPr="003015D7" w:rsidRDefault="00000000" w:rsidP="003015D7">
      <w:pPr>
        <w:pStyle w:val="Bibliography"/>
        <w:rPr>
          <w:rFonts w:ascii="Arial" w:hAnsi="Arial" w:cs="Arial"/>
          <w:sz w:val="22"/>
          <w:szCs w:val="22"/>
        </w:rPr>
      </w:pPr>
      <w:bookmarkStart w:id="67" w:name="ref-tsai2018"/>
      <w:bookmarkEnd w:id="66"/>
      <w:r w:rsidRPr="003015D7">
        <w:rPr>
          <w:rFonts w:ascii="Arial" w:hAnsi="Arial" w:cs="Arial"/>
          <w:sz w:val="22"/>
          <w:szCs w:val="22"/>
        </w:rPr>
        <w:t xml:space="preserve">Tsai, Wei-Lun, Melissa R. McHale, Viniece Jennings, Oriol Marquet, J. Aaron Hipp, Yu-Fai Leung, and Myron F. Floyd. 2018. “Relationships Between Characteristics of Urban Green Land Cover and Mental Health in U.S. Metropolitan Areas.” </w:t>
      </w:r>
      <w:r w:rsidRPr="003015D7">
        <w:rPr>
          <w:rFonts w:ascii="Arial" w:hAnsi="Arial" w:cs="Arial"/>
          <w:i/>
          <w:iCs/>
          <w:sz w:val="22"/>
          <w:szCs w:val="22"/>
        </w:rPr>
        <w:t>International Journal of Environmental Research and Public Health</w:t>
      </w:r>
      <w:r w:rsidRPr="003015D7">
        <w:rPr>
          <w:rFonts w:ascii="Arial" w:hAnsi="Arial" w:cs="Arial"/>
          <w:sz w:val="22"/>
          <w:szCs w:val="22"/>
        </w:rPr>
        <w:t xml:space="preserve"> 15 (2): 340. </w:t>
      </w:r>
      <w:hyperlink r:id="rId73">
        <w:r w:rsidRPr="003015D7">
          <w:rPr>
            <w:rStyle w:val="Hyperlink"/>
            <w:rFonts w:ascii="Arial" w:hAnsi="Arial" w:cs="Arial"/>
            <w:color w:val="auto"/>
            <w:sz w:val="22"/>
            <w:szCs w:val="22"/>
          </w:rPr>
          <w:t>https://doi.org/10.3390/ijerph15020340</w:t>
        </w:r>
      </w:hyperlink>
      <w:r w:rsidRPr="003015D7">
        <w:rPr>
          <w:rFonts w:ascii="Arial" w:hAnsi="Arial" w:cs="Arial"/>
          <w:sz w:val="22"/>
          <w:szCs w:val="22"/>
        </w:rPr>
        <w:t>.</w:t>
      </w:r>
    </w:p>
    <w:p w14:paraId="10D66A65" w14:textId="77777777" w:rsidR="00792322" w:rsidRPr="003015D7" w:rsidRDefault="00000000" w:rsidP="003015D7">
      <w:pPr>
        <w:pStyle w:val="Bibliography"/>
        <w:rPr>
          <w:rFonts w:ascii="Arial" w:hAnsi="Arial" w:cs="Arial"/>
          <w:sz w:val="22"/>
          <w:szCs w:val="22"/>
        </w:rPr>
      </w:pPr>
      <w:bookmarkStart w:id="68" w:name="ref-uzomah2020"/>
      <w:bookmarkEnd w:id="67"/>
      <w:r w:rsidRPr="003015D7">
        <w:rPr>
          <w:rFonts w:ascii="Arial" w:hAnsi="Arial" w:cs="Arial"/>
          <w:sz w:val="22"/>
          <w:szCs w:val="22"/>
        </w:rPr>
        <w:lastRenderedPageBreak/>
        <w:t xml:space="preserve">Uzomah, Ngozi L., and Ignatius A. Madu. 2020. “Factors of Migration of ECOWAS Citizens into Nigeria: A Principal Component Analysis Approach.” </w:t>
      </w:r>
      <w:r w:rsidRPr="003015D7">
        <w:rPr>
          <w:rFonts w:ascii="Arial" w:hAnsi="Arial" w:cs="Arial"/>
          <w:i/>
          <w:iCs/>
          <w:sz w:val="22"/>
          <w:szCs w:val="22"/>
        </w:rPr>
        <w:t>International Journal of Migration and Border Studies</w:t>
      </w:r>
      <w:r w:rsidRPr="003015D7">
        <w:rPr>
          <w:rFonts w:ascii="Arial" w:hAnsi="Arial" w:cs="Arial"/>
          <w:sz w:val="22"/>
          <w:szCs w:val="22"/>
        </w:rPr>
        <w:t xml:space="preserve"> 6 (3): 234–57. </w:t>
      </w:r>
      <w:hyperlink r:id="rId74">
        <w:r w:rsidRPr="003015D7">
          <w:rPr>
            <w:rStyle w:val="Hyperlink"/>
            <w:rFonts w:ascii="Arial" w:hAnsi="Arial" w:cs="Arial"/>
            <w:color w:val="auto"/>
            <w:sz w:val="22"/>
            <w:szCs w:val="22"/>
          </w:rPr>
          <w:t>https://doi.org/10.1504/IJMBS.2020.111441</w:t>
        </w:r>
      </w:hyperlink>
      <w:r w:rsidRPr="003015D7">
        <w:rPr>
          <w:rFonts w:ascii="Arial" w:hAnsi="Arial" w:cs="Arial"/>
          <w:sz w:val="22"/>
          <w:szCs w:val="22"/>
        </w:rPr>
        <w:t>.</w:t>
      </w:r>
    </w:p>
    <w:p w14:paraId="0CBC6475" w14:textId="77777777" w:rsidR="00792322" w:rsidRPr="003015D7" w:rsidRDefault="00000000" w:rsidP="003015D7">
      <w:pPr>
        <w:pStyle w:val="Bibliography"/>
        <w:rPr>
          <w:rFonts w:ascii="Arial" w:hAnsi="Arial" w:cs="Arial"/>
          <w:sz w:val="22"/>
          <w:szCs w:val="22"/>
        </w:rPr>
      </w:pPr>
      <w:bookmarkStart w:id="69" w:name="ref-vanderweele2014"/>
      <w:bookmarkEnd w:id="68"/>
      <w:r w:rsidRPr="003015D7">
        <w:rPr>
          <w:rFonts w:ascii="Arial" w:hAnsi="Arial" w:cs="Arial"/>
          <w:sz w:val="22"/>
          <w:szCs w:val="22"/>
        </w:rPr>
        <w:t xml:space="preserve">VanderWeele, T. J., and S. Vansteelandt. 2014. “Mediation Analysis with Multiple Mediators.” </w:t>
      </w:r>
      <w:r w:rsidRPr="003015D7">
        <w:rPr>
          <w:rFonts w:ascii="Arial" w:hAnsi="Arial" w:cs="Arial"/>
          <w:i/>
          <w:iCs/>
          <w:sz w:val="22"/>
          <w:szCs w:val="22"/>
        </w:rPr>
        <w:t>Epidemiologic Methods</w:t>
      </w:r>
      <w:r w:rsidRPr="003015D7">
        <w:rPr>
          <w:rFonts w:ascii="Arial" w:hAnsi="Arial" w:cs="Arial"/>
          <w:sz w:val="22"/>
          <w:szCs w:val="22"/>
        </w:rPr>
        <w:t xml:space="preserve"> 2 (1): 95–115. </w:t>
      </w:r>
      <w:hyperlink r:id="rId75">
        <w:r w:rsidRPr="003015D7">
          <w:rPr>
            <w:rStyle w:val="Hyperlink"/>
            <w:rFonts w:ascii="Arial" w:hAnsi="Arial" w:cs="Arial"/>
            <w:color w:val="auto"/>
            <w:sz w:val="22"/>
            <w:szCs w:val="22"/>
          </w:rPr>
          <w:t>https://doi.org/10.1515/em-2012-0010</w:t>
        </w:r>
      </w:hyperlink>
      <w:r w:rsidRPr="003015D7">
        <w:rPr>
          <w:rFonts w:ascii="Arial" w:hAnsi="Arial" w:cs="Arial"/>
          <w:sz w:val="22"/>
          <w:szCs w:val="22"/>
        </w:rPr>
        <w:t>.</w:t>
      </w:r>
    </w:p>
    <w:p w14:paraId="3266A616" w14:textId="77777777" w:rsidR="00792322" w:rsidRPr="003015D7" w:rsidRDefault="00000000" w:rsidP="003015D7">
      <w:pPr>
        <w:pStyle w:val="Bibliography"/>
        <w:rPr>
          <w:rFonts w:ascii="Arial" w:hAnsi="Arial" w:cs="Arial"/>
          <w:sz w:val="22"/>
          <w:szCs w:val="22"/>
        </w:rPr>
      </w:pPr>
      <w:bookmarkStart w:id="70" w:name="ref-weckroth2022"/>
      <w:bookmarkEnd w:id="69"/>
      <w:r w:rsidRPr="003015D7">
        <w:rPr>
          <w:rFonts w:ascii="Arial" w:hAnsi="Arial" w:cs="Arial"/>
          <w:sz w:val="22"/>
          <w:szCs w:val="22"/>
        </w:rPr>
        <w:t xml:space="preserve">Weckroth, Mikko, Sanna Ala-Mantila, Dimitris Ballas, Thanasis Ziogas, and Jonna Ikonen. 2022. “Urbanity, Neighbourhood Characteristics and Perceived Quality of Life (QoL): Analysis of Individual and Contextual Determinants for Perceived QoL in 3300 Postal Code Areas in Finland.” </w:t>
      </w:r>
      <w:r w:rsidRPr="003015D7">
        <w:rPr>
          <w:rFonts w:ascii="Arial" w:hAnsi="Arial" w:cs="Arial"/>
          <w:i/>
          <w:iCs/>
          <w:sz w:val="22"/>
          <w:szCs w:val="22"/>
        </w:rPr>
        <w:t>Social Indicators Research</w:t>
      </w:r>
      <w:r w:rsidRPr="003015D7">
        <w:rPr>
          <w:rFonts w:ascii="Arial" w:hAnsi="Arial" w:cs="Arial"/>
          <w:sz w:val="22"/>
          <w:szCs w:val="22"/>
        </w:rPr>
        <w:t xml:space="preserve">, February. </w:t>
      </w:r>
      <w:hyperlink r:id="rId76">
        <w:r w:rsidRPr="003015D7">
          <w:rPr>
            <w:rStyle w:val="Hyperlink"/>
            <w:rFonts w:ascii="Arial" w:hAnsi="Arial" w:cs="Arial"/>
            <w:color w:val="auto"/>
            <w:sz w:val="22"/>
            <w:szCs w:val="22"/>
          </w:rPr>
          <w:t>https://doi.org/10.1007/s11205-021-02835-z</w:t>
        </w:r>
      </w:hyperlink>
      <w:r w:rsidRPr="003015D7">
        <w:rPr>
          <w:rFonts w:ascii="Arial" w:hAnsi="Arial" w:cs="Arial"/>
          <w:sz w:val="22"/>
          <w:szCs w:val="22"/>
        </w:rPr>
        <w:t>.</w:t>
      </w:r>
    </w:p>
    <w:p w14:paraId="26FE5BB5" w14:textId="77777777" w:rsidR="00792322" w:rsidRPr="003015D7" w:rsidRDefault="00000000" w:rsidP="003015D7">
      <w:pPr>
        <w:pStyle w:val="Bibliography"/>
        <w:rPr>
          <w:rFonts w:ascii="Arial" w:hAnsi="Arial" w:cs="Arial"/>
          <w:sz w:val="22"/>
          <w:szCs w:val="22"/>
        </w:rPr>
      </w:pPr>
      <w:bookmarkStart w:id="71" w:name="ref-yang2012"/>
      <w:bookmarkEnd w:id="70"/>
      <w:r w:rsidRPr="003015D7">
        <w:rPr>
          <w:rFonts w:ascii="Arial" w:hAnsi="Arial" w:cs="Arial"/>
          <w:sz w:val="22"/>
          <w:szCs w:val="22"/>
        </w:rPr>
        <w:t xml:space="preserve">Yang, Lei, Guoyou Qin, Naiqing Zhao, Chunfang Wang, and Guixiang Song. 2012. “Using a Generalized Additive Model with Autoregressive Terms to Study the Effects of Daily Temperature on Mortality.” </w:t>
      </w:r>
      <w:r w:rsidRPr="003015D7">
        <w:rPr>
          <w:rFonts w:ascii="Arial" w:hAnsi="Arial" w:cs="Arial"/>
          <w:i/>
          <w:iCs/>
          <w:sz w:val="22"/>
          <w:szCs w:val="22"/>
        </w:rPr>
        <w:t>BMC Medical Research Methodology</w:t>
      </w:r>
      <w:r w:rsidRPr="003015D7">
        <w:rPr>
          <w:rFonts w:ascii="Arial" w:hAnsi="Arial" w:cs="Arial"/>
          <w:sz w:val="22"/>
          <w:szCs w:val="22"/>
        </w:rPr>
        <w:t xml:space="preserve"> 12 (1): 165. </w:t>
      </w:r>
      <w:hyperlink r:id="rId77">
        <w:r w:rsidRPr="003015D7">
          <w:rPr>
            <w:rStyle w:val="Hyperlink"/>
            <w:rFonts w:ascii="Arial" w:hAnsi="Arial" w:cs="Arial"/>
            <w:color w:val="auto"/>
            <w:sz w:val="22"/>
            <w:szCs w:val="22"/>
          </w:rPr>
          <w:t>https://doi.org/10.1186/1471-2288-12-165</w:t>
        </w:r>
      </w:hyperlink>
      <w:r w:rsidRPr="003015D7">
        <w:rPr>
          <w:rFonts w:ascii="Arial" w:hAnsi="Arial" w:cs="Arial"/>
          <w:sz w:val="22"/>
          <w:szCs w:val="22"/>
        </w:rPr>
        <w:t>.</w:t>
      </w:r>
    </w:p>
    <w:p w14:paraId="0710EDB3" w14:textId="77777777" w:rsidR="00792322" w:rsidRPr="003015D7" w:rsidRDefault="00000000" w:rsidP="003015D7">
      <w:pPr>
        <w:pStyle w:val="Bibliography"/>
        <w:rPr>
          <w:rFonts w:ascii="Arial" w:hAnsi="Arial" w:cs="Arial"/>
          <w:sz w:val="22"/>
          <w:szCs w:val="22"/>
        </w:rPr>
      </w:pPr>
      <w:bookmarkStart w:id="72" w:name="ref-yang2019"/>
      <w:bookmarkEnd w:id="71"/>
      <w:r w:rsidRPr="003015D7">
        <w:rPr>
          <w:rFonts w:ascii="Arial" w:hAnsi="Arial" w:cs="Arial"/>
          <w:sz w:val="22"/>
          <w:szCs w:val="22"/>
        </w:rPr>
        <w:t xml:space="preserve">Yang, Tse-Chuan. 2019. “Modeling the Importance of Within- and Between-County Effects in an Ecological Study of the Association Between Social Capital and Mental Distress.” </w:t>
      </w:r>
      <w:r w:rsidRPr="003015D7">
        <w:rPr>
          <w:rFonts w:ascii="Arial" w:hAnsi="Arial" w:cs="Arial"/>
          <w:i/>
          <w:iCs/>
          <w:sz w:val="22"/>
          <w:szCs w:val="22"/>
        </w:rPr>
        <w:t>Preventing Chronic Disease</w:t>
      </w:r>
      <w:r w:rsidRPr="003015D7">
        <w:rPr>
          <w:rFonts w:ascii="Arial" w:hAnsi="Arial" w:cs="Arial"/>
          <w:sz w:val="22"/>
          <w:szCs w:val="22"/>
        </w:rPr>
        <w:t xml:space="preserve"> 16. </w:t>
      </w:r>
      <w:hyperlink r:id="rId78">
        <w:r w:rsidRPr="003015D7">
          <w:rPr>
            <w:rStyle w:val="Hyperlink"/>
            <w:rFonts w:ascii="Arial" w:hAnsi="Arial" w:cs="Arial"/>
            <w:color w:val="auto"/>
            <w:sz w:val="22"/>
            <w:szCs w:val="22"/>
          </w:rPr>
          <w:t>https://doi.org/10.5888/pcd16.180491</w:t>
        </w:r>
      </w:hyperlink>
      <w:r w:rsidRPr="003015D7">
        <w:rPr>
          <w:rFonts w:ascii="Arial" w:hAnsi="Arial" w:cs="Arial"/>
          <w:sz w:val="22"/>
          <w:szCs w:val="22"/>
        </w:rPr>
        <w:t>.</w:t>
      </w:r>
    </w:p>
    <w:p w14:paraId="2F7B8F52" w14:textId="77777777" w:rsidR="00792322" w:rsidRPr="003015D7" w:rsidRDefault="00000000" w:rsidP="003015D7">
      <w:pPr>
        <w:pStyle w:val="Bibliography"/>
        <w:rPr>
          <w:rFonts w:ascii="Arial" w:hAnsi="Arial" w:cs="Arial"/>
          <w:sz w:val="22"/>
          <w:szCs w:val="22"/>
        </w:rPr>
      </w:pPr>
      <w:bookmarkStart w:id="73" w:name="ref-yang2011"/>
      <w:bookmarkEnd w:id="72"/>
      <w:r w:rsidRPr="003015D7">
        <w:rPr>
          <w:rFonts w:ascii="Arial" w:hAnsi="Arial" w:cs="Arial"/>
          <w:sz w:val="22"/>
          <w:szCs w:val="22"/>
        </w:rPr>
        <w:t xml:space="preserve">Yang, Tse-Chuan, Leif Jensen, and Murali Haran. 2011. “Social Capital and Human Mortality: Explaining the Rural Paradox with County-Level Mortality Data.” </w:t>
      </w:r>
      <w:r w:rsidRPr="003015D7">
        <w:rPr>
          <w:rFonts w:ascii="Arial" w:hAnsi="Arial" w:cs="Arial"/>
          <w:i/>
          <w:iCs/>
          <w:sz w:val="22"/>
          <w:szCs w:val="22"/>
        </w:rPr>
        <w:t>Rural Sociology</w:t>
      </w:r>
      <w:r w:rsidRPr="003015D7">
        <w:rPr>
          <w:rFonts w:ascii="Arial" w:hAnsi="Arial" w:cs="Arial"/>
          <w:sz w:val="22"/>
          <w:szCs w:val="22"/>
        </w:rPr>
        <w:t xml:space="preserve"> 76 (3): 347–74. </w:t>
      </w:r>
      <w:hyperlink r:id="rId79">
        <w:r w:rsidRPr="003015D7">
          <w:rPr>
            <w:rStyle w:val="Hyperlink"/>
            <w:rFonts w:ascii="Arial" w:hAnsi="Arial" w:cs="Arial"/>
            <w:color w:val="auto"/>
            <w:sz w:val="22"/>
            <w:szCs w:val="22"/>
          </w:rPr>
          <w:t>https://doi.org/10.1111/j.1549-0831.2011.00055.x</w:t>
        </w:r>
      </w:hyperlink>
      <w:r w:rsidRPr="003015D7">
        <w:rPr>
          <w:rFonts w:ascii="Arial" w:hAnsi="Arial" w:cs="Arial"/>
          <w:sz w:val="22"/>
          <w:szCs w:val="22"/>
        </w:rPr>
        <w:t>.</w:t>
      </w:r>
    </w:p>
    <w:p w14:paraId="32360578" w14:textId="77777777" w:rsidR="00792322" w:rsidRPr="003015D7" w:rsidRDefault="00000000" w:rsidP="003015D7">
      <w:pPr>
        <w:pStyle w:val="Bibliography"/>
        <w:rPr>
          <w:rFonts w:ascii="Arial" w:hAnsi="Arial" w:cs="Arial"/>
          <w:sz w:val="22"/>
          <w:szCs w:val="22"/>
        </w:rPr>
      </w:pPr>
      <w:bookmarkStart w:id="74" w:name="ref-zijlema2015"/>
      <w:bookmarkEnd w:id="73"/>
      <w:r w:rsidRPr="003015D7">
        <w:rPr>
          <w:rFonts w:ascii="Arial" w:hAnsi="Arial" w:cs="Arial"/>
          <w:sz w:val="22"/>
          <w:szCs w:val="22"/>
        </w:rPr>
        <w:t xml:space="preserve">Zijlema, Wilma L., Bart Klijs, Ronald P. Stolk, and Judith G. M. Rosmalen. 2015. “(Un)Healthy in the City: Respiratory, Cardiometabolic and Mental Health Associated with Urbanity.” </w:t>
      </w:r>
      <w:r w:rsidRPr="003015D7">
        <w:rPr>
          <w:rFonts w:ascii="Arial" w:hAnsi="Arial" w:cs="Arial"/>
          <w:i/>
          <w:iCs/>
          <w:sz w:val="22"/>
          <w:szCs w:val="22"/>
        </w:rPr>
        <w:t>PLOS ONE</w:t>
      </w:r>
      <w:r w:rsidRPr="003015D7">
        <w:rPr>
          <w:rFonts w:ascii="Arial" w:hAnsi="Arial" w:cs="Arial"/>
          <w:sz w:val="22"/>
          <w:szCs w:val="22"/>
        </w:rPr>
        <w:t xml:space="preserve"> 10 (12): e0143910. </w:t>
      </w:r>
      <w:hyperlink r:id="rId80">
        <w:r w:rsidRPr="003015D7">
          <w:rPr>
            <w:rStyle w:val="Hyperlink"/>
            <w:rFonts w:ascii="Arial" w:hAnsi="Arial" w:cs="Arial"/>
            <w:color w:val="auto"/>
            <w:sz w:val="22"/>
            <w:szCs w:val="22"/>
          </w:rPr>
          <w:t>https://doi.org/10.1371/journal.pone.0143910</w:t>
        </w:r>
      </w:hyperlink>
      <w:r w:rsidRPr="003015D7">
        <w:rPr>
          <w:rFonts w:ascii="Arial" w:hAnsi="Arial" w:cs="Arial"/>
          <w:sz w:val="22"/>
          <w:szCs w:val="22"/>
        </w:rPr>
        <w:t>.</w:t>
      </w:r>
    </w:p>
    <w:p w14:paraId="5D7CADC6" w14:textId="77777777" w:rsidR="00792322" w:rsidRPr="003015D7" w:rsidRDefault="00000000" w:rsidP="003015D7">
      <w:pPr>
        <w:pStyle w:val="Bibliography"/>
        <w:rPr>
          <w:rFonts w:ascii="Arial" w:hAnsi="Arial" w:cs="Arial"/>
          <w:sz w:val="22"/>
          <w:szCs w:val="22"/>
        </w:rPr>
      </w:pPr>
      <w:bookmarkStart w:id="75" w:name="ref-zimmerman2006"/>
      <w:bookmarkEnd w:id="74"/>
      <w:r w:rsidRPr="003015D7">
        <w:rPr>
          <w:rFonts w:ascii="Arial" w:hAnsi="Arial" w:cs="Arial"/>
          <w:sz w:val="22"/>
          <w:szCs w:val="22"/>
        </w:rPr>
        <w:t xml:space="preserve">Zimmerman, F. J. 2006. “Income Inequality and Physical and Mental Health: Testing Associations Consistent with Proposed Causal Pathways.” </w:t>
      </w:r>
      <w:r w:rsidRPr="003015D7">
        <w:rPr>
          <w:rFonts w:ascii="Arial" w:hAnsi="Arial" w:cs="Arial"/>
          <w:i/>
          <w:iCs/>
          <w:sz w:val="22"/>
          <w:szCs w:val="22"/>
        </w:rPr>
        <w:t>Journal of Epidemiology &amp; Community Health</w:t>
      </w:r>
      <w:r w:rsidRPr="003015D7">
        <w:rPr>
          <w:rFonts w:ascii="Arial" w:hAnsi="Arial" w:cs="Arial"/>
          <w:sz w:val="22"/>
          <w:szCs w:val="22"/>
        </w:rPr>
        <w:t xml:space="preserve"> 60 (6): 513–21. </w:t>
      </w:r>
      <w:hyperlink r:id="rId81">
        <w:r w:rsidRPr="003015D7">
          <w:rPr>
            <w:rStyle w:val="Hyperlink"/>
            <w:rFonts w:ascii="Arial" w:hAnsi="Arial" w:cs="Arial"/>
            <w:color w:val="auto"/>
            <w:sz w:val="22"/>
            <w:szCs w:val="22"/>
          </w:rPr>
          <w:t>https://doi.org/10.1136/jech.2005.040154</w:t>
        </w:r>
      </w:hyperlink>
      <w:r w:rsidRPr="003015D7">
        <w:rPr>
          <w:rFonts w:ascii="Arial" w:hAnsi="Arial" w:cs="Arial"/>
          <w:sz w:val="22"/>
          <w:szCs w:val="22"/>
        </w:rPr>
        <w:t>.</w:t>
      </w:r>
      <w:bookmarkEnd w:id="1"/>
      <w:bookmarkEnd w:id="75"/>
    </w:p>
    <w:sectPr w:rsidR="00792322" w:rsidRPr="003015D7" w:rsidSect="003015D7">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54C4B" w14:textId="77777777" w:rsidR="002A77F5" w:rsidRDefault="002A77F5">
      <w:pPr>
        <w:spacing w:after="0"/>
      </w:pPr>
      <w:r>
        <w:separator/>
      </w:r>
    </w:p>
  </w:endnote>
  <w:endnote w:type="continuationSeparator" w:id="0">
    <w:p w14:paraId="318AD5CF" w14:textId="77777777" w:rsidR="002A77F5" w:rsidRDefault="002A77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2DEAC" w14:textId="77777777" w:rsidR="002A77F5" w:rsidRDefault="002A77F5">
      <w:r>
        <w:separator/>
      </w:r>
    </w:p>
  </w:footnote>
  <w:footnote w:type="continuationSeparator" w:id="0">
    <w:p w14:paraId="1D2FC8A8" w14:textId="77777777" w:rsidR="002A77F5" w:rsidRDefault="002A77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41EE7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46775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322"/>
    <w:rsid w:val="001F6627"/>
    <w:rsid w:val="002A77F5"/>
    <w:rsid w:val="003015D7"/>
    <w:rsid w:val="00572479"/>
    <w:rsid w:val="006410AB"/>
    <w:rsid w:val="00792322"/>
    <w:rsid w:val="008145C3"/>
    <w:rsid w:val="008359DD"/>
    <w:rsid w:val="00CC498A"/>
    <w:rsid w:val="00D4344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175E"/>
  <w15:docId w15:val="{60487B00-7A32-475B-8DA3-E648E299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13524-015-0400-7" TargetMode="External"/><Relationship Id="rId21" Type="http://schemas.openxmlformats.org/officeDocument/2006/relationships/hyperlink" Target="https://wonder.cdc.gov/" TargetMode="External"/><Relationship Id="rId42" Type="http://schemas.openxmlformats.org/officeDocument/2006/relationships/hyperlink" Target="https://doi.org/10.1080/1369183X.2010.489361" TargetMode="External"/><Relationship Id="rId47" Type="http://schemas.openxmlformats.org/officeDocument/2006/relationships/hyperlink" Target="https://doi.org/10.1016/j.socscimed.2009.05.013" TargetMode="External"/><Relationship Id="rId63" Type="http://schemas.openxmlformats.org/officeDocument/2006/relationships/hyperlink" Target="https://www.proquest.com/docview/218816876/abstract/68AE22FD29504EF9PQ/1" TargetMode="External"/><Relationship Id="rId68" Type="http://schemas.openxmlformats.org/officeDocument/2006/relationships/hyperlink" Target="https://doi.org/10.1002/for.2730" TargetMode="External"/><Relationship Id="rId16" Type="http://schemas.openxmlformats.org/officeDocument/2006/relationships/hyperlink" Target="https://rajatvd.github.io/Factor-Graphs/" TargetMode="External"/><Relationship Id="rId11" Type="http://schemas.openxmlformats.org/officeDocument/2006/relationships/hyperlink" Target="https://doi.org/10.1093/jtm/tay107" TargetMode="External"/><Relationship Id="rId32" Type="http://schemas.openxmlformats.org/officeDocument/2006/relationships/hyperlink" Target="https://www.countyhealthrankings.org/explore-health-rankings/rankings-data-documentation" TargetMode="External"/><Relationship Id="rId37" Type="http://schemas.openxmlformats.org/officeDocument/2006/relationships/hyperlink" Target="https://doi.org/10.1046/j.1525-1497.2002.10321.x" TargetMode="External"/><Relationship Id="rId53" Type="http://schemas.openxmlformats.org/officeDocument/2006/relationships/hyperlink" Target="https://doi.org/10.1016/j.healthplace.2017.08.009" TargetMode="External"/><Relationship Id="rId58" Type="http://schemas.openxmlformats.org/officeDocument/2006/relationships/hyperlink" Target="https://www.nimh.nih.gov/health/statistics/mental-illness.shtml" TargetMode="External"/><Relationship Id="rId74" Type="http://schemas.openxmlformats.org/officeDocument/2006/relationships/hyperlink" Target="https://doi.org/10.1504/IJMBS.2020.111441" TargetMode="External"/><Relationship Id="rId79" Type="http://schemas.openxmlformats.org/officeDocument/2006/relationships/hyperlink" Target="https://doi.org/10.1111/j.1549-0831.2011.00055.x" TargetMode="External"/><Relationship Id="rId5" Type="http://schemas.openxmlformats.org/officeDocument/2006/relationships/footnotes" Target="footnotes.xml"/><Relationship Id="rId61" Type="http://schemas.openxmlformats.org/officeDocument/2006/relationships/hyperlink" Target="https://doi.org/10.1017/S003329179900183X" TargetMode="External"/><Relationship Id="rId82" Type="http://schemas.openxmlformats.org/officeDocument/2006/relationships/fontTable" Target="fontTable.xml"/><Relationship Id="rId19" Type="http://schemas.openxmlformats.org/officeDocument/2006/relationships/hyperlink" Target="https://www.census.gov/programs-surveys/acs/guidance/estimates.html" TargetMode="External"/><Relationship Id="rId14" Type="http://schemas.openxmlformats.org/officeDocument/2006/relationships/hyperlink" Target="http://arxiv.org/abs/2112.15296" TargetMode="External"/><Relationship Id="rId22" Type="http://schemas.openxmlformats.org/officeDocument/2006/relationships/hyperlink" Target="https://doi.org/10.1016/0037-7856(77)90004-X" TargetMode="External"/><Relationship Id="rId27" Type="http://schemas.openxmlformats.org/officeDocument/2006/relationships/hyperlink" Target="https://doi.org/10.3386/w17738" TargetMode="External"/><Relationship Id="rId30" Type="http://schemas.openxmlformats.org/officeDocument/2006/relationships/hyperlink" Target="https://doi.org/10.1007/s12665-009-0301-4" TargetMode="External"/><Relationship Id="rId35" Type="http://schemas.openxmlformats.org/officeDocument/2006/relationships/hyperlink" Target="https://doi.org/10.1093/ije/18.1.269" TargetMode="External"/><Relationship Id="rId43" Type="http://schemas.openxmlformats.org/officeDocument/2006/relationships/hyperlink" Target="https://doi.org/10.1080/00324720802339806" TargetMode="External"/><Relationship Id="rId48" Type="http://schemas.openxmlformats.org/officeDocument/2006/relationships/hyperlink" Target="https://doi.org/10.1001/jama.2016.19435" TargetMode="External"/><Relationship Id="rId56" Type="http://schemas.openxmlformats.org/officeDocument/2006/relationships/hyperlink" Target="https://doi.org/10.1136/hrt.2010.218537" TargetMode="External"/><Relationship Id="rId64" Type="http://schemas.openxmlformats.org/officeDocument/2006/relationships/hyperlink" Target="https://doi.org/10.1177/0033354921999407" TargetMode="External"/><Relationship Id="rId69" Type="http://schemas.openxmlformats.org/officeDocument/2006/relationships/hyperlink" Target="https://doi.org/10.1080/00045608.2013.873322" TargetMode="External"/><Relationship Id="rId77" Type="http://schemas.openxmlformats.org/officeDocument/2006/relationships/hyperlink" Target="https://doi.org/10.1186/1471-2288-12-165" TargetMode="External"/><Relationship Id="rId8" Type="http://schemas.openxmlformats.org/officeDocument/2006/relationships/image" Target="media/image1.png"/><Relationship Id="rId51" Type="http://schemas.openxmlformats.org/officeDocument/2006/relationships/hyperlink" Target="https://doi.org/10.1016/j.annepidem.2021.07.014" TargetMode="External"/><Relationship Id="rId72" Type="http://schemas.openxmlformats.org/officeDocument/2006/relationships/hyperlink" Target="file:///C:/Users/holsonwillia/Downloads/1-s2.0-S0191261516300261-main%20(2).pdf" TargetMode="External"/><Relationship Id="rId80" Type="http://schemas.openxmlformats.org/officeDocument/2006/relationships/hyperlink" Target="https://doi.org/10.1371/journal.pone.0143910" TargetMode="External"/><Relationship Id="rId3" Type="http://schemas.openxmlformats.org/officeDocument/2006/relationships/settings" Target="settings.xml"/><Relationship Id="rId12" Type="http://schemas.openxmlformats.org/officeDocument/2006/relationships/hyperlink" Target="https://doi.org/10.1038/s41569-021-00644-y" TargetMode="External"/><Relationship Id="rId17" Type="http://schemas.openxmlformats.org/officeDocument/2006/relationships/hyperlink" Target="https://www.census.gov/library/working-papers/2021/acs/2021_Rothbaum_01.html" TargetMode="External"/><Relationship Id="rId25" Type="http://schemas.openxmlformats.org/officeDocument/2006/relationships/hyperlink" Target="https://doi.org/10.1016/j.socscimed.2007.05.036" TargetMode="External"/><Relationship Id="rId33" Type="http://schemas.openxmlformats.org/officeDocument/2006/relationships/hyperlink" Target="https://doi.org/10.1016/j.knosys.2016.01.027" TargetMode="External"/><Relationship Id="rId38" Type="http://schemas.openxmlformats.org/officeDocument/2006/relationships/hyperlink" Target="https://doi.org/10.1186/1742-7622-3-3" TargetMode="External"/><Relationship Id="rId46" Type="http://schemas.openxmlformats.org/officeDocument/2006/relationships/hyperlink" Target="https://doi.org/10.1037/a0020761" TargetMode="External"/><Relationship Id="rId59" Type="http://schemas.openxmlformats.org/officeDocument/2006/relationships/hyperlink" Target="https://doi.org/10.1016/j.socscimed.2004.11.008" TargetMode="External"/><Relationship Id="rId67" Type="http://schemas.openxmlformats.org/officeDocument/2006/relationships/hyperlink" Target="https://doi.org/10.1016/S0895-4356(97)00045-0" TargetMode="External"/><Relationship Id="rId20" Type="http://schemas.openxmlformats.org/officeDocument/2006/relationships/hyperlink" Target="https://www.cdc.gov/brfss/about/index.htm" TargetMode="External"/><Relationship Id="rId41" Type="http://schemas.openxmlformats.org/officeDocument/2006/relationships/hyperlink" Target="https://ora.ox.ac.uk/objects/uuid:94db8a0c-f78b-4fd2-b40f-1aa43d5a3b60" TargetMode="External"/><Relationship Id="rId54" Type="http://schemas.openxmlformats.org/officeDocument/2006/relationships/hyperlink" Target="https://www.feedingamerica.org/research/map-the-meal-gap/how-we-got-the-map-data" TargetMode="External"/><Relationship Id="rId62" Type="http://schemas.openxmlformats.org/officeDocument/2006/relationships/hyperlink" Target="https://doi.org/10.1186/1471-2288-13-49" TargetMode="External"/><Relationship Id="rId70" Type="http://schemas.openxmlformats.org/officeDocument/2006/relationships/hyperlink" Target="https://www.irs.gov/statistics/soi-tax-stats-migration-data" TargetMode="External"/><Relationship Id="rId75" Type="http://schemas.openxmlformats.org/officeDocument/2006/relationships/hyperlink" Target="https://doi.org/10.1515/em-2012-0010"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36/jech.57.7.501" TargetMode="External"/><Relationship Id="rId23" Type="http://schemas.openxmlformats.org/officeDocument/2006/relationships/hyperlink" Target="https://papers.ssrn.com/abstract=923530" TargetMode="External"/><Relationship Id="rId28" Type="http://schemas.openxmlformats.org/officeDocument/2006/relationships/hyperlink" Target="https://doi.org/10.3386/w12352" TargetMode="External"/><Relationship Id="rId36" Type="http://schemas.openxmlformats.org/officeDocument/2006/relationships/hyperlink" Target="https://www.jstor.org/stable/2722115" TargetMode="External"/><Relationship Id="rId49" Type="http://schemas.openxmlformats.org/officeDocument/2006/relationships/hyperlink" Target="https://doi.org/10.1177/0049124103262065" TargetMode="External"/><Relationship Id="rId57" Type="http://schemas.openxmlformats.org/officeDocument/2006/relationships/hyperlink" Target="https://doi.org/10.1145/3041021.3054222" TargetMode="External"/><Relationship Id="rId10" Type="http://schemas.openxmlformats.org/officeDocument/2006/relationships/image" Target="media/image3.png"/><Relationship Id="rId31" Type="http://schemas.openxmlformats.org/officeDocument/2006/relationships/hyperlink" Target="https://doi.org/10.1371/journal.pone.0259031" TargetMode="External"/><Relationship Id="rId44" Type="http://schemas.openxmlformats.org/officeDocument/2006/relationships/hyperlink" Target="https://doi.org/10.1038/nclimate3271" TargetMode="External"/><Relationship Id="rId52" Type="http://schemas.openxmlformats.org/officeDocument/2006/relationships/hyperlink" Target="https://doi.org/10.1017/asb.2016.37" TargetMode="External"/><Relationship Id="rId60" Type="http://schemas.openxmlformats.org/officeDocument/2006/relationships/hyperlink" Target="https://doi.org/10.5888/pcd20.220301" TargetMode="External"/><Relationship Id="rId65" Type="http://schemas.openxmlformats.org/officeDocument/2006/relationships/hyperlink" Target="https://data.census.gov/table?q=S0701&amp;g=050XX00US21019&amp;tid=ACSST5Y2019.S0701" TargetMode="External"/><Relationship Id="rId73" Type="http://schemas.openxmlformats.org/officeDocument/2006/relationships/hyperlink" Target="https://doi.org/10.3390/ijerph15020340" TargetMode="External"/><Relationship Id="rId78" Type="http://schemas.openxmlformats.org/officeDocument/2006/relationships/hyperlink" Target="https://doi.org/10.5888/pcd16.180491" TargetMode="External"/><Relationship Id="rId81" Type="http://schemas.openxmlformats.org/officeDocument/2006/relationships/hyperlink" Target="https://doi.org/10.1136/jech.2005.040154"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doi.org/10.48550/arXiv.1202.2476" TargetMode="External"/><Relationship Id="rId18" Type="http://schemas.openxmlformats.org/officeDocument/2006/relationships/hyperlink" Target="https://www.census.gov/programs-surveys/acs/technical-documentation/data-suppression.html" TargetMode="External"/><Relationship Id="rId39" Type="http://schemas.openxmlformats.org/officeDocument/2006/relationships/hyperlink" Target="https://doi.org/10.1089/ham.2016.0137" TargetMode="External"/><Relationship Id="rId34" Type="http://schemas.openxmlformats.org/officeDocument/2006/relationships/hyperlink" Target="https://doi.org/10.1371/journal.pone.0240151" TargetMode="External"/><Relationship Id="rId50" Type="http://schemas.openxmlformats.org/officeDocument/2006/relationships/hyperlink" Target="https://doi.org/10.2307/2060063" TargetMode="External"/><Relationship Id="rId55" Type="http://schemas.openxmlformats.org/officeDocument/2006/relationships/hyperlink" Target="https://doi.org/10.1093/oxfordjournals.aje.a112189" TargetMode="External"/><Relationship Id="rId76" Type="http://schemas.openxmlformats.org/officeDocument/2006/relationships/hyperlink" Target="https://doi.org/10.1007/s11205-021-02835-z" TargetMode="External"/><Relationship Id="rId7" Type="http://schemas.openxmlformats.org/officeDocument/2006/relationships/hyperlink" Target="https://doi.org/10.1007%2Fs10597-022-01082-x" TargetMode="External"/><Relationship Id="rId71" Type="http://schemas.openxmlformats.org/officeDocument/2006/relationships/hyperlink" Target="https://doi.org/10.1002/psp.564" TargetMode="External"/><Relationship Id="rId2" Type="http://schemas.openxmlformats.org/officeDocument/2006/relationships/styles" Target="styles.xml"/><Relationship Id="rId29" Type="http://schemas.openxmlformats.org/officeDocument/2006/relationships/hyperlink" Target="https://doi.org/10.1007/s11113-021-09663-6" TargetMode="External"/><Relationship Id="rId24" Type="http://schemas.openxmlformats.org/officeDocument/2006/relationships/hyperlink" Target="https://doi.org/10.1080/00330124.2012.724343" TargetMode="External"/><Relationship Id="rId40" Type="http://schemas.openxmlformats.org/officeDocument/2006/relationships/hyperlink" Target="https://doi.org/10.1080/09603123.2019.1669768" TargetMode="External"/><Relationship Id="rId45" Type="http://schemas.openxmlformats.org/officeDocument/2006/relationships/hyperlink" Target="https://doi.org/10.2307/2657501" TargetMode="External"/><Relationship Id="rId66" Type="http://schemas.openxmlformats.org/officeDocument/2006/relationships/hyperlink" Target="http://arxiv.org/abs/1506.034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17</Pages>
  <Words>11358</Words>
  <Characters>64742</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An ecological investigation of county-level migration as a mechanism for place-based health</vt:lpstr>
    </vt:vector>
  </TitlesOfParts>
  <Company/>
  <LinksUpToDate>false</LinksUpToDate>
  <CharactersWithSpaces>75949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ecological investigation of county-level migration as a mechanism for place-based health</dc:title>
  <dc:creator>Hannah Olson-Williams</dc:creator>
  <cp:keywords/>
  <cp:lastModifiedBy>Hannah Olson-Williams</cp:lastModifiedBy>
  <cp:revision>2</cp:revision>
  <dcterms:created xsi:type="dcterms:W3CDTF">2023-07-18T18:23:00Z</dcterms:created>
  <dcterms:modified xsi:type="dcterms:W3CDTF">2023-07-18T18:23:00Z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2023-08-01</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Epidemiology Preliminary B Exam</vt:lpwstr>
  </property>
  <property fmtid="{D5CDD505-2E9C-101B-9397-08002B2CF9AE}" pid="13" name="toc-title">
    <vt:lpwstr>Table of contents</vt:lpwstr>
  </property>
</Properties>
</file>