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C45B" w14:textId="77777777" w:rsidR="00931897" w:rsidRPr="00DC623A" w:rsidRDefault="00931897" w:rsidP="00931897">
      <w:pPr>
        <w:rPr>
          <w:rFonts w:ascii="Arial" w:hAnsi="Arial" w:cs="Arial"/>
          <w:b/>
          <w:sz w:val="28"/>
          <w:szCs w:val="28"/>
        </w:rPr>
      </w:pPr>
      <w:r w:rsidRPr="00DC623A">
        <w:rPr>
          <w:rFonts w:ascii="Arial" w:hAnsi="Arial" w:cs="Arial"/>
          <w:b/>
          <w:sz w:val="28"/>
          <w:szCs w:val="28"/>
        </w:rPr>
        <w:t>Supp</w:t>
      </w:r>
      <w:r>
        <w:rPr>
          <w:rFonts w:ascii="Arial" w:hAnsi="Arial" w:cs="Arial"/>
          <w:b/>
          <w:sz w:val="28"/>
          <w:szCs w:val="28"/>
        </w:rPr>
        <w:t>orting</w:t>
      </w:r>
      <w:r w:rsidRPr="00DC623A">
        <w:rPr>
          <w:rFonts w:ascii="Arial" w:hAnsi="Arial" w:cs="Arial"/>
          <w:b/>
          <w:sz w:val="28"/>
          <w:szCs w:val="28"/>
        </w:rPr>
        <w:t xml:space="preserve"> Information for</w:t>
      </w:r>
    </w:p>
    <w:p w14:paraId="64302842" w14:textId="77777777" w:rsidR="00931897" w:rsidRPr="00D04CB7" w:rsidRDefault="00931897" w:rsidP="00931897">
      <w:pPr>
        <w:rPr>
          <w:rFonts w:ascii="Arial" w:hAnsi="Arial" w:cs="Arial"/>
          <w:szCs w:val="24"/>
        </w:rPr>
      </w:pPr>
    </w:p>
    <w:p w14:paraId="62D315E1" w14:textId="77777777" w:rsidR="00931897" w:rsidRPr="00961490" w:rsidRDefault="00931897" w:rsidP="00931897">
      <w:pPr>
        <w:rPr>
          <w:rFonts w:ascii="Arial" w:hAnsi="Arial" w:cs="Arial"/>
          <w:b/>
        </w:rPr>
      </w:pPr>
      <w:r w:rsidRPr="00961490">
        <w:rPr>
          <w:rFonts w:ascii="Arial" w:hAnsi="Arial" w:cs="Arial"/>
          <w:b/>
        </w:rPr>
        <w:t>Evidence for microbially-mediated tradeoffs between growth and defense throughout coral evolution</w:t>
      </w:r>
    </w:p>
    <w:p w14:paraId="56FB4010" w14:textId="77777777" w:rsidR="00931897" w:rsidRPr="00246861" w:rsidRDefault="00931897" w:rsidP="00931897">
      <w:pPr>
        <w:rPr>
          <w:rFonts w:ascii="Arial" w:hAnsi="Arial" w:cs="Arial"/>
          <w:color w:val="000000"/>
          <w:sz w:val="20"/>
          <w:vertAlign w:val="superscript"/>
        </w:rPr>
      </w:pPr>
      <w:r w:rsidRPr="00246861">
        <w:rPr>
          <w:rFonts w:ascii="Arial" w:hAnsi="Arial" w:cs="Arial"/>
          <w:color w:val="000000"/>
          <w:sz w:val="20"/>
        </w:rPr>
        <w:t>Hannah E. Epstein</w:t>
      </w:r>
      <w:r w:rsidRPr="00246861">
        <w:rPr>
          <w:rFonts w:ascii="Arial" w:hAnsi="Arial" w:cs="Arial"/>
          <w:color w:val="000000"/>
          <w:sz w:val="20"/>
          <w:vertAlign w:val="superscript"/>
        </w:rPr>
        <w:t>1</w:t>
      </w:r>
      <w:r>
        <w:rPr>
          <w:rFonts w:ascii="Arial" w:hAnsi="Arial" w:cs="Arial"/>
          <w:color w:val="000000"/>
          <w:sz w:val="20"/>
          <w:vertAlign w:val="superscript"/>
        </w:rPr>
        <w:t>,2*</w:t>
      </w:r>
      <w:r w:rsidRPr="00246861">
        <w:rPr>
          <w:rFonts w:ascii="Arial" w:hAnsi="Arial" w:cs="Arial"/>
          <w:color w:val="000000"/>
          <w:sz w:val="20"/>
        </w:rPr>
        <w:t>, Tanya Brown</w:t>
      </w:r>
      <w:r>
        <w:rPr>
          <w:rFonts w:ascii="Arial" w:hAnsi="Arial" w:cs="Arial"/>
          <w:sz w:val="20"/>
          <w:vertAlign w:val="superscript"/>
        </w:rPr>
        <w:t>3,4</w:t>
      </w:r>
      <w:r w:rsidRPr="00246861">
        <w:rPr>
          <w:rFonts w:ascii="Arial" w:hAnsi="Arial" w:cs="Arial"/>
          <w:sz w:val="20"/>
        </w:rPr>
        <w:t xml:space="preserve">, </w:t>
      </w:r>
      <w:proofErr w:type="spellStart"/>
      <w:r w:rsidRPr="00246861">
        <w:rPr>
          <w:rFonts w:ascii="Arial" w:hAnsi="Arial" w:cs="Arial"/>
          <w:color w:val="000000"/>
          <w:sz w:val="20"/>
        </w:rPr>
        <w:t>Ayọmikun</w:t>
      </w:r>
      <w:proofErr w:type="spellEnd"/>
      <w:r w:rsidRPr="00246861">
        <w:rPr>
          <w:rFonts w:ascii="Arial" w:hAnsi="Arial" w:cs="Arial"/>
          <w:color w:val="000000"/>
          <w:sz w:val="20"/>
        </w:rPr>
        <w:t xml:space="preserve"> O. Akinrinade</w:t>
      </w:r>
      <w:r>
        <w:rPr>
          <w:rFonts w:ascii="Arial" w:hAnsi="Arial" w:cs="Arial"/>
          <w:sz w:val="20"/>
          <w:vertAlign w:val="superscript"/>
        </w:rPr>
        <w:t>3,5</w:t>
      </w:r>
      <w:r w:rsidRPr="00246861">
        <w:rPr>
          <w:rFonts w:ascii="Arial" w:hAnsi="Arial" w:cs="Arial"/>
          <w:sz w:val="20"/>
        </w:rPr>
        <w:t>, Ryan McMinds</w:t>
      </w:r>
      <w:r>
        <w:rPr>
          <w:rFonts w:ascii="Arial" w:hAnsi="Arial" w:cs="Arial"/>
          <w:sz w:val="20"/>
          <w:vertAlign w:val="superscript"/>
        </w:rPr>
        <w:t>2</w:t>
      </w:r>
      <w:r w:rsidRPr="00246861">
        <w:rPr>
          <w:rFonts w:ascii="Arial" w:hAnsi="Arial" w:cs="Arial"/>
          <w:sz w:val="20"/>
          <w:vertAlign w:val="superscript"/>
        </w:rPr>
        <w:t>,</w:t>
      </w:r>
      <w:r>
        <w:rPr>
          <w:rFonts w:ascii="Arial" w:hAnsi="Arial" w:cs="Arial"/>
          <w:sz w:val="20"/>
          <w:vertAlign w:val="superscript"/>
        </w:rPr>
        <w:t>6</w:t>
      </w:r>
      <w:r w:rsidRPr="00246861">
        <w:rPr>
          <w:rFonts w:ascii="Arial" w:hAnsi="Arial" w:cs="Arial"/>
          <w:sz w:val="20"/>
        </w:rPr>
        <w:t xml:space="preserve">, </w:t>
      </w:r>
      <w:r w:rsidRPr="00246861">
        <w:rPr>
          <w:rFonts w:ascii="Arial" w:hAnsi="Arial" w:cs="Arial"/>
          <w:color w:val="000000"/>
          <w:sz w:val="20"/>
        </w:rPr>
        <w:t>F. Joseph</w:t>
      </w:r>
      <w:r w:rsidRPr="00246861">
        <w:rPr>
          <w:rFonts w:ascii="Arial" w:hAnsi="Arial" w:cs="Arial"/>
          <w:sz w:val="20"/>
        </w:rPr>
        <w:t xml:space="preserve"> </w:t>
      </w:r>
      <w:r w:rsidRPr="00246861">
        <w:rPr>
          <w:rFonts w:ascii="Arial" w:hAnsi="Arial" w:cs="Arial"/>
          <w:color w:val="000000"/>
          <w:sz w:val="20"/>
        </w:rPr>
        <w:t>Pollock</w:t>
      </w:r>
      <w:r>
        <w:rPr>
          <w:rFonts w:ascii="Arial" w:hAnsi="Arial" w:cs="Arial"/>
          <w:sz w:val="20"/>
          <w:vertAlign w:val="superscript"/>
        </w:rPr>
        <w:t>7</w:t>
      </w:r>
      <w:r w:rsidRPr="00246861">
        <w:rPr>
          <w:rFonts w:ascii="Arial" w:hAnsi="Arial" w:cs="Arial"/>
          <w:sz w:val="20"/>
          <w:vertAlign w:val="superscript"/>
        </w:rPr>
        <w:t>,</w:t>
      </w:r>
      <w:r>
        <w:rPr>
          <w:rFonts w:ascii="Arial" w:hAnsi="Arial" w:cs="Arial"/>
          <w:sz w:val="20"/>
          <w:vertAlign w:val="superscript"/>
        </w:rPr>
        <w:t>8</w:t>
      </w:r>
      <w:r w:rsidRPr="00246861">
        <w:rPr>
          <w:rFonts w:ascii="Arial" w:hAnsi="Arial" w:cs="Arial"/>
          <w:sz w:val="20"/>
        </w:rPr>
        <w:t>, Dylan Sonett</w:t>
      </w:r>
      <w:r>
        <w:rPr>
          <w:rFonts w:ascii="Arial" w:hAnsi="Arial" w:cs="Arial"/>
          <w:sz w:val="20"/>
          <w:vertAlign w:val="superscript"/>
        </w:rPr>
        <w:t>9</w:t>
      </w:r>
      <w:r w:rsidRPr="00246861">
        <w:rPr>
          <w:rFonts w:ascii="Arial" w:hAnsi="Arial" w:cs="Arial"/>
          <w:sz w:val="20"/>
        </w:rPr>
        <w:t xml:space="preserve">, </w:t>
      </w:r>
      <w:r w:rsidRPr="00246861">
        <w:rPr>
          <w:rFonts w:ascii="Arial" w:hAnsi="Arial" w:cs="Arial"/>
          <w:color w:val="000000"/>
          <w:sz w:val="20"/>
        </w:rPr>
        <w:t>Styles Smith</w:t>
      </w:r>
      <w:r>
        <w:rPr>
          <w:rFonts w:ascii="Arial" w:hAnsi="Arial" w:cs="Arial"/>
          <w:sz w:val="20"/>
          <w:vertAlign w:val="superscript"/>
        </w:rPr>
        <w:t>7</w:t>
      </w:r>
      <w:r w:rsidRPr="00246861">
        <w:rPr>
          <w:rFonts w:ascii="Arial" w:hAnsi="Arial" w:cs="Arial"/>
          <w:sz w:val="20"/>
        </w:rPr>
        <w:t xml:space="preserve">, </w:t>
      </w:r>
      <w:r w:rsidRPr="00246861">
        <w:rPr>
          <w:rFonts w:ascii="Arial" w:hAnsi="Arial" w:cs="Arial"/>
          <w:color w:val="000000"/>
          <w:sz w:val="20"/>
        </w:rPr>
        <w:t>David G. Bourne</w:t>
      </w:r>
      <w:r>
        <w:rPr>
          <w:rFonts w:ascii="Arial" w:hAnsi="Arial" w:cs="Arial"/>
          <w:sz w:val="20"/>
          <w:vertAlign w:val="superscript"/>
        </w:rPr>
        <w:t>10,11</w:t>
      </w:r>
      <w:r w:rsidRPr="00246861">
        <w:rPr>
          <w:rFonts w:ascii="Arial" w:hAnsi="Arial" w:cs="Arial"/>
          <w:sz w:val="20"/>
        </w:rPr>
        <w:t>, Carolina S. Carpenter</w:t>
      </w:r>
      <w:r w:rsidRPr="00246861">
        <w:rPr>
          <w:rFonts w:ascii="Arial" w:hAnsi="Arial" w:cs="Arial"/>
          <w:sz w:val="20"/>
          <w:vertAlign w:val="superscript"/>
        </w:rPr>
        <w:t>1</w:t>
      </w:r>
      <w:r>
        <w:rPr>
          <w:rFonts w:ascii="Arial" w:hAnsi="Arial" w:cs="Arial"/>
          <w:sz w:val="20"/>
          <w:vertAlign w:val="superscript"/>
        </w:rPr>
        <w:t>2</w:t>
      </w:r>
      <w:r w:rsidRPr="00246861">
        <w:rPr>
          <w:rFonts w:ascii="Arial" w:hAnsi="Arial" w:cs="Arial"/>
          <w:sz w:val="20"/>
          <w:vertAlign w:val="superscript"/>
        </w:rPr>
        <w:t>,1</w:t>
      </w:r>
      <w:r>
        <w:rPr>
          <w:rFonts w:ascii="Arial" w:hAnsi="Arial" w:cs="Arial"/>
          <w:sz w:val="20"/>
          <w:vertAlign w:val="superscript"/>
        </w:rPr>
        <w:t>3</w:t>
      </w:r>
      <w:r w:rsidRPr="00246861">
        <w:rPr>
          <w:rFonts w:ascii="Arial" w:hAnsi="Arial" w:cs="Arial"/>
          <w:sz w:val="20"/>
        </w:rPr>
        <w:t>, Rob Knight</w:t>
      </w:r>
      <w:r w:rsidRPr="00246861">
        <w:rPr>
          <w:rFonts w:ascii="Arial" w:hAnsi="Arial" w:cs="Arial"/>
          <w:sz w:val="20"/>
          <w:vertAlign w:val="superscript"/>
        </w:rPr>
        <w:t>1</w:t>
      </w:r>
      <w:r>
        <w:rPr>
          <w:rFonts w:ascii="Arial" w:hAnsi="Arial" w:cs="Arial"/>
          <w:sz w:val="20"/>
          <w:vertAlign w:val="superscript"/>
        </w:rPr>
        <w:t>3</w:t>
      </w:r>
      <w:r w:rsidRPr="00246861">
        <w:rPr>
          <w:rFonts w:ascii="Arial" w:hAnsi="Arial" w:cs="Arial"/>
          <w:sz w:val="20"/>
          <w:vertAlign w:val="superscript"/>
        </w:rPr>
        <w:t>-1</w:t>
      </w:r>
      <w:r>
        <w:rPr>
          <w:rFonts w:ascii="Arial" w:hAnsi="Arial" w:cs="Arial"/>
          <w:sz w:val="20"/>
          <w:vertAlign w:val="superscript"/>
        </w:rPr>
        <w:t>6</w:t>
      </w:r>
      <w:r w:rsidRPr="00246861">
        <w:rPr>
          <w:rFonts w:ascii="Arial" w:hAnsi="Arial" w:cs="Arial"/>
          <w:sz w:val="20"/>
        </w:rPr>
        <w:t xml:space="preserve">, </w:t>
      </w:r>
      <w:r w:rsidRPr="00246861">
        <w:rPr>
          <w:rFonts w:ascii="Arial" w:hAnsi="Arial" w:cs="Arial"/>
          <w:color w:val="000000"/>
          <w:sz w:val="20"/>
        </w:rPr>
        <w:t>Bette L. Willis</w:t>
      </w:r>
      <w:r>
        <w:rPr>
          <w:rFonts w:ascii="Arial" w:hAnsi="Arial" w:cs="Arial"/>
          <w:sz w:val="20"/>
          <w:vertAlign w:val="superscript"/>
        </w:rPr>
        <w:t>10</w:t>
      </w:r>
      <w:r w:rsidRPr="00246861">
        <w:rPr>
          <w:rFonts w:ascii="Arial" w:hAnsi="Arial" w:cs="Arial"/>
          <w:color w:val="000000"/>
          <w:sz w:val="20"/>
          <w:vertAlign w:val="superscript"/>
        </w:rPr>
        <w:t>,</w:t>
      </w:r>
      <w:r w:rsidRPr="00246861">
        <w:rPr>
          <w:rFonts w:ascii="Arial" w:hAnsi="Arial" w:cs="Arial"/>
          <w:sz w:val="20"/>
          <w:vertAlign w:val="superscript"/>
        </w:rPr>
        <w:t>1</w:t>
      </w:r>
      <w:r>
        <w:rPr>
          <w:rFonts w:ascii="Arial" w:hAnsi="Arial" w:cs="Arial"/>
          <w:sz w:val="20"/>
          <w:vertAlign w:val="superscript"/>
        </w:rPr>
        <w:t>7</w:t>
      </w:r>
      <w:r w:rsidRPr="00246861">
        <w:rPr>
          <w:rFonts w:ascii="Arial" w:hAnsi="Arial" w:cs="Arial"/>
          <w:sz w:val="20"/>
        </w:rPr>
        <w:t xml:space="preserve">, </w:t>
      </w:r>
      <w:r w:rsidRPr="00246861">
        <w:rPr>
          <w:rFonts w:ascii="Arial" w:hAnsi="Arial" w:cs="Arial"/>
          <w:color w:val="000000"/>
          <w:sz w:val="20"/>
        </w:rPr>
        <w:t>Mónica Medina</w:t>
      </w:r>
      <w:r>
        <w:rPr>
          <w:rFonts w:ascii="Arial" w:hAnsi="Arial" w:cs="Arial"/>
          <w:sz w:val="20"/>
          <w:vertAlign w:val="superscript"/>
        </w:rPr>
        <w:t>7</w:t>
      </w:r>
      <w:r w:rsidRPr="00246861">
        <w:rPr>
          <w:rFonts w:ascii="Arial" w:hAnsi="Arial" w:cs="Arial"/>
          <w:sz w:val="20"/>
        </w:rPr>
        <w:t xml:space="preserve">, </w:t>
      </w:r>
      <w:proofErr w:type="spellStart"/>
      <w:r w:rsidRPr="00246861">
        <w:rPr>
          <w:rFonts w:ascii="Arial" w:hAnsi="Arial" w:cs="Arial"/>
          <w:color w:val="000000"/>
          <w:sz w:val="20"/>
        </w:rPr>
        <w:t>Joleah</w:t>
      </w:r>
      <w:proofErr w:type="spellEnd"/>
      <w:r w:rsidRPr="00246861">
        <w:rPr>
          <w:rFonts w:ascii="Arial" w:hAnsi="Arial" w:cs="Arial"/>
          <w:color w:val="000000"/>
          <w:sz w:val="20"/>
        </w:rPr>
        <w:t xml:space="preserve"> B. Lamb</w:t>
      </w:r>
      <w:r>
        <w:rPr>
          <w:rFonts w:ascii="Arial" w:hAnsi="Arial" w:cs="Arial"/>
          <w:sz w:val="20"/>
          <w:vertAlign w:val="superscript"/>
        </w:rPr>
        <w:t>5</w:t>
      </w:r>
      <w:r w:rsidRPr="00246861">
        <w:rPr>
          <w:rFonts w:ascii="Arial" w:hAnsi="Arial" w:cs="Arial"/>
          <w:sz w:val="20"/>
        </w:rPr>
        <w:t xml:space="preserve">, </w:t>
      </w:r>
      <w:r w:rsidRPr="00246861">
        <w:rPr>
          <w:rFonts w:ascii="Arial" w:hAnsi="Arial" w:cs="Arial"/>
          <w:color w:val="000000"/>
          <w:sz w:val="20"/>
        </w:rPr>
        <w:t>Rebecca Vega Thurber</w:t>
      </w:r>
      <w:r>
        <w:rPr>
          <w:rFonts w:ascii="Arial" w:hAnsi="Arial" w:cs="Arial"/>
          <w:color w:val="000000"/>
          <w:sz w:val="20"/>
          <w:vertAlign w:val="superscript"/>
        </w:rPr>
        <w:t>2</w:t>
      </w:r>
      <w:r w:rsidRPr="00246861">
        <w:rPr>
          <w:rFonts w:ascii="Arial" w:hAnsi="Arial" w:cs="Arial"/>
          <w:sz w:val="20"/>
        </w:rPr>
        <w:t xml:space="preserve">, </w:t>
      </w:r>
      <w:r w:rsidRPr="00246861">
        <w:rPr>
          <w:rFonts w:ascii="Arial" w:hAnsi="Arial" w:cs="Arial"/>
          <w:color w:val="000000"/>
          <w:sz w:val="20"/>
        </w:rPr>
        <w:t>Jesse R. Zaneveld</w:t>
      </w:r>
      <w:r>
        <w:rPr>
          <w:rFonts w:ascii="Arial" w:hAnsi="Arial" w:cs="Arial"/>
          <w:sz w:val="20"/>
          <w:vertAlign w:val="superscript"/>
        </w:rPr>
        <w:t>3</w:t>
      </w:r>
      <w:r w:rsidRPr="00246861">
        <w:rPr>
          <w:rFonts w:ascii="Arial" w:hAnsi="Arial" w:cs="Arial"/>
          <w:color w:val="000000"/>
          <w:sz w:val="20"/>
          <w:vertAlign w:val="superscript"/>
        </w:rPr>
        <w:t xml:space="preserve"> </w:t>
      </w:r>
    </w:p>
    <w:p w14:paraId="7FD59228" w14:textId="1BE446C3" w:rsidR="00931897" w:rsidRPr="000F0E29" w:rsidRDefault="00931897" w:rsidP="00931897">
      <w:pPr>
        <w:contextualSpacing/>
        <w:jc w:val="both"/>
        <w:rPr>
          <w:rFonts w:ascii="Arial" w:hAnsi="Arial" w:cs="Arial"/>
          <w:i/>
          <w:color w:val="000000"/>
          <w:sz w:val="19"/>
          <w:szCs w:val="19"/>
        </w:rPr>
      </w:pPr>
      <w:r>
        <w:rPr>
          <w:rFonts w:ascii="Arial" w:hAnsi="Arial" w:cs="Arial"/>
          <w:i/>
          <w:color w:val="000000"/>
          <w:sz w:val="19"/>
          <w:szCs w:val="19"/>
          <w:vertAlign w:val="superscript"/>
        </w:rPr>
        <w:br/>
      </w:r>
      <w:r w:rsidRPr="00961490">
        <w:rPr>
          <w:rFonts w:ascii="Arial" w:hAnsi="Arial" w:cs="Arial"/>
          <w:i/>
          <w:color w:val="000000"/>
          <w:sz w:val="19"/>
          <w:szCs w:val="19"/>
          <w:vertAlign w:val="superscript"/>
        </w:rPr>
        <w:t>1</w:t>
      </w:r>
      <w:r>
        <w:rPr>
          <w:rFonts w:ascii="Arial" w:hAnsi="Arial" w:cs="Arial"/>
          <w:i/>
          <w:color w:val="000000"/>
          <w:sz w:val="19"/>
          <w:szCs w:val="19"/>
        </w:rPr>
        <w:t xml:space="preserve">School of Life Sciences, University of Essex, </w:t>
      </w:r>
      <w:proofErr w:type="spellStart"/>
      <w:r>
        <w:rPr>
          <w:rFonts w:ascii="Arial" w:hAnsi="Arial" w:cs="Arial"/>
          <w:i/>
          <w:color w:val="000000"/>
          <w:sz w:val="19"/>
          <w:szCs w:val="19"/>
        </w:rPr>
        <w:t>Wivenhoe</w:t>
      </w:r>
      <w:proofErr w:type="spellEnd"/>
      <w:r>
        <w:rPr>
          <w:rFonts w:ascii="Arial" w:hAnsi="Arial" w:cs="Arial"/>
          <w:i/>
          <w:color w:val="000000"/>
          <w:sz w:val="19"/>
          <w:szCs w:val="19"/>
        </w:rPr>
        <w:t xml:space="preserve"> Park, Colchester, Essex CO4 3SQ, UK</w:t>
      </w:r>
    </w:p>
    <w:p w14:paraId="3F54FB66" w14:textId="77777777" w:rsidR="00931897" w:rsidRPr="000F0E29" w:rsidRDefault="00931897" w:rsidP="00931897">
      <w:pPr>
        <w:contextualSpacing/>
        <w:jc w:val="both"/>
        <w:rPr>
          <w:rFonts w:ascii="Arial" w:hAnsi="Arial" w:cs="Arial"/>
          <w:i/>
          <w:color w:val="000000"/>
          <w:sz w:val="19"/>
          <w:szCs w:val="19"/>
          <w:vertAlign w:val="superscript"/>
        </w:rPr>
      </w:pPr>
      <w:r>
        <w:rPr>
          <w:rFonts w:ascii="Arial" w:hAnsi="Arial" w:cs="Arial"/>
          <w:i/>
          <w:color w:val="000000"/>
          <w:sz w:val="19"/>
          <w:szCs w:val="19"/>
          <w:vertAlign w:val="superscript"/>
        </w:rPr>
        <w:t>2</w:t>
      </w:r>
      <w:r w:rsidRPr="00961490">
        <w:rPr>
          <w:rFonts w:ascii="Arial" w:hAnsi="Arial" w:cs="Arial"/>
          <w:i/>
          <w:sz w:val="19"/>
          <w:szCs w:val="19"/>
        </w:rPr>
        <w:t xml:space="preserve">Department of Microbiology, Oregon State University, </w:t>
      </w:r>
      <w:r w:rsidRPr="00961490">
        <w:rPr>
          <w:rFonts w:ascii="Arial" w:hAnsi="Arial" w:cs="Arial"/>
          <w:i/>
          <w:color w:val="000000"/>
          <w:sz w:val="19"/>
          <w:szCs w:val="19"/>
        </w:rPr>
        <w:t>226 Nash Hall, Corvallis, OR 97331, USA</w:t>
      </w:r>
    </w:p>
    <w:p w14:paraId="3A3D3D10" w14:textId="77777777" w:rsidR="00931897" w:rsidRDefault="00931897" w:rsidP="00931897">
      <w:pPr>
        <w:contextualSpacing/>
        <w:jc w:val="both"/>
        <w:rPr>
          <w:rFonts w:ascii="Arial" w:hAnsi="Arial" w:cs="Arial"/>
          <w:i/>
          <w:color w:val="000000"/>
          <w:sz w:val="19"/>
          <w:szCs w:val="19"/>
        </w:rPr>
      </w:pPr>
      <w:r>
        <w:rPr>
          <w:rFonts w:ascii="Arial" w:hAnsi="Arial" w:cs="Arial"/>
          <w:i/>
          <w:sz w:val="19"/>
          <w:szCs w:val="19"/>
          <w:vertAlign w:val="superscript"/>
        </w:rPr>
        <w:t>3</w:t>
      </w:r>
      <w:r w:rsidRPr="00961490">
        <w:rPr>
          <w:rFonts w:ascii="Arial" w:hAnsi="Arial" w:cs="Arial"/>
          <w:i/>
          <w:sz w:val="19"/>
          <w:szCs w:val="19"/>
        </w:rPr>
        <w:t>School of Science, Technology, Engineering, and Mathematics, Division of Biological Sciences, U</w:t>
      </w:r>
      <w:r w:rsidRPr="00961490">
        <w:rPr>
          <w:rFonts w:ascii="Arial" w:hAnsi="Arial" w:cs="Arial"/>
          <w:i/>
          <w:color w:val="000000"/>
          <w:sz w:val="19"/>
          <w:szCs w:val="19"/>
        </w:rPr>
        <w:t>niversity of Washington</w:t>
      </w:r>
      <w:r w:rsidRPr="00961490">
        <w:rPr>
          <w:rFonts w:ascii="Arial" w:hAnsi="Arial" w:cs="Arial"/>
          <w:i/>
          <w:sz w:val="19"/>
          <w:szCs w:val="19"/>
        </w:rPr>
        <w:t xml:space="preserve"> </w:t>
      </w:r>
      <w:r w:rsidRPr="00961490">
        <w:rPr>
          <w:rFonts w:ascii="Arial" w:hAnsi="Arial" w:cs="Arial"/>
          <w:i/>
          <w:color w:val="000000"/>
          <w:sz w:val="19"/>
          <w:szCs w:val="19"/>
        </w:rPr>
        <w:t>Bothell, UWBB-277, Bothell, WA 98011, USA</w:t>
      </w:r>
    </w:p>
    <w:p w14:paraId="5A5C73D1"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4</w:t>
      </w:r>
      <w:r w:rsidRPr="00961490">
        <w:rPr>
          <w:rFonts w:ascii="Arial" w:hAnsi="Arial" w:cs="Arial"/>
          <w:i/>
          <w:sz w:val="19"/>
          <w:szCs w:val="19"/>
        </w:rPr>
        <w:t xml:space="preserve">Department of </w:t>
      </w:r>
      <w:r>
        <w:rPr>
          <w:rFonts w:ascii="Arial" w:hAnsi="Arial" w:cs="Arial"/>
          <w:i/>
          <w:sz w:val="19"/>
          <w:szCs w:val="19"/>
        </w:rPr>
        <w:t>Biology,</w:t>
      </w:r>
      <w:r w:rsidRPr="00961490">
        <w:rPr>
          <w:rFonts w:ascii="Arial" w:hAnsi="Arial" w:cs="Arial"/>
          <w:i/>
          <w:sz w:val="19"/>
          <w:szCs w:val="19"/>
        </w:rPr>
        <w:t xml:space="preserve"> University of </w:t>
      </w:r>
      <w:r>
        <w:rPr>
          <w:rFonts w:ascii="Arial" w:hAnsi="Arial" w:cs="Arial"/>
          <w:i/>
          <w:sz w:val="19"/>
          <w:szCs w:val="19"/>
        </w:rPr>
        <w:t>Texas</w:t>
      </w:r>
      <w:r w:rsidRPr="00961490">
        <w:rPr>
          <w:rFonts w:ascii="Arial" w:hAnsi="Arial" w:cs="Arial"/>
          <w:i/>
          <w:sz w:val="19"/>
          <w:szCs w:val="19"/>
        </w:rPr>
        <w:t xml:space="preserve">, </w:t>
      </w:r>
      <w:r>
        <w:rPr>
          <w:rFonts w:ascii="Arial" w:hAnsi="Arial" w:cs="Arial"/>
          <w:i/>
          <w:sz w:val="19"/>
          <w:szCs w:val="19"/>
        </w:rPr>
        <w:t>Tyler</w:t>
      </w:r>
      <w:r w:rsidRPr="00961490">
        <w:rPr>
          <w:rFonts w:ascii="Arial" w:hAnsi="Arial" w:cs="Arial"/>
          <w:i/>
          <w:sz w:val="19"/>
          <w:szCs w:val="19"/>
        </w:rPr>
        <w:t>,</w:t>
      </w:r>
      <w:r>
        <w:rPr>
          <w:rFonts w:ascii="Arial" w:hAnsi="Arial" w:cs="Arial"/>
          <w:i/>
          <w:sz w:val="19"/>
          <w:szCs w:val="19"/>
        </w:rPr>
        <w:t xml:space="preserve"> TX</w:t>
      </w:r>
      <w:r w:rsidRPr="00961490">
        <w:rPr>
          <w:rFonts w:ascii="Arial" w:hAnsi="Arial" w:cs="Arial"/>
          <w:i/>
          <w:sz w:val="19"/>
          <w:szCs w:val="19"/>
        </w:rPr>
        <w:t xml:space="preserve"> </w:t>
      </w:r>
      <w:r>
        <w:rPr>
          <w:rFonts w:ascii="Arial" w:hAnsi="Arial" w:cs="Arial"/>
          <w:i/>
          <w:sz w:val="19"/>
          <w:szCs w:val="19"/>
        </w:rPr>
        <w:t>75799</w:t>
      </w:r>
      <w:r w:rsidRPr="00961490">
        <w:rPr>
          <w:rFonts w:ascii="Arial" w:hAnsi="Arial" w:cs="Arial"/>
          <w:i/>
          <w:sz w:val="19"/>
          <w:szCs w:val="19"/>
        </w:rPr>
        <w:t>, USA</w:t>
      </w:r>
    </w:p>
    <w:p w14:paraId="27D3ED12" w14:textId="77777777" w:rsidR="00931897" w:rsidRDefault="00931897" w:rsidP="00931897">
      <w:pPr>
        <w:contextualSpacing/>
        <w:jc w:val="both"/>
        <w:rPr>
          <w:rFonts w:ascii="Arial" w:hAnsi="Arial" w:cs="Arial"/>
          <w:i/>
          <w:sz w:val="19"/>
          <w:szCs w:val="19"/>
        </w:rPr>
      </w:pPr>
      <w:r>
        <w:rPr>
          <w:rFonts w:ascii="Arial" w:hAnsi="Arial" w:cs="Arial"/>
          <w:i/>
          <w:sz w:val="19"/>
          <w:szCs w:val="19"/>
          <w:vertAlign w:val="superscript"/>
        </w:rPr>
        <w:t>5</w:t>
      </w:r>
      <w:r w:rsidRPr="00961490">
        <w:rPr>
          <w:rFonts w:ascii="Arial" w:hAnsi="Arial" w:cs="Arial"/>
          <w:i/>
          <w:sz w:val="19"/>
          <w:szCs w:val="19"/>
        </w:rPr>
        <w:t>Department of Ecology and Evolutionary Biology, University of California, Irvine, CA 92697, USA</w:t>
      </w:r>
    </w:p>
    <w:p w14:paraId="083AA4B5"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6</w:t>
      </w:r>
      <w:r w:rsidRPr="00961490">
        <w:rPr>
          <w:rFonts w:ascii="Arial" w:hAnsi="Arial" w:cs="Arial"/>
          <w:i/>
          <w:sz w:val="19"/>
          <w:szCs w:val="19"/>
        </w:rPr>
        <w:t>Center for Global Health and Infectious Diseases Research, University of South Florida, 13201 Bruce B. Downs Blvd, MDC 56, Tampa, FL 33612, USA</w:t>
      </w:r>
    </w:p>
    <w:p w14:paraId="4CCD6D13" w14:textId="77777777" w:rsidR="00931897" w:rsidRPr="00961490" w:rsidRDefault="00931897" w:rsidP="00931897">
      <w:pPr>
        <w:ind w:left="720" w:hanging="720"/>
        <w:contextualSpacing/>
        <w:jc w:val="both"/>
        <w:rPr>
          <w:rFonts w:ascii="Arial" w:hAnsi="Arial" w:cs="Arial"/>
          <w:i/>
          <w:sz w:val="19"/>
          <w:szCs w:val="19"/>
        </w:rPr>
      </w:pPr>
      <w:r>
        <w:rPr>
          <w:rFonts w:ascii="Arial" w:hAnsi="Arial" w:cs="Arial"/>
          <w:i/>
          <w:sz w:val="19"/>
          <w:szCs w:val="19"/>
          <w:vertAlign w:val="superscript"/>
        </w:rPr>
        <w:t>7</w:t>
      </w:r>
      <w:r w:rsidRPr="00961490">
        <w:rPr>
          <w:rFonts w:ascii="Arial" w:hAnsi="Arial" w:cs="Arial"/>
          <w:i/>
          <w:sz w:val="19"/>
          <w:szCs w:val="19"/>
        </w:rPr>
        <w:t>Department of Biology, Pennsylvania State University, 208 Mueller Lab, University Park, PA 16802, USA</w:t>
      </w:r>
    </w:p>
    <w:p w14:paraId="7FDE4A04"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8</w:t>
      </w:r>
      <w:r w:rsidRPr="001E7B35">
        <w:rPr>
          <w:rFonts w:ascii="Arial" w:hAnsi="Arial" w:cs="Arial"/>
          <w:color w:val="000000"/>
          <w:sz w:val="20"/>
        </w:rPr>
        <w:t xml:space="preserve"> </w:t>
      </w:r>
      <w:proofErr w:type="spellStart"/>
      <w:r w:rsidRPr="001E7B35">
        <w:rPr>
          <w:rFonts w:ascii="Arial" w:hAnsi="Arial" w:cs="Arial"/>
          <w:i/>
          <w:iCs/>
          <w:color w:val="000000"/>
          <w:sz w:val="20"/>
        </w:rPr>
        <w:t>Hawaiʻi</w:t>
      </w:r>
      <w:proofErr w:type="spellEnd"/>
      <w:r w:rsidRPr="00961490">
        <w:rPr>
          <w:rFonts w:ascii="Arial" w:eastAsia="Tahoma" w:hAnsi="Arial" w:cs="Arial"/>
          <w:i/>
          <w:sz w:val="19"/>
          <w:szCs w:val="19"/>
        </w:rPr>
        <w:t xml:space="preserve"> &amp; Palmyra Program, T</w:t>
      </w:r>
      <w:r w:rsidRPr="00961490">
        <w:rPr>
          <w:rFonts w:ascii="Arial" w:hAnsi="Arial" w:cs="Arial"/>
          <w:i/>
          <w:sz w:val="19"/>
          <w:szCs w:val="19"/>
        </w:rPr>
        <w:t>he Nature Conservancy, Honolulu, HI, USA</w:t>
      </w:r>
    </w:p>
    <w:p w14:paraId="0DCA6CAC"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9</w:t>
      </w:r>
      <w:r w:rsidRPr="00961490">
        <w:rPr>
          <w:rFonts w:ascii="Arial" w:hAnsi="Arial" w:cs="Arial"/>
          <w:i/>
          <w:sz w:val="19"/>
          <w:szCs w:val="19"/>
        </w:rPr>
        <w:t>School of Pharmacy, University of Washington, Seattle, WA 98195, USA</w:t>
      </w:r>
    </w:p>
    <w:p w14:paraId="29B7C7A5"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10</w:t>
      </w:r>
      <w:r w:rsidRPr="00961490">
        <w:rPr>
          <w:rFonts w:ascii="Arial" w:hAnsi="Arial" w:cs="Arial"/>
          <w:i/>
          <w:sz w:val="19"/>
          <w:szCs w:val="19"/>
        </w:rPr>
        <w:t>College of Science and Engineering, James Cook University, Townsville, Queensland 4811, Australia</w:t>
      </w:r>
    </w:p>
    <w:p w14:paraId="0A72D186" w14:textId="77777777" w:rsidR="00931897" w:rsidRPr="00961490" w:rsidRDefault="00931897" w:rsidP="00931897">
      <w:pPr>
        <w:contextualSpacing/>
        <w:jc w:val="both"/>
        <w:rPr>
          <w:rFonts w:ascii="Arial" w:hAnsi="Arial" w:cs="Arial"/>
          <w:i/>
          <w:sz w:val="19"/>
          <w:szCs w:val="19"/>
        </w:rPr>
      </w:pPr>
      <w:r>
        <w:rPr>
          <w:rFonts w:ascii="Arial" w:hAnsi="Arial" w:cs="Arial"/>
          <w:i/>
          <w:sz w:val="19"/>
          <w:szCs w:val="19"/>
          <w:vertAlign w:val="superscript"/>
        </w:rPr>
        <w:t>11</w:t>
      </w:r>
      <w:r w:rsidRPr="00961490">
        <w:rPr>
          <w:rFonts w:ascii="Arial" w:hAnsi="Arial" w:cs="Arial"/>
          <w:i/>
          <w:sz w:val="19"/>
          <w:szCs w:val="19"/>
        </w:rPr>
        <w:t>Australian Institute of Marine Science, Townsville, Queensland 4810, Australia</w:t>
      </w:r>
    </w:p>
    <w:p w14:paraId="71DCA737"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2</w:t>
      </w:r>
      <w:r w:rsidRPr="00961490">
        <w:rPr>
          <w:rFonts w:ascii="Arial" w:hAnsi="Arial" w:cs="Arial"/>
          <w:i/>
          <w:sz w:val="19"/>
          <w:szCs w:val="19"/>
        </w:rPr>
        <w:t>Scripps Institution of Oceanography, University of California, San Diego, La Jolla, CA 92093, USA</w:t>
      </w:r>
    </w:p>
    <w:p w14:paraId="3907E942"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3</w:t>
      </w:r>
      <w:r w:rsidRPr="00961490">
        <w:rPr>
          <w:rFonts w:ascii="Arial" w:hAnsi="Arial" w:cs="Arial"/>
          <w:i/>
          <w:sz w:val="19"/>
          <w:szCs w:val="19"/>
        </w:rPr>
        <w:t>Center for Microbiome Innovation, University of California, San Diego, La Jolla, CA 92093, USA</w:t>
      </w:r>
    </w:p>
    <w:p w14:paraId="7F8C619D"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4</w:t>
      </w:r>
      <w:r w:rsidRPr="00961490">
        <w:rPr>
          <w:rFonts w:ascii="Arial" w:hAnsi="Arial" w:cs="Arial"/>
          <w:i/>
          <w:sz w:val="19"/>
          <w:szCs w:val="19"/>
        </w:rPr>
        <w:t>Department of Pediatrics, University of California, San Diego, La Jolla, CA 92093, USA</w:t>
      </w:r>
    </w:p>
    <w:p w14:paraId="4789BFAB" w14:textId="77777777" w:rsidR="00931897" w:rsidRPr="00961490" w:rsidRDefault="00931897" w:rsidP="00931897">
      <w:pPr>
        <w:ind w:left="720" w:hanging="720"/>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5</w:t>
      </w:r>
      <w:r w:rsidRPr="00961490">
        <w:rPr>
          <w:rFonts w:ascii="Arial" w:hAnsi="Arial" w:cs="Arial"/>
          <w:i/>
          <w:sz w:val="19"/>
          <w:szCs w:val="19"/>
        </w:rPr>
        <w:t>Department of Computer Science &amp; Engineering, University of California, San Diego, La Jolla, CA 92093, USA</w:t>
      </w:r>
    </w:p>
    <w:p w14:paraId="0A8AD1E0" w14:textId="77777777" w:rsidR="00931897" w:rsidRPr="00961490" w:rsidRDefault="00931897" w:rsidP="00931897">
      <w:pPr>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6</w:t>
      </w:r>
      <w:r w:rsidRPr="00961490">
        <w:rPr>
          <w:rFonts w:ascii="Arial" w:hAnsi="Arial" w:cs="Arial"/>
          <w:i/>
          <w:sz w:val="19"/>
          <w:szCs w:val="19"/>
        </w:rPr>
        <w:t>Micronoma Inc., San Diego, La Jolla, CA 92121, USA</w:t>
      </w:r>
    </w:p>
    <w:p w14:paraId="0AA22E2F" w14:textId="77777777" w:rsidR="00931897" w:rsidRPr="00961490" w:rsidRDefault="00931897" w:rsidP="00931897">
      <w:pPr>
        <w:ind w:left="720" w:hanging="720"/>
        <w:contextualSpacing/>
        <w:jc w:val="both"/>
        <w:rPr>
          <w:rFonts w:ascii="Arial" w:hAnsi="Arial" w:cs="Arial"/>
          <w:i/>
          <w:sz w:val="19"/>
          <w:szCs w:val="19"/>
        </w:rPr>
      </w:pPr>
      <w:r w:rsidRPr="00961490">
        <w:rPr>
          <w:rFonts w:ascii="Arial" w:hAnsi="Arial" w:cs="Arial"/>
          <w:i/>
          <w:sz w:val="19"/>
          <w:szCs w:val="19"/>
          <w:vertAlign w:val="superscript"/>
        </w:rPr>
        <w:t>1</w:t>
      </w:r>
      <w:r>
        <w:rPr>
          <w:rFonts w:ascii="Arial" w:hAnsi="Arial" w:cs="Arial"/>
          <w:i/>
          <w:sz w:val="19"/>
          <w:szCs w:val="19"/>
          <w:vertAlign w:val="superscript"/>
        </w:rPr>
        <w:t>7</w:t>
      </w:r>
      <w:r w:rsidRPr="00961490">
        <w:rPr>
          <w:rFonts w:ascii="Arial" w:hAnsi="Arial" w:cs="Arial"/>
          <w:i/>
          <w:sz w:val="19"/>
          <w:szCs w:val="19"/>
        </w:rPr>
        <w:t>ARC Centre of Excellence for Coral Reef Studies, James Cook University, Townsville, Queensland 4811, Australia</w:t>
      </w:r>
    </w:p>
    <w:p w14:paraId="0AD27035" w14:textId="77777777" w:rsidR="00931897" w:rsidRDefault="00931897" w:rsidP="00931897">
      <w:pPr>
        <w:rPr>
          <w:rFonts w:ascii="Arial" w:hAnsi="Arial" w:cs="Arial"/>
          <w:sz w:val="20"/>
        </w:rPr>
      </w:pPr>
    </w:p>
    <w:p w14:paraId="46275E65" w14:textId="45B92AD0" w:rsidR="00931897" w:rsidRDefault="00931897" w:rsidP="00931897">
      <w:pPr>
        <w:contextualSpacing/>
        <w:rPr>
          <w:rFonts w:ascii="Arial" w:hAnsi="Arial" w:cs="Arial"/>
          <w:sz w:val="20"/>
        </w:rPr>
      </w:pPr>
      <w:r w:rsidRPr="00E6133D">
        <w:rPr>
          <w:rFonts w:ascii="Arial" w:hAnsi="Arial" w:cs="Arial"/>
          <w:sz w:val="20"/>
        </w:rPr>
        <w:t>*</w:t>
      </w:r>
      <w:r>
        <w:rPr>
          <w:rFonts w:ascii="Arial" w:hAnsi="Arial" w:cs="Arial"/>
          <w:sz w:val="20"/>
        </w:rPr>
        <w:t>Corresponding author: hannah.epstein@essex.ac.uk</w:t>
      </w:r>
    </w:p>
    <w:p w14:paraId="43D2F009" w14:textId="77777777" w:rsidR="00931897" w:rsidRPr="00DC623A" w:rsidRDefault="00931897" w:rsidP="00931897">
      <w:pPr>
        <w:rPr>
          <w:rFonts w:ascii="Arial" w:hAnsi="Arial" w:cs="Arial"/>
          <w:sz w:val="20"/>
        </w:rPr>
      </w:pPr>
    </w:p>
    <w:p w14:paraId="0E4F51E1" w14:textId="77777777" w:rsidR="00931897" w:rsidRPr="00DC623A" w:rsidRDefault="00931897" w:rsidP="00931897">
      <w:pPr>
        <w:rPr>
          <w:rFonts w:ascii="Arial" w:hAnsi="Arial" w:cs="Arial"/>
          <w:b/>
          <w:sz w:val="20"/>
        </w:rPr>
      </w:pPr>
    </w:p>
    <w:p w14:paraId="1404D897" w14:textId="77777777" w:rsidR="00931897" w:rsidRPr="00DC623A" w:rsidRDefault="00931897" w:rsidP="00931897">
      <w:pPr>
        <w:rPr>
          <w:rFonts w:ascii="Arial" w:hAnsi="Arial" w:cs="Arial"/>
          <w:b/>
          <w:sz w:val="20"/>
        </w:rPr>
      </w:pPr>
      <w:r w:rsidRPr="00DC623A">
        <w:rPr>
          <w:rFonts w:ascii="Arial" w:hAnsi="Arial" w:cs="Arial"/>
          <w:b/>
          <w:sz w:val="20"/>
        </w:rPr>
        <w:t>This PDF file includes:</w:t>
      </w:r>
    </w:p>
    <w:p w14:paraId="18F5E702" w14:textId="77777777" w:rsidR="00931897" w:rsidRPr="00DC623A" w:rsidRDefault="00931897" w:rsidP="00931897">
      <w:pPr>
        <w:rPr>
          <w:rFonts w:ascii="Arial" w:hAnsi="Arial" w:cs="Arial"/>
          <w:sz w:val="20"/>
        </w:rPr>
      </w:pPr>
    </w:p>
    <w:p w14:paraId="02A2A136" w14:textId="60011C74" w:rsidR="00931897" w:rsidRDefault="00931897" w:rsidP="00931897">
      <w:pPr>
        <w:ind w:left="720"/>
        <w:rPr>
          <w:rFonts w:ascii="Arial" w:hAnsi="Arial" w:cs="Arial"/>
          <w:sz w:val="20"/>
        </w:rPr>
      </w:pPr>
      <w:r>
        <w:rPr>
          <w:rFonts w:ascii="Arial" w:hAnsi="Arial" w:cs="Arial"/>
          <w:sz w:val="20"/>
        </w:rPr>
        <w:t>Supplementary Information</w:t>
      </w:r>
    </w:p>
    <w:p w14:paraId="2CABFC83" w14:textId="25AD8774" w:rsidR="00931897" w:rsidRPr="00DC623A" w:rsidRDefault="00931897" w:rsidP="00931897">
      <w:pPr>
        <w:ind w:left="720"/>
        <w:rPr>
          <w:rFonts w:ascii="Arial" w:hAnsi="Arial" w:cs="Arial"/>
          <w:sz w:val="20"/>
        </w:rPr>
      </w:pPr>
      <w:r w:rsidRPr="00DC623A">
        <w:rPr>
          <w:rFonts w:ascii="Arial" w:hAnsi="Arial" w:cs="Arial"/>
          <w:sz w:val="20"/>
        </w:rPr>
        <w:t>Figures S1 to S</w:t>
      </w:r>
      <w:r>
        <w:rPr>
          <w:rFonts w:ascii="Arial" w:hAnsi="Arial" w:cs="Arial"/>
          <w:sz w:val="20"/>
        </w:rPr>
        <w:t>4</w:t>
      </w:r>
      <w:r>
        <w:rPr>
          <w:rFonts w:ascii="Arial" w:hAnsi="Arial" w:cs="Arial"/>
          <w:sz w:val="20"/>
        </w:rPr>
        <w:br/>
      </w:r>
    </w:p>
    <w:p w14:paraId="0CD99818" w14:textId="34B25A99" w:rsidR="00B1460F" w:rsidRPr="00764929" w:rsidRDefault="00B1460F" w:rsidP="00B1460F">
      <w:pPr>
        <w:keepNext/>
        <w:pBdr>
          <w:top w:val="nil"/>
          <w:left w:val="nil"/>
          <w:bottom w:val="nil"/>
          <w:right w:val="nil"/>
          <w:between w:val="nil"/>
        </w:pBdr>
        <w:spacing w:before="240" w:after="60"/>
        <w:rPr>
          <w:rFonts w:ascii="Arial" w:hAnsi="Arial" w:cs="Arial"/>
          <w:b/>
          <w:sz w:val="21"/>
          <w:szCs w:val="21"/>
        </w:rPr>
      </w:pPr>
      <w:r w:rsidRPr="00764929">
        <w:rPr>
          <w:rFonts w:ascii="Arial" w:hAnsi="Arial" w:cs="Arial"/>
          <w:b/>
          <w:sz w:val="21"/>
          <w:szCs w:val="21"/>
        </w:rPr>
        <w:t>Supplementary Information</w:t>
      </w:r>
    </w:p>
    <w:p w14:paraId="7A5767F0" w14:textId="3FA43266" w:rsidR="00B1460F" w:rsidRDefault="00B1460F" w:rsidP="00B1460F">
      <w:pPr>
        <w:keepNext/>
        <w:pBdr>
          <w:top w:val="nil"/>
          <w:left w:val="nil"/>
          <w:bottom w:val="nil"/>
          <w:right w:val="nil"/>
          <w:between w:val="nil"/>
        </w:pBdr>
        <w:spacing w:before="240" w:after="60"/>
        <w:rPr>
          <w:rFonts w:ascii="Arial" w:hAnsi="Arial" w:cs="Arial"/>
          <w:b/>
          <w:sz w:val="20"/>
        </w:rPr>
      </w:pPr>
      <w:r>
        <w:rPr>
          <w:rFonts w:ascii="Arial" w:hAnsi="Arial" w:cs="Arial"/>
          <w:b/>
          <w:sz w:val="20"/>
        </w:rPr>
        <w:t>Results</w:t>
      </w:r>
    </w:p>
    <w:p w14:paraId="7154A33E" w14:textId="70E9D416"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richness and evenness do not predict disease susceptibility. </w:t>
      </w:r>
      <w:r w:rsidRPr="00961490">
        <w:rPr>
          <w:rFonts w:ascii="Arial" w:hAnsi="Arial" w:cs="Arial"/>
          <w:sz w:val="20"/>
        </w:rPr>
        <w:t>To identify how bacterial communities are structured among globally distributed coral taxa, we characterized alpha diversity within the mucus, tissue, and skeleton compartments for each coral genus using several metrics. These included observed features, which measures richness; and the Gini index, which measures evenness. We visualized the evolution of each of these measures of microbiome alpha diversity using ancestral state reconstruction (</w:t>
      </w:r>
      <w:r>
        <w:rPr>
          <w:rFonts w:ascii="Arial" w:hAnsi="Arial" w:cs="Arial"/>
          <w:sz w:val="20"/>
        </w:rPr>
        <w:t>Figs. S1A, B</w:t>
      </w:r>
      <w:r w:rsidRPr="00961490">
        <w:rPr>
          <w:rFonts w:ascii="Arial" w:hAnsi="Arial" w:cs="Arial"/>
          <w:sz w:val="20"/>
        </w:rPr>
        <w:t>), then compared them against disease susceptibility using Phylogenetic Generalized Least Squares (PGLS) analysis. While we hypothesized that coral microbiomes high in overall biodiversity might show reduced disease susceptibility — analogous to the ability of more biodiverse ecosystems to resist invasive species</w:t>
      </w:r>
      <w:r w:rsidR="009B2E63">
        <w:rPr>
          <w:rFonts w:ascii="Arial" w:hAnsi="Arial" w:cs="Arial"/>
          <w:sz w:val="20"/>
        </w:rPr>
        <w:fldChar w:fldCharType="begin"/>
      </w:r>
      <w:r w:rsidR="00DD5C6D">
        <w:rPr>
          <w:rFonts w:ascii="Arial" w:hAnsi="Arial" w:cs="Arial"/>
          <w:sz w:val="20"/>
        </w:rPr>
        <w:instrText xml:space="preserve"> ADDIN ZOTERO_ITEM CSL_CITATION {"citationID":"pWJ8z72H","properties":{"formattedCitation":"\\super 1\\nosupersub{}","plainCitation":"1","noteIndex":0},"citationItems":[{"id":1649,"uris":["http://zotero.org/groups/2769688/items/9M8HHJVG"],"itemData":{"id":1649,"type":"article-journal","container-title":"Science","DOI":"10.1126/science.286.5444.1577","issue":"5444","note":"publisher: American Association for the Advancement of Science","page":"1577-1579","source":"science.org (Atypon)","title":"Species Diversity and Invasion Resistance in a Marine Ecosystem","volume":"286","author":[{"family":"Stachowicz","given":"John J."},{"family":"Whitlatch","given":"Robert B."},{"family":"Osman","given":"Richard W."}],"issued":{"date-parts":[["1999",11,19]]}}}],"schema":"https://github.com/citation-style-language/schema/raw/master/csl-citation.json"} </w:instrText>
      </w:r>
      <w:r w:rsidR="009B2E63">
        <w:rPr>
          <w:rFonts w:ascii="Arial" w:hAnsi="Arial" w:cs="Arial"/>
          <w:sz w:val="20"/>
        </w:rPr>
        <w:fldChar w:fldCharType="separate"/>
      </w:r>
      <w:r w:rsidR="00DD5C6D" w:rsidRPr="00DD5C6D">
        <w:rPr>
          <w:rFonts w:ascii="Arial" w:hAnsi="Arial" w:cs="Arial"/>
          <w:sz w:val="20"/>
          <w:vertAlign w:val="superscript"/>
        </w:rPr>
        <w:t>1</w:t>
      </w:r>
      <w:r w:rsidR="009B2E63">
        <w:rPr>
          <w:rFonts w:ascii="Arial" w:hAnsi="Arial" w:cs="Arial"/>
          <w:sz w:val="20"/>
        </w:rPr>
        <w:fldChar w:fldCharType="end"/>
      </w:r>
      <w:r w:rsidRPr="00961490">
        <w:rPr>
          <w:rFonts w:ascii="Arial" w:hAnsi="Arial" w:cs="Arial"/>
          <w:sz w:val="20"/>
        </w:rPr>
        <w:t xml:space="preserve"> — neither microbiome richness nor evenness were significantly correlated with host disease susceptibility in phylogenetic generalized least squares analysis (PGLS richness vs. </w:t>
      </w:r>
      <w:r w:rsidRPr="00961490">
        <w:rPr>
          <w:rFonts w:ascii="Arial" w:hAnsi="Arial" w:cs="Arial"/>
          <w:sz w:val="20"/>
        </w:rPr>
        <w:lastRenderedPageBreak/>
        <w:t>disease susceptibility: R</w:t>
      </w:r>
      <w:r w:rsidRPr="00961490">
        <w:rPr>
          <w:rFonts w:ascii="Arial" w:hAnsi="Arial" w:cs="Arial"/>
          <w:sz w:val="20"/>
          <w:vertAlign w:val="superscript"/>
        </w:rPr>
        <w:t>2</w:t>
      </w:r>
      <w:r w:rsidRPr="00961490">
        <w:rPr>
          <w:rFonts w:ascii="Arial" w:hAnsi="Arial" w:cs="Arial"/>
          <w:sz w:val="20"/>
        </w:rPr>
        <w:t xml:space="preserve"> = 0.004, </w:t>
      </w:r>
      <w:r w:rsidRPr="00961490">
        <w:rPr>
          <w:rFonts w:ascii="Arial" w:hAnsi="Arial" w:cs="Arial"/>
          <w:i/>
          <w:sz w:val="20"/>
        </w:rPr>
        <w:t>p</w:t>
      </w:r>
      <w:r w:rsidRPr="00961490">
        <w:rPr>
          <w:rFonts w:ascii="Arial" w:hAnsi="Arial" w:cs="Arial"/>
          <w:sz w:val="20"/>
        </w:rPr>
        <w:t xml:space="preserve"> = 0.674, FDR q = 1; PGLS evenness vs. disease susceptibility R</w:t>
      </w:r>
      <w:r w:rsidRPr="00961490">
        <w:rPr>
          <w:rFonts w:ascii="Arial" w:hAnsi="Arial" w:cs="Arial"/>
          <w:sz w:val="20"/>
          <w:vertAlign w:val="superscript"/>
        </w:rPr>
        <w:t>2</w:t>
      </w:r>
      <w:r w:rsidRPr="00961490">
        <w:rPr>
          <w:rFonts w:ascii="Arial" w:hAnsi="Arial" w:cs="Arial"/>
          <w:sz w:val="20"/>
        </w:rPr>
        <w:t xml:space="preserve"> = 0.028, </w:t>
      </w:r>
      <w:r w:rsidRPr="00961490">
        <w:rPr>
          <w:rFonts w:ascii="Arial" w:hAnsi="Arial" w:cs="Arial"/>
          <w:i/>
          <w:sz w:val="20"/>
        </w:rPr>
        <w:t>p</w:t>
      </w:r>
      <w:r w:rsidRPr="00961490">
        <w:rPr>
          <w:rFonts w:ascii="Arial" w:hAnsi="Arial" w:cs="Arial"/>
          <w:sz w:val="20"/>
        </w:rPr>
        <w:t xml:space="preserve"> = 0.274, FDR q = 1; Supplementary Data Table 3a). Some specific cases of coral genera with low microbiome richness and high disease susceptibility were identified (i.e., </w:t>
      </w:r>
      <w:proofErr w:type="spellStart"/>
      <w:r w:rsidRPr="00961490">
        <w:rPr>
          <w:rFonts w:ascii="Arial" w:hAnsi="Arial" w:cs="Arial"/>
          <w:i/>
          <w:sz w:val="20"/>
        </w:rPr>
        <w:t>Pocillopora</w:t>
      </w:r>
      <w:proofErr w:type="spellEnd"/>
      <w:r w:rsidRPr="00961490">
        <w:rPr>
          <w:rFonts w:ascii="Arial" w:hAnsi="Arial" w:cs="Arial"/>
          <w:i/>
          <w:sz w:val="20"/>
        </w:rPr>
        <w:t xml:space="preserve">, Acropora, </w:t>
      </w:r>
      <w:r w:rsidRPr="00961490">
        <w:rPr>
          <w:rFonts w:ascii="Arial" w:hAnsi="Arial" w:cs="Arial"/>
          <w:sz w:val="20"/>
        </w:rPr>
        <w:t xml:space="preserve">and </w:t>
      </w:r>
      <w:proofErr w:type="spellStart"/>
      <w:r w:rsidRPr="00961490">
        <w:rPr>
          <w:rFonts w:ascii="Arial" w:hAnsi="Arial" w:cs="Arial"/>
          <w:i/>
          <w:sz w:val="20"/>
        </w:rPr>
        <w:t>Montipora</w:t>
      </w:r>
      <w:proofErr w:type="spellEnd"/>
      <w:r w:rsidRPr="00961490">
        <w:rPr>
          <w:rFonts w:ascii="Arial" w:hAnsi="Arial" w:cs="Arial"/>
          <w:sz w:val="20"/>
        </w:rPr>
        <w:t xml:space="preserve">; </w:t>
      </w:r>
      <w:r>
        <w:rPr>
          <w:rFonts w:ascii="Arial" w:hAnsi="Arial" w:cs="Arial"/>
          <w:sz w:val="20"/>
        </w:rPr>
        <w:t>Figs. S1A, B</w:t>
      </w:r>
      <w:r w:rsidRPr="00961490">
        <w:rPr>
          <w:rFonts w:ascii="Arial" w:hAnsi="Arial" w:cs="Arial"/>
          <w:sz w:val="20"/>
        </w:rPr>
        <w:t>) but there was no overall trend across all genera surveyed (Fig</w:t>
      </w:r>
      <w:r>
        <w:rPr>
          <w:rFonts w:ascii="Arial" w:hAnsi="Arial" w:cs="Arial"/>
          <w:sz w:val="20"/>
        </w:rPr>
        <w:t>.</w:t>
      </w:r>
      <w:r w:rsidRPr="00961490">
        <w:rPr>
          <w:rFonts w:ascii="Arial" w:hAnsi="Arial" w:cs="Arial"/>
          <w:sz w:val="20"/>
        </w:rPr>
        <w:t xml:space="preserve"> 2B). Thus, microbiome richness or evenness alone does not predict coral disease susceptibility.</w:t>
      </w:r>
    </w:p>
    <w:p w14:paraId="05DE7701" w14:textId="5773667F"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The association between microbiome dominance and disease strengthens in </w:t>
      </w:r>
      <w:proofErr w:type="gramStart"/>
      <w:r w:rsidRPr="00961490">
        <w:rPr>
          <w:rFonts w:ascii="Arial" w:hAnsi="Arial" w:cs="Arial"/>
          <w:b/>
          <w:sz w:val="20"/>
        </w:rPr>
        <w:t>regionally-matched</w:t>
      </w:r>
      <w:proofErr w:type="gramEnd"/>
      <w:r w:rsidRPr="00961490">
        <w:rPr>
          <w:rFonts w:ascii="Arial" w:hAnsi="Arial" w:cs="Arial"/>
          <w:b/>
          <w:sz w:val="20"/>
        </w:rPr>
        <w:t xml:space="preserve"> data. </w:t>
      </w:r>
      <w:r w:rsidRPr="00961490">
        <w:rPr>
          <w:rFonts w:ascii="Arial" w:hAnsi="Arial" w:cs="Arial"/>
          <w:sz w:val="20"/>
        </w:rPr>
        <w:t xml:space="preserve">The correlation we saw between microbiome dominance and disease persisted in a </w:t>
      </w:r>
      <w:proofErr w:type="gramStart"/>
      <w:r w:rsidRPr="00961490">
        <w:rPr>
          <w:rFonts w:ascii="Arial" w:hAnsi="Arial" w:cs="Arial"/>
          <w:sz w:val="20"/>
        </w:rPr>
        <w:t>regionally-matched</w:t>
      </w:r>
      <w:proofErr w:type="gramEnd"/>
      <w:r w:rsidRPr="00961490">
        <w:rPr>
          <w:rFonts w:ascii="Arial" w:hAnsi="Arial" w:cs="Arial"/>
          <w:sz w:val="20"/>
        </w:rPr>
        <w:t xml:space="preserve"> comparison between disease and microbiome data, and therefore is unlikely to be driven by biogeographic confounders. While the trend between microbiome dominance and coral disease is compelling across our full dataset, not all coral diseases are cosmopolitan and some exist in only one or a few locations</w:t>
      </w:r>
      <w:r w:rsidR="00B950BA">
        <w:rPr>
          <w:rFonts w:ascii="Arial" w:hAnsi="Arial" w:cs="Arial"/>
          <w:sz w:val="20"/>
        </w:rPr>
        <w:fldChar w:fldCharType="begin"/>
      </w:r>
      <w:r w:rsidR="00DD5C6D">
        <w:rPr>
          <w:rFonts w:ascii="Arial" w:hAnsi="Arial" w:cs="Arial"/>
          <w:sz w:val="20"/>
        </w:rPr>
        <w:instrText xml:space="preserve"> ADDIN ZOTERO_ITEM CSL_CITATION {"citationID":"uMjFj687","properties":{"formattedCitation":"\\super 2\\nosupersub{}","plainCitation":"2","noteIndex":0},"citationItems":[{"id":1839,"uris":["http://zotero.org/groups/2769688/items/NWBQPNLP"],"itemData":{"id":1839,"type":"article-journal","abstract":"Although knowledge on the diseases affecting corals has been accumulating exponentially since the 2000s, even more effort is required to summarize and guide further investigation. Here, we used the Web of Science database to review 226 studies published, between 2000 and 2020, to identify the major geographic and taxonomic gaps in the literature, and propose future directions for the study of coral diseases. We classified the studies according to the ocean, ecoregion, coral species, disease types, approach (e.g., observational or experimental), and depth. In total, 22 types of diseases were reported for 165 coral species. Acropora spp. was the most studied taxa with 12 types of diseases and 8.2% of the records. Black band, white plague, white syndromes, skeletal eroding, dark spot, and yellow band were the six most common diseases, accounting together for 76.8% of the records. As expected, most studies were conducted in the Caribbean and Indo-Pacific (34.0% and 28.7%, respectively), but only in 44 of the 141 global ecoregions that harbour corals. Observational approaches were the most frequent (75.6% of the records), while experimental approaches accounted for 19.9% and were mainly done on Acropora. The vast majority of studies (</w:instrText>
      </w:r>
      <w:r w:rsidR="00DD5C6D">
        <w:rPr>
          <w:rFonts w:ascii="Cambria Math" w:hAnsi="Cambria Math" w:cs="Cambria Math"/>
          <w:sz w:val="20"/>
        </w:rPr>
        <w:instrText>∼</w:instrText>
      </w:r>
      <w:r w:rsidR="00DD5C6D">
        <w:rPr>
          <w:rFonts w:ascii="Arial" w:hAnsi="Arial" w:cs="Arial"/>
          <w:sz w:val="20"/>
        </w:rPr>
        <w:instrText xml:space="preserve">98%) were performed in shallow waters (&lt;30 m depth). We conclude that over the past two decades, coral diseases have been assessed on a very small fraction of coral species, in very few locations around the globe, and at a limited range of their depth distribution. While monitoring bleaching is mandatory for reef ecology and conservation, the ecoepidemiology of coral diseases deserves more space in the research agenda of reef ecosystems.","container-title":"Environmental Advances","DOI":"10.1016/j.envadv.2022.100231","ISSN":"2666-7657","journalAbbreviation":"Environmental Advances","language":"en","page":"100231","source":"ScienceDirect","title":"A global synthesis of the current knowledge on the taxonomic and geographic distribution of major coral diseases","volume":"8","author":[{"family":"Morais","given":"Juliano"},{"family":"Cardoso","given":"Aiara P. L. R"},{"family":"Santos","given":"Bráulio A."}],"issued":{"date-parts":[["2022",7,1]]}}}],"schema":"https://github.com/citation-style-language/schema/raw/master/csl-citation.json"} </w:instrText>
      </w:r>
      <w:r w:rsidR="00B950BA">
        <w:rPr>
          <w:rFonts w:ascii="Arial" w:hAnsi="Arial" w:cs="Arial"/>
          <w:sz w:val="20"/>
        </w:rPr>
        <w:fldChar w:fldCharType="separate"/>
      </w:r>
      <w:r w:rsidR="00DD5C6D" w:rsidRPr="00DD5C6D">
        <w:rPr>
          <w:rFonts w:ascii="Arial" w:hAnsi="Arial" w:cs="Arial"/>
          <w:sz w:val="20"/>
          <w:vertAlign w:val="superscript"/>
        </w:rPr>
        <w:t>2</w:t>
      </w:r>
      <w:r w:rsidR="00B950BA">
        <w:rPr>
          <w:rFonts w:ascii="Arial" w:hAnsi="Arial" w:cs="Arial"/>
          <w:sz w:val="20"/>
        </w:rPr>
        <w:fldChar w:fldCharType="end"/>
      </w:r>
      <w:r w:rsidRPr="00961490">
        <w:rPr>
          <w:rFonts w:ascii="Arial" w:hAnsi="Arial" w:cs="Arial"/>
          <w:sz w:val="20"/>
        </w:rPr>
        <w:t xml:space="preserve">. As mismatches between region and disease biogeography could confound our overall results, we sought to assess whether large-scale regional effects drive this trend. For example, perhaps high-dominance corals happen to live in high-disease areas, resulting in incidental correlations between dominance and disease. To test for regional effects, we repeated the PGLS analyses restricting the data to only coral microbiomes from Australia, where sampling was most intensive and for which we have long-term disease datasets </w:t>
      </w:r>
      <w:proofErr w:type="gramStart"/>
      <w:r w:rsidRPr="00961490">
        <w:rPr>
          <w:rFonts w:ascii="Arial" w:hAnsi="Arial" w:cs="Arial"/>
          <w:sz w:val="20"/>
        </w:rPr>
        <w:t>best-matched</w:t>
      </w:r>
      <w:proofErr w:type="gramEnd"/>
      <w:r w:rsidRPr="00961490">
        <w:rPr>
          <w:rFonts w:ascii="Arial" w:hAnsi="Arial" w:cs="Arial"/>
          <w:sz w:val="20"/>
        </w:rPr>
        <w:t xml:space="preserve"> to the microbiome data. In this analysis, ecological dominance in Australian coral tissue microbiomes predicted disease prevalence even more strongly under the lowest </w:t>
      </w:r>
      <w:proofErr w:type="spellStart"/>
      <w:r w:rsidRPr="00961490">
        <w:rPr>
          <w:rFonts w:ascii="Arial" w:hAnsi="Arial" w:cs="Arial"/>
          <w:sz w:val="20"/>
        </w:rPr>
        <w:t>AICc</w:t>
      </w:r>
      <w:proofErr w:type="spellEnd"/>
      <w:r w:rsidRPr="00961490">
        <w:rPr>
          <w:rFonts w:ascii="Arial" w:hAnsi="Arial" w:cs="Arial"/>
          <w:sz w:val="20"/>
        </w:rPr>
        <w:t xml:space="preserve"> model (PGLS: R</w:t>
      </w:r>
      <w:r w:rsidRPr="00961490">
        <w:rPr>
          <w:rFonts w:ascii="Arial" w:hAnsi="Arial" w:cs="Arial"/>
          <w:sz w:val="20"/>
          <w:vertAlign w:val="superscript"/>
        </w:rPr>
        <w:t>2</w:t>
      </w:r>
      <w:r w:rsidRPr="00961490">
        <w:rPr>
          <w:rFonts w:ascii="Arial" w:hAnsi="Arial" w:cs="Arial"/>
          <w:sz w:val="20"/>
        </w:rPr>
        <w:t xml:space="preserve"> = 0.49, p = 0.00015, FDR q = 0.005). However, this correlation was strong under all models (Supplementary Data Table 3b). A likely explanation for this stronger result is simply that the disease and microbiome data were drawn from the same region in this analysis, whereas in other cases the available disease and microbiome data were only partially regionally matched. These stronger results in the Australia-only model suggest that microbiomes vary enough geographically that disease and microbiome data from the same location produce the clearest correlations. </w:t>
      </w:r>
    </w:p>
    <w:p w14:paraId="236A18DF" w14:textId="55DCD8A0"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dominance vs. disease correlations </w:t>
      </w:r>
      <w:proofErr w:type="gramStart"/>
      <w:r w:rsidRPr="00961490">
        <w:rPr>
          <w:rFonts w:ascii="Arial" w:hAnsi="Arial" w:cs="Arial"/>
          <w:b/>
          <w:sz w:val="20"/>
        </w:rPr>
        <w:t>are</w:t>
      </w:r>
      <w:proofErr w:type="gramEnd"/>
      <w:r w:rsidRPr="00961490">
        <w:rPr>
          <w:rFonts w:ascii="Arial" w:hAnsi="Arial" w:cs="Arial"/>
          <w:b/>
          <w:sz w:val="20"/>
        </w:rPr>
        <w:t xml:space="preserve"> driven by γ-proteobacteria. </w:t>
      </w:r>
      <w:r w:rsidRPr="00961490">
        <w:rPr>
          <w:rFonts w:ascii="Arial" w:hAnsi="Arial" w:cs="Arial"/>
          <w:sz w:val="20"/>
        </w:rPr>
        <w:t xml:space="preserve">Ecological dominance itself seems an unlikely structural property to act as a mechanism of disease resistance. Therefore, we investigated if this high-level summary measure reflected the effects of some specific microbe or set of microbes. For example, disease susceptibility among </w:t>
      </w:r>
      <w:r w:rsidRPr="00961490">
        <w:rPr>
          <w:rFonts w:ascii="Arial" w:hAnsi="Arial" w:cs="Arial"/>
          <w:i/>
          <w:sz w:val="20"/>
        </w:rPr>
        <w:t xml:space="preserve">Acropora </w:t>
      </w:r>
      <w:r w:rsidRPr="00961490">
        <w:rPr>
          <w:rFonts w:ascii="Arial" w:hAnsi="Arial" w:cs="Arial"/>
          <w:sz w:val="20"/>
        </w:rPr>
        <w:t xml:space="preserve">has been shown to correlate with the abundance of </w:t>
      </w:r>
      <w:proofErr w:type="spellStart"/>
      <w:r w:rsidRPr="00961490">
        <w:rPr>
          <w:rFonts w:ascii="Arial" w:hAnsi="Arial" w:cs="Arial"/>
          <w:i/>
          <w:sz w:val="20"/>
        </w:rPr>
        <w:t>Rickettsiales</w:t>
      </w:r>
      <w:proofErr w:type="spellEnd"/>
      <w:r w:rsidRPr="00961490">
        <w:rPr>
          <w:rFonts w:ascii="Arial" w:hAnsi="Arial" w:cs="Arial"/>
          <w:i/>
          <w:sz w:val="20"/>
        </w:rPr>
        <w:t xml:space="preserve"> </w:t>
      </w:r>
      <w:r w:rsidRPr="00961490">
        <w:rPr>
          <w:rFonts w:ascii="Arial" w:hAnsi="Arial" w:cs="Arial"/>
          <w:sz w:val="20"/>
        </w:rPr>
        <w:t>in coral tissues</w:t>
      </w:r>
      <w:r w:rsidR="00B950BA">
        <w:rPr>
          <w:rFonts w:ascii="Arial" w:hAnsi="Arial" w:cs="Arial"/>
          <w:sz w:val="20"/>
        </w:rPr>
        <w:fldChar w:fldCharType="begin"/>
      </w:r>
      <w:r w:rsidR="00DD5C6D">
        <w:rPr>
          <w:rFonts w:ascii="Arial" w:hAnsi="Arial" w:cs="Arial"/>
          <w:sz w:val="20"/>
        </w:rPr>
        <w:instrText xml:space="preserve"> ADDIN ZOTERO_ITEM CSL_CITATION {"citationID":"aD5bD5u1","properties":{"formattedCitation":"\\super 3,4\\nosupersub{}","plainCitation":"3,4","noteIndex":0},"citationItems":[{"id":1654,"uris":["http://zotero.org/groups/2769688/items/LEKVUZHJ"],"itemData":{"id":1654,"type":"article-journal","abstract":"Holobiont phenotype results from a combination of host and symbiont genotypes as well as from prevailing environmental conditions that alter the relationships among symbiotic members. Corals exemplify this concept, where shifts in the algal symbiont community can lead to some corals becoming more or less thermally tolerant. Despite linkage between coral bleaching and disease, the roles of symbiotic bacteria in holobiont resistance and susceptibility to disease remains less well understood. This study thus characterizes the microbiome of disease-resistant and -susceptible Acropora cervicornis coral genotypes (hereafter referred to simply as ‘genotypes’) before and after high temperature-mediated bleaching. We found that the intracellular bacterial parasite ‘Ca. Aquarickettsia rohweri’ was strikingly abundant in disease-susceptible genotypes. Disease-resistant genotypes, however, had notably more diverse and even communities, with correspondingly low abundances of ‘Ca. Aquarickettsia’. Bleaching caused a dramatic reduction of ‘Ca. Aquarickettsia’ within disease-susceptible corals and led to an increase in bacterial community dispersion, as well as the proliferation of opportunists. Our data support the hypothesis that ‘Ca. Aquarickettsia’ species increase coral disease risk through two mechanisms: (i) the creation of host nutritional deficiencies leading to a compromised host-symbiont state and (ii) the opening of niche space for potential pathogens during thermal stress.","container-title":"Environmental Microbiology","DOI":"10.1111/1462-2920.15245","ISSN":"1462-2920","issue":"12","language":"en","note":"_eprint: https://onlinelibrary.wiley.com/doi/pdf/10.1111/1462-2920.15245","page":"5341-5355","source":"Wiley Online Library","title":"Parasitic ‘Candidatus Aquarickettsia rohweri’ is a marker of disease susceptibility in Acropora cervicornis but is lost during thermal stress","volume":"22","author":[{"family":"Klinges","given":"Grace"},{"family":"Maher","given":"Rebecca L."},{"family":"Vega Thurber","given":"Rebecca L."},{"family":"Muller","given":"Erinn M."}],"issued":{"date-parts":[["2020"]]}}},{"id":1651,"uris":["http://zotero.org/groups/2769688/items/I25BTEYS"],"itemData":{"id":1651,"type":"article-journal","abstract":"The symbiont “Candidatus Aquarickettsia rohweri” infects a diversity of aquatic hosts. In the threatened Caribbean coral, Acropora cervicornis, Aquarickettsia proliferates in response to increased nutrient exposure, resulting in suppressed growth and increased disease susceptibility and mortality of coral. This study evaluated the extent, as well as the ecology and evolution of Aquarickettsia infecting threatened corals, Ac. cervicornis, and Ac. palmata and their hybrid (“Ac. prolifera”). Aquarickettsia was found in all acroporids, with coral host and geographic location impacting the infection magnitude. Phylogenomic and genome-wide single-nucleotide variant analysis of Aquarickettsia found phylogenetic clustering by geographic region, not by coral taxon. Analysis of Aquarickettsia fixation indices suggests multiple sequential infections of the same coral colony are unlikely. Furthermore, relative to other Rickettsiales species, Aquarickettsia is undergoing positive selection, with Florida populations experiencing greater positive selection relative to other Caribbean locations. This may be due in part to Aquarickettsia proliferating in response to greater nutrient stress in Florida, as indicated by greater in situ replication rates in these corals. Aquarickettsia was not found to significantly codiversify with either the coral animal or the coral’s algal symbiont (Symbiodinium “fitti”). Quantitative PCR analysis showed that gametes, larvae, recruits, and juveniles from susceptible, captive-reared coral genets were not infected with Aquarickettsia. Thus, horizontal transmission of Aquarickettsia via coral mucocytes or an unidentified host is more likely. The prevalence of Aquarickettsia in Ac. cervicornis and its high abundance in the Florida coral population suggests that coral disease mitigation efforts focus on preventing early infection via horizontal transmission.","container-title":"The ISME Journal","DOI":"10.1038/s41396-021-01077-8","ISSN":"1751-7370","issue":"2","journalAbbreviation":"ISME J","language":"en","license":"2021 The Author(s)","note":"number: 2\npublisher: Nature Publishing Group","page":"400-411","source":"www.nature.com","title":"The coral symbiont Candidatus Aquarickettsia is variably abundant in threatened Caribbean acroporids and transmitted horizontally","volume":"16","author":[{"family":"Baker","given":"Lydia J."},{"family":"Reich","given":"Hannah G."},{"family":"Kitchen","given":"Sheila A."},{"family":"Grace Klinges","given":"J."},{"family":"Koch","given":"Hanna R."},{"family":"Baums","given":"Iliana B."},{"family":"Muller","given":"Erinn M."},{"family":"Thurber","given":"Rebecca Vega"}],"issued":{"date-parts":[["2022",2]]}}}],"schema":"https://github.com/citation-style-language/schema/raw/master/csl-citation.json"} </w:instrText>
      </w:r>
      <w:r w:rsidR="00B950BA">
        <w:rPr>
          <w:rFonts w:ascii="Arial" w:hAnsi="Arial" w:cs="Arial"/>
          <w:sz w:val="20"/>
        </w:rPr>
        <w:fldChar w:fldCharType="separate"/>
      </w:r>
      <w:r w:rsidR="00DD5C6D" w:rsidRPr="00DD5C6D">
        <w:rPr>
          <w:rFonts w:ascii="Arial" w:hAnsi="Arial" w:cs="Arial"/>
          <w:sz w:val="20"/>
          <w:vertAlign w:val="superscript"/>
        </w:rPr>
        <w:t>3,4</w:t>
      </w:r>
      <w:r w:rsidR="00B950BA">
        <w:rPr>
          <w:rFonts w:ascii="Arial" w:hAnsi="Arial" w:cs="Arial"/>
          <w:sz w:val="20"/>
        </w:rPr>
        <w:fldChar w:fldCharType="end"/>
      </w:r>
      <w:r w:rsidR="00B950BA">
        <w:rPr>
          <w:rFonts w:ascii="Arial" w:hAnsi="Arial" w:cs="Arial"/>
          <w:sz w:val="20"/>
        </w:rPr>
        <w:t>.</w:t>
      </w:r>
      <w:r w:rsidRPr="00961490">
        <w:rPr>
          <w:rFonts w:ascii="Arial" w:hAnsi="Arial" w:cs="Arial"/>
          <w:sz w:val="20"/>
        </w:rPr>
        <w:t xml:space="preserve"> </w:t>
      </w:r>
    </w:p>
    <w:p w14:paraId="3707A3EE" w14:textId="2AD4BCA9"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sz w:val="20"/>
        </w:rPr>
        <w:t xml:space="preserve">To test how shifts in the dominant class of microbes in coral tissue interacted with the dominance-disease correlation, we repeated our previous correlations twice: once in coral genera that are </w:t>
      </w:r>
      <w:r w:rsidRPr="00961490">
        <w:rPr>
          <w:rFonts w:ascii="Cambria Math" w:hAnsi="Cambria Math" w:cs="Cambria Math"/>
          <w:sz w:val="20"/>
        </w:rPr>
        <w:t>𝛼</w:t>
      </w:r>
      <w:r w:rsidRPr="00961490">
        <w:rPr>
          <w:rFonts w:ascii="Arial" w:hAnsi="Arial" w:cs="Arial"/>
          <w:sz w:val="20"/>
        </w:rPr>
        <w:t>-proteobacteria dominated, and once in coral genera that are γ-proteobacteria dominated. Both datasets were visualized with ancestral state reconstruction (</w:t>
      </w:r>
      <w:r>
        <w:rPr>
          <w:rFonts w:ascii="Arial" w:hAnsi="Arial" w:cs="Arial"/>
          <w:sz w:val="20"/>
        </w:rPr>
        <w:t>Figs.</w:t>
      </w:r>
      <w:r w:rsidRPr="00961490">
        <w:rPr>
          <w:rFonts w:ascii="Arial" w:hAnsi="Arial" w:cs="Arial"/>
          <w:sz w:val="20"/>
        </w:rPr>
        <w:t xml:space="preserve"> </w:t>
      </w:r>
      <w:r>
        <w:rPr>
          <w:rFonts w:ascii="Arial" w:hAnsi="Arial" w:cs="Arial"/>
          <w:sz w:val="20"/>
        </w:rPr>
        <w:t>S</w:t>
      </w:r>
      <w:r w:rsidRPr="00961490">
        <w:rPr>
          <w:rFonts w:ascii="Arial" w:hAnsi="Arial" w:cs="Arial"/>
          <w:sz w:val="20"/>
        </w:rPr>
        <w:t>2</w:t>
      </w:r>
      <w:r>
        <w:rPr>
          <w:rFonts w:ascii="Arial" w:hAnsi="Arial" w:cs="Arial"/>
          <w:sz w:val="20"/>
        </w:rPr>
        <w:t>A, B</w:t>
      </w:r>
      <w:r w:rsidRPr="00961490">
        <w:rPr>
          <w:rFonts w:ascii="Arial" w:hAnsi="Arial" w:cs="Arial"/>
          <w:sz w:val="20"/>
        </w:rPr>
        <w:t>). Correlations between microbiome dominance and disease were visually apparent only in reconstructions of the γ-proteobacteria dominated corals, and the dominance-disease correlation was far stronger in γ-proteobacteria dominated corals (PGLS: R</w:t>
      </w:r>
      <w:r w:rsidRPr="00961490">
        <w:rPr>
          <w:rFonts w:ascii="Arial" w:hAnsi="Arial" w:cs="Arial"/>
          <w:sz w:val="20"/>
          <w:vertAlign w:val="superscript"/>
        </w:rPr>
        <w:t>2</w:t>
      </w:r>
      <w:r w:rsidRPr="00961490">
        <w:rPr>
          <w:rFonts w:ascii="Arial" w:hAnsi="Arial" w:cs="Arial"/>
          <w:sz w:val="20"/>
        </w:rPr>
        <w:t xml:space="preserve"> = 0.50, p = 0.0001, FDR q =0.003; Supplementary Data Table 3</w:t>
      </w:r>
      <w:r w:rsidR="00BA6BC2">
        <w:rPr>
          <w:rFonts w:ascii="Arial" w:hAnsi="Arial" w:cs="Arial"/>
          <w:sz w:val="20"/>
        </w:rPr>
        <w:t>c</w:t>
      </w:r>
      <w:r w:rsidRPr="00961490">
        <w:rPr>
          <w:rFonts w:ascii="Arial" w:hAnsi="Arial" w:cs="Arial"/>
          <w:sz w:val="20"/>
        </w:rPr>
        <w:t xml:space="preserve">), where dominance explained most (50%) of the variation in disease susceptibility. In contrast, </w:t>
      </w:r>
      <w:r w:rsidRPr="00961490">
        <w:rPr>
          <w:rFonts w:ascii="Cambria Math" w:hAnsi="Cambria Math" w:cs="Cambria Math"/>
          <w:sz w:val="20"/>
        </w:rPr>
        <w:t>𝛼</w:t>
      </w:r>
      <w:r w:rsidRPr="00961490">
        <w:rPr>
          <w:rFonts w:ascii="Arial" w:hAnsi="Arial" w:cs="Arial"/>
          <w:sz w:val="20"/>
        </w:rPr>
        <w:t>-proteobacteria dominated tissue microbiomes showed no discernable dominance-disease correlations either visually or statistically (PGLS: R</w:t>
      </w:r>
      <w:r w:rsidRPr="00961490">
        <w:rPr>
          <w:rFonts w:ascii="Arial" w:hAnsi="Arial" w:cs="Arial"/>
          <w:sz w:val="20"/>
          <w:vertAlign w:val="superscript"/>
        </w:rPr>
        <w:t>2</w:t>
      </w:r>
      <w:r w:rsidRPr="00961490">
        <w:rPr>
          <w:rFonts w:ascii="Arial" w:hAnsi="Arial" w:cs="Arial"/>
          <w:sz w:val="20"/>
        </w:rPr>
        <w:t xml:space="preserve"> = 0.06, p = 0.31, FDR q = 0.81; </w:t>
      </w:r>
      <w:r w:rsidRPr="00BA6BC2">
        <w:rPr>
          <w:rFonts w:ascii="Arial" w:hAnsi="Arial" w:cs="Arial"/>
          <w:sz w:val="20"/>
        </w:rPr>
        <w:t>Supplementary Data Table 3</w:t>
      </w:r>
      <w:r w:rsidR="00BA6BC2" w:rsidRPr="00BA6BC2">
        <w:rPr>
          <w:rFonts w:ascii="Arial" w:hAnsi="Arial" w:cs="Arial"/>
          <w:sz w:val="20"/>
        </w:rPr>
        <w:t>c</w:t>
      </w:r>
      <w:r w:rsidRPr="00BA6BC2">
        <w:rPr>
          <w:rFonts w:ascii="Arial" w:hAnsi="Arial" w:cs="Arial"/>
          <w:sz w:val="20"/>
        </w:rPr>
        <w:t>). This</w:t>
      </w:r>
      <w:r w:rsidRPr="00961490">
        <w:rPr>
          <w:rFonts w:ascii="Arial" w:hAnsi="Arial" w:cs="Arial"/>
          <w:sz w:val="20"/>
        </w:rPr>
        <w:t xml:space="preserve"> suggested that overall dominance-disease correlations are unlikely to be driven by </w:t>
      </w:r>
      <w:r w:rsidRPr="00961490">
        <w:rPr>
          <w:rFonts w:ascii="Cambria Math" w:hAnsi="Cambria Math" w:cs="Cambria Math"/>
          <w:sz w:val="20"/>
        </w:rPr>
        <w:t>𝛼</w:t>
      </w:r>
      <w:r w:rsidRPr="00961490">
        <w:rPr>
          <w:rFonts w:ascii="Arial" w:hAnsi="Arial" w:cs="Arial"/>
          <w:sz w:val="20"/>
        </w:rPr>
        <w:t>-</w:t>
      </w:r>
      <w:proofErr w:type="gramStart"/>
      <w:r w:rsidRPr="00961490">
        <w:rPr>
          <w:rFonts w:ascii="Arial" w:hAnsi="Arial" w:cs="Arial"/>
          <w:sz w:val="20"/>
        </w:rPr>
        <w:t>proteobacteria, but</w:t>
      </w:r>
      <w:proofErr w:type="gramEnd"/>
      <w:r w:rsidRPr="00961490">
        <w:rPr>
          <w:rFonts w:ascii="Arial" w:hAnsi="Arial" w:cs="Arial"/>
          <w:sz w:val="20"/>
        </w:rPr>
        <w:t xml:space="preserve"> may be driven by γ-proteobacteria or specific taxa within this bacterial class. Critically, nothing about these results contradicts the possibility that some </w:t>
      </w:r>
      <w:r w:rsidRPr="00961490">
        <w:rPr>
          <w:rFonts w:ascii="Cambria Math" w:hAnsi="Cambria Math" w:cs="Cambria Math"/>
          <w:sz w:val="20"/>
        </w:rPr>
        <w:t>𝛼</w:t>
      </w:r>
      <w:r w:rsidRPr="00961490">
        <w:rPr>
          <w:rFonts w:ascii="Arial" w:hAnsi="Arial" w:cs="Arial"/>
          <w:sz w:val="20"/>
        </w:rPr>
        <w:t>-proteobacteria are coral pathogens, parasites, or opportunists</w:t>
      </w:r>
      <w:r w:rsidR="00931897">
        <w:rPr>
          <w:rFonts w:ascii="Arial" w:hAnsi="Arial" w:cs="Arial"/>
          <w:sz w:val="20"/>
        </w:rPr>
        <w:fldChar w:fldCharType="begin"/>
      </w:r>
      <w:r w:rsidR="00DD5C6D">
        <w:rPr>
          <w:rFonts w:ascii="Arial" w:hAnsi="Arial" w:cs="Arial"/>
          <w:sz w:val="20"/>
        </w:rPr>
        <w:instrText xml:space="preserve"> ADDIN ZOTERO_ITEM CSL_CITATION {"citationID":"CAUpU8c7","properties":{"formattedCitation":"\\super 5\\nosupersub{}","plainCitation":"5","noteIndex":0},"citationItems":[{"id":1846,"uris":["http://zotero.org/groups/2769688/items/YI5P3TAF"],"itemData":{"id":1846,"type":"article-journal","abstract":"The bacterial communities associated with the Caribbean coral Montastrea annularis showing tissue lesions indicative of a White Plague (WP)-like disease were investigated. Two molecular screening techniques using bacterial 16S rDNA genes were used and demonstrated distinct differences between the bacterial communities of diseased and non-diseased coral tissues, and also in relation to the proximity of tissue lesions on diseased corals. Differences between non-diseased corals and the apparently healthy tissues remote from the tissue lesion in affected corals indicates a ‘whole coral’ response to a relatively small area of infection with a perturbation in the normal microbial flora occurring prior to the onset of visible signs of disease. These whole organism changes in the microbial flora may serve as a bioindicator of environmental stress and disease. There were striking similarities between the 16S rDNA sequence composition associated with the WP-like disease studied here and that previously reported in association with black band disease (BBD) in coral. Similarities included the presence of a potential pathogen, an α-proteobacterium identified as the causal agent of juvenile oyster disease (JOD). The WP-like disease studied here is apparently different to WP Type ii because the bacterial species previously identified as the causal agent of WP Type ii was not detected, although the symptoms of the two diseases are similar.","container-title":"Environmental Microbiology","DOI":"10.1046/j.1462-2920.2003.00427.x","ISSN":"1462-2920","issue":"5","language":"en","note":"_eprint: https://onlinelibrary.wiley.com/doi/pdf/10.1046/j.1462-2920.2003.00427.x","page":"370-382","source":"Wiley Online Library","title":"The bacterial ecology of a plague-like disease affecting the Caribbean coral Montastrea annularis","volume":"5","author":[{"family":"Pantos","given":"Olga"},{"family":"Cooney","given":"Rory P."},{"family":"Le Tissier","given":"Martin D. A."},{"family":"Barer","given":"Michael R."},{"family":"O'Donnell","given":"Anthony G."},{"family":"Bythell","given":"John C."}],"issued":{"date-parts":[["2003"]]}}}],"schema":"https://github.com/citation-style-language/schema/raw/master/csl-citation.json"} </w:instrText>
      </w:r>
      <w:r w:rsidR="00931897">
        <w:rPr>
          <w:rFonts w:ascii="Arial" w:hAnsi="Arial" w:cs="Arial"/>
          <w:sz w:val="20"/>
        </w:rPr>
        <w:fldChar w:fldCharType="separate"/>
      </w:r>
      <w:r w:rsidR="00DD5C6D" w:rsidRPr="00DD5C6D">
        <w:rPr>
          <w:rFonts w:ascii="Arial" w:hAnsi="Arial" w:cs="Arial"/>
          <w:sz w:val="20"/>
          <w:vertAlign w:val="superscript"/>
        </w:rPr>
        <w:t>5</w:t>
      </w:r>
      <w:r w:rsidR="00931897">
        <w:rPr>
          <w:rFonts w:ascii="Arial" w:hAnsi="Arial" w:cs="Arial"/>
          <w:sz w:val="20"/>
        </w:rPr>
        <w:fldChar w:fldCharType="end"/>
      </w:r>
      <w:r w:rsidRPr="00961490">
        <w:rPr>
          <w:rFonts w:ascii="Arial" w:hAnsi="Arial" w:cs="Arial"/>
          <w:sz w:val="20"/>
        </w:rPr>
        <w:t xml:space="preserve">. It merely suggests that in healthy corals, dominance by </w:t>
      </w:r>
      <w:r w:rsidRPr="00961490">
        <w:rPr>
          <w:rFonts w:ascii="Cambria Math" w:hAnsi="Cambria Math" w:cs="Cambria Math"/>
          <w:sz w:val="20"/>
        </w:rPr>
        <w:t>𝛼</w:t>
      </w:r>
      <w:r w:rsidRPr="00961490">
        <w:rPr>
          <w:rFonts w:ascii="Arial" w:hAnsi="Arial" w:cs="Arial"/>
          <w:sz w:val="20"/>
        </w:rPr>
        <w:t xml:space="preserve">-proteobacteria does not predict the overall level of disease susceptibility of coral genera, whereas dominance by one or more γ-proteobacteria does. </w:t>
      </w:r>
    </w:p>
    <w:p w14:paraId="39AA8E43" w14:textId="77777777" w:rsidR="0036001C" w:rsidRDefault="0036001C" w:rsidP="0036001C">
      <w:pPr>
        <w:keepNext/>
        <w:pBdr>
          <w:top w:val="nil"/>
          <w:left w:val="nil"/>
          <w:bottom w:val="nil"/>
          <w:right w:val="nil"/>
          <w:between w:val="nil"/>
        </w:pBdr>
        <w:spacing w:before="240" w:after="60"/>
        <w:rPr>
          <w:rFonts w:ascii="Arial" w:hAnsi="Arial" w:cs="Arial"/>
          <w:sz w:val="20"/>
        </w:rPr>
      </w:pPr>
      <w:r w:rsidRPr="00961490">
        <w:rPr>
          <w:rFonts w:ascii="Arial" w:hAnsi="Arial" w:cs="Arial"/>
          <w:b/>
          <w:sz w:val="20"/>
        </w:rPr>
        <w:t xml:space="preserve">Beta diversity explains little variation in disease susceptibility. </w:t>
      </w:r>
      <w:r w:rsidRPr="00961490">
        <w:rPr>
          <w:rFonts w:ascii="Arial" w:hAnsi="Arial" w:cs="Arial"/>
          <w:sz w:val="20"/>
        </w:rPr>
        <w:t xml:space="preserve">Animal microbiomes are often conceived of as having some compositions that are associated with health, and others that are </w:t>
      </w:r>
      <w:proofErr w:type="spellStart"/>
      <w:r w:rsidRPr="00961490">
        <w:rPr>
          <w:rFonts w:ascii="Arial" w:hAnsi="Arial" w:cs="Arial"/>
          <w:sz w:val="20"/>
        </w:rPr>
        <w:t>dysbiotic</w:t>
      </w:r>
      <w:proofErr w:type="spellEnd"/>
      <w:r w:rsidRPr="00961490">
        <w:rPr>
          <w:rFonts w:ascii="Arial" w:hAnsi="Arial" w:cs="Arial"/>
          <w:sz w:val="20"/>
        </w:rPr>
        <w:t xml:space="preserve"> or unhealthy. We sought to test whether this same microbiome beta-diversity framework could predict the extent to which healthy members of different coral taxa are vulnerable to disease. To do so,</w:t>
      </w:r>
      <w:r w:rsidRPr="00961490">
        <w:rPr>
          <w:rFonts w:ascii="Arial" w:hAnsi="Arial" w:cs="Arial"/>
          <w:b/>
          <w:sz w:val="20"/>
        </w:rPr>
        <w:t xml:space="preserve"> </w:t>
      </w:r>
      <w:r w:rsidRPr="00961490">
        <w:rPr>
          <w:rFonts w:ascii="Arial" w:hAnsi="Arial" w:cs="Arial"/>
          <w:sz w:val="20"/>
        </w:rPr>
        <w:t xml:space="preserve">we correlated coral disease susceptibility against the top three principal </w:t>
      </w:r>
      <w:r w:rsidRPr="00961490">
        <w:rPr>
          <w:rFonts w:ascii="Arial" w:hAnsi="Arial" w:cs="Arial"/>
          <w:sz w:val="20"/>
        </w:rPr>
        <w:lastRenderedPageBreak/>
        <w:t xml:space="preserve">coordinate (PC) axes from Weighted and Unweighted </w:t>
      </w:r>
      <w:proofErr w:type="spellStart"/>
      <w:r w:rsidRPr="00961490">
        <w:rPr>
          <w:rFonts w:ascii="Arial" w:hAnsi="Arial" w:cs="Arial"/>
          <w:sz w:val="20"/>
        </w:rPr>
        <w:t>UniFrac</w:t>
      </w:r>
      <w:proofErr w:type="spellEnd"/>
      <w:r w:rsidRPr="00961490">
        <w:rPr>
          <w:rFonts w:ascii="Arial" w:hAnsi="Arial" w:cs="Arial"/>
          <w:sz w:val="20"/>
        </w:rPr>
        <w:t xml:space="preserve"> analyses of microbiome beta-diversity. In contrast to the strong association between microbiome dominance and disease, microbial community composition had less pronounced associations with disease susceptibility. Weighted </w:t>
      </w:r>
      <w:proofErr w:type="spellStart"/>
      <w:r w:rsidRPr="00961490">
        <w:rPr>
          <w:rFonts w:ascii="Arial" w:hAnsi="Arial" w:cs="Arial"/>
          <w:sz w:val="20"/>
        </w:rPr>
        <w:t>UniFrac</w:t>
      </w:r>
      <w:proofErr w:type="spellEnd"/>
      <w:r w:rsidRPr="00961490">
        <w:rPr>
          <w:rFonts w:ascii="Arial" w:hAnsi="Arial" w:cs="Arial"/>
          <w:sz w:val="20"/>
        </w:rPr>
        <w:t xml:space="preserve"> PC axis 3 only nominally significantly correlated with disease susceptibility in all compartments, but this relationship did not remain significant after accounting for multiple comparisons (PGLS: R</w:t>
      </w:r>
      <w:r w:rsidRPr="00961490">
        <w:rPr>
          <w:rFonts w:ascii="Arial" w:hAnsi="Arial" w:cs="Arial"/>
          <w:sz w:val="20"/>
          <w:vertAlign w:val="superscript"/>
        </w:rPr>
        <w:t xml:space="preserve">2 </w:t>
      </w:r>
      <w:r w:rsidRPr="00961490">
        <w:rPr>
          <w:rFonts w:ascii="Arial" w:hAnsi="Arial" w:cs="Arial"/>
          <w:sz w:val="20"/>
        </w:rPr>
        <w:t xml:space="preserve">= 0.26, p = 0.04, FDR q = 0.90; Supplementary Data Table 4).  </w:t>
      </w:r>
    </w:p>
    <w:p w14:paraId="7C181B7B" w14:textId="63F36E41" w:rsidR="00B1460F" w:rsidRPr="00961490"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Coral opportunist abundance in healthy corals does not predict genus-wide disease susceptibility. </w:t>
      </w:r>
      <w:r w:rsidRPr="00961490">
        <w:rPr>
          <w:rFonts w:ascii="Arial" w:hAnsi="Arial" w:cs="Arial"/>
          <w:sz w:val="20"/>
        </w:rPr>
        <w:t xml:space="preserve">Correlations between </w:t>
      </w:r>
      <w:r w:rsidRPr="00961490">
        <w:rPr>
          <w:rFonts w:ascii="Arial" w:hAnsi="Arial" w:cs="Arial"/>
          <w:i/>
          <w:sz w:val="20"/>
        </w:rPr>
        <w:t xml:space="preserve">Endozoicomonas </w:t>
      </w:r>
      <w:r w:rsidRPr="00961490">
        <w:rPr>
          <w:rFonts w:ascii="Arial" w:hAnsi="Arial" w:cs="Arial"/>
          <w:sz w:val="20"/>
        </w:rPr>
        <w:t xml:space="preserve">and disease across the coral tree were initially surprising, as </w:t>
      </w:r>
      <w:r w:rsidRPr="00961490">
        <w:rPr>
          <w:rFonts w:ascii="Arial" w:hAnsi="Arial" w:cs="Arial"/>
          <w:i/>
          <w:sz w:val="20"/>
        </w:rPr>
        <w:t xml:space="preserve">Endozoicomonas </w:t>
      </w:r>
      <w:r w:rsidRPr="00961490">
        <w:rPr>
          <w:rFonts w:ascii="Arial" w:hAnsi="Arial" w:cs="Arial"/>
          <w:sz w:val="20"/>
        </w:rPr>
        <w:t xml:space="preserve">is not thought to be associated with coral pathogenesis. This raised the question of whether the abundance of known or suspected coral pathogens in apparently healthy corals correlates with cross-genus differences in disease susceptibility. </w:t>
      </w:r>
    </w:p>
    <w:p w14:paraId="43E33EEF" w14:textId="098C6B2F" w:rsidR="00B1460F" w:rsidRDefault="00B1460F" w:rsidP="00B1460F">
      <w:pPr>
        <w:rPr>
          <w:rFonts w:ascii="Arial" w:hAnsi="Arial" w:cs="Arial"/>
          <w:sz w:val="20"/>
        </w:rPr>
      </w:pPr>
      <w:r w:rsidRPr="00961490">
        <w:rPr>
          <w:rFonts w:ascii="Arial" w:hAnsi="Arial" w:cs="Arial"/>
          <w:sz w:val="20"/>
        </w:rPr>
        <w:t xml:space="preserve">The abundance of bacterial groups containing prominent putative bacterial pathogens (such as </w:t>
      </w:r>
      <w:proofErr w:type="spellStart"/>
      <w:r w:rsidRPr="00961490">
        <w:rPr>
          <w:rFonts w:ascii="Arial" w:hAnsi="Arial" w:cs="Arial"/>
          <w:i/>
          <w:sz w:val="20"/>
        </w:rPr>
        <w:t>Vibrionales</w:t>
      </w:r>
      <w:proofErr w:type="spellEnd"/>
      <w:r w:rsidRPr="00961490">
        <w:rPr>
          <w:rFonts w:ascii="Arial" w:hAnsi="Arial" w:cs="Arial"/>
          <w:i/>
          <w:sz w:val="20"/>
        </w:rPr>
        <w:t xml:space="preserve">, </w:t>
      </w:r>
      <w:proofErr w:type="spellStart"/>
      <w:r w:rsidRPr="00961490">
        <w:rPr>
          <w:rFonts w:ascii="Arial" w:hAnsi="Arial" w:cs="Arial"/>
          <w:i/>
          <w:sz w:val="20"/>
        </w:rPr>
        <w:t>Nostocales</w:t>
      </w:r>
      <w:proofErr w:type="spellEnd"/>
      <w:r w:rsidRPr="00961490">
        <w:rPr>
          <w:rFonts w:ascii="Arial" w:hAnsi="Arial" w:cs="Arial"/>
          <w:i/>
          <w:sz w:val="20"/>
        </w:rPr>
        <w:t xml:space="preserve"> </w:t>
      </w:r>
      <w:r w:rsidRPr="00961490">
        <w:rPr>
          <w:rFonts w:ascii="Arial" w:hAnsi="Arial" w:cs="Arial"/>
          <w:sz w:val="20"/>
        </w:rPr>
        <w:t xml:space="preserve">or </w:t>
      </w:r>
      <w:proofErr w:type="spellStart"/>
      <w:r w:rsidRPr="00961490">
        <w:rPr>
          <w:rFonts w:ascii="Arial" w:hAnsi="Arial" w:cs="Arial"/>
          <w:i/>
          <w:sz w:val="20"/>
        </w:rPr>
        <w:t>Rickettsiales</w:t>
      </w:r>
      <w:proofErr w:type="spellEnd"/>
      <w:r w:rsidRPr="00961490">
        <w:rPr>
          <w:rFonts w:ascii="Arial" w:hAnsi="Arial" w:cs="Arial"/>
          <w:sz w:val="20"/>
        </w:rPr>
        <w:t>, see</w:t>
      </w:r>
      <w:r w:rsidR="00931897">
        <w:rPr>
          <w:rFonts w:ascii="Arial" w:hAnsi="Arial" w:cs="Arial"/>
          <w:sz w:val="20"/>
        </w:rPr>
        <w:t xml:space="preserve"> Vega Thurber and co-authors</w:t>
      </w:r>
      <w:r w:rsidR="00931897">
        <w:rPr>
          <w:rFonts w:ascii="Arial" w:hAnsi="Arial" w:cs="Arial"/>
          <w:sz w:val="20"/>
        </w:rPr>
        <w:fldChar w:fldCharType="begin"/>
      </w:r>
      <w:r w:rsidR="00DD5C6D">
        <w:rPr>
          <w:rFonts w:ascii="Arial" w:hAnsi="Arial" w:cs="Arial"/>
          <w:sz w:val="20"/>
        </w:rPr>
        <w:instrText xml:space="preserve"> ADDIN ZOTERO_ITEM CSL_CITATION {"citationID":"aGz1pmCS","properties":{"formattedCitation":"\\super 6\\nosupersub{}","plainCitation":"6","noteIndex":0},"citationItems":[{"id":1670,"uris":["http://zotero.org/groups/2769688/items/97SA2FIN"],"itemData":{"id":1670,"type":"article-journal","abstract":"Diseases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Evolution","ISSN":"2296-701X","source":"Frontiers","title":"Deciphering Coral Disease Dynamics: Integrating Host, Microbiome, and the Changing Environment","title-short":"Deciphering Coral Disease Dynamics","URL":"https://www.frontiersin.org/articles/10.3389/fevo.2020.575927","volume":"8","author":[{"family":"Vega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C."},{"family":"Garren","given":"Melissa"},{"family":"Lamb","given":"Joleah"}],"accessed":{"date-parts":[["2022",7,12]]},"issued":{"date-parts":[["2020"]]}}}],"schema":"https://github.com/citation-style-language/schema/raw/master/csl-citation.json"} </w:instrText>
      </w:r>
      <w:r w:rsidR="00931897">
        <w:rPr>
          <w:rFonts w:ascii="Arial" w:hAnsi="Arial" w:cs="Arial"/>
          <w:sz w:val="20"/>
        </w:rPr>
        <w:fldChar w:fldCharType="separate"/>
      </w:r>
      <w:r w:rsidR="00DD5C6D" w:rsidRPr="00DD5C6D">
        <w:rPr>
          <w:rFonts w:ascii="Arial" w:hAnsi="Arial" w:cs="Arial"/>
          <w:sz w:val="20"/>
          <w:vertAlign w:val="superscript"/>
        </w:rPr>
        <w:t>6</w:t>
      </w:r>
      <w:r w:rsidR="00931897">
        <w:rPr>
          <w:rFonts w:ascii="Arial" w:hAnsi="Arial" w:cs="Arial"/>
          <w:sz w:val="20"/>
        </w:rPr>
        <w:fldChar w:fldCharType="end"/>
      </w:r>
      <w:r w:rsidRPr="00961490">
        <w:rPr>
          <w:rFonts w:ascii="Arial" w:hAnsi="Arial" w:cs="Arial"/>
          <w:sz w:val="20"/>
        </w:rPr>
        <w:t xml:space="preserve">) in healthy corals did not show any correlation with disease susceptibility among coral species when tested (Supplementary Data Table 6). Thus, having high abundances of coral opportunists when healthy does not seem to be a hallmark of disease-susceptible corals. This is mostly expected since the abundance of pathogens typically only increases during stress. These observations in healthy corals leave open the question of what about </w:t>
      </w:r>
      <w:r w:rsidRPr="00961490">
        <w:rPr>
          <w:rFonts w:ascii="Arial" w:hAnsi="Arial" w:cs="Arial"/>
          <w:i/>
          <w:sz w:val="20"/>
        </w:rPr>
        <w:t xml:space="preserve">Endozoicomonas </w:t>
      </w:r>
      <w:r w:rsidRPr="00961490">
        <w:rPr>
          <w:rFonts w:ascii="Arial" w:hAnsi="Arial" w:cs="Arial"/>
          <w:sz w:val="20"/>
        </w:rPr>
        <w:t>causes it to be so strongly correlated with coral disease susceptibility.</w:t>
      </w:r>
    </w:p>
    <w:p w14:paraId="78EAD4D2" w14:textId="77777777" w:rsidR="00B1460F" w:rsidRPr="00961490" w:rsidRDefault="00B1460F" w:rsidP="00B1460F">
      <w:pPr>
        <w:rPr>
          <w:rFonts w:ascii="Arial" w:hAnsi="Arial" w:cs="Arial"/>
          <w:sz w:val="20"/>
        </w:rPr>
      </w:pPr>
    </w:p>
    <w:p w14:paraId="7FF23D66" w14:textId="77777777" w:rsidR="00B1460F" w:rsidRPr="00961490" w:rsidRDefault="00B1460F" w:rsidP="00B1460F">
      <w:pPr>
        <w:rPr>
          <w:rFonts w:ascii="Arial" w:hAnsi="Arial" w:cs="Arial"/>
          <w:sz w:val="20"/>
        </w:rPr>
      </w:pPr>
      <w:r w:rsidRPr="00961490">
        <w:rPr>
          <w:rFonts w:ascii="Arial" w:hAnsi="Arial" w:cs="Arial"/>
          <w:b/>
          <w:sz w:val="20"/>
        </w:rPr>
        <w:t xml:space="preserve">Testing for other associations between dominant microbes and disease. </w:t>
      </w:r>
      <w:r w:rsidRPr="00961490">
        <w:rPr>
          <w:rFonts w:ascii="Arial" w:hAnsi="Arial" w:cs="Arial"/>
          <w:sz w:val="20"/>
        </w:rPr>
        <w:t xml:space="preserve">After testing </w:t>
      </w:r>
      <w:r w:rsidRPr="00961490">
        <w:rPr>
          <w:rFonts w:ascii="Arial" w:hAnsi="Arial" w:cs="Arial"/>
          <w:i/>
          <w:sz w:val="20"/>
        </w:rPr>
        <w:t xml:space="preserve">Endozoicomonas - </w:t>
      </w:r>
      <w:r w:rsidRPr="00961490">
        <w:rPr>
          <w:rFonts w:ascii="Arial" w:hAnsi="Arial" w:cs="Arial"/>
          <w:sz w:val="20"/>
        </w:rPr>
        <w:t>disease associations as a prior hypothesis, we also sought to put these associations in context by testing for correlations with disease in all other dominant microbial genera found in the study (Fig</w:t>
      </w:r>
      <w:r>
        <w:rPr>
          <w:rFonts w:ascii="Arial" w:hAnsi="Arial" w:cs="Arial"/>
          <w:sz w:val="20"/>
        </w:rPr>
        <w:t xml:space="preserve">. </w:t>
      </w:r>
      <w:r w:rsidRPr="00961490">
        <w:rPr>
          <w:rFonts w:ascii="Arial" w:hAnsi="Arial" w:cs="Arial"/>
          <w:sz w:val="20"/>
        </w:rPr>
        <w:t xml:space="preserve">2C; Supplementary Data Table 7a). This scan confirmed that </w:t>
      </w:r>
      <w:r w:rsidRPr="00961490">
        <w:rPr>
          <w:rFonts w:ascii="Arial" w:hAnsi="Arial" w:cs="Arial"/>
          <w:i/>
          <w:sz w:val="20"/>
        </w:rPr>
        <w:t xml:space="preserve">Endozoicomonas </w:t>
      </w:r>
      <w:r w:rsidRPr="00961490">
        <w:rPr>
          <w:rFonts w:ascii="Arial" w:hAnsi="Arial" w:cs="Arial"/>
          <w:sz w:val="20"/>
        </w:rPr>
        <w:t xml:space="preserve">showed far stronger correlations with disease than other microbes in tissue, mucus, and all compartments together. One additional dominant genus in coral skeleton, </w:t>
      </w:r>
      <w:proofErr w:type="spellStart"/>
      <w:r w:rsidRPr="00961490">
        <w:rPr>
          <w:rFonts w:ascii="Arial" w:hAnsi="Arial" w:cs="Arial"/>
          <w:i/>
          <w:sz w:val="20"/>
        </w:rPr>
        <w:t>Paramaledivibacter</w:t>
      </w:r>
      <w:proofErr w:type="spellEnd"/>
      <w:r w:rsidRPr="00961490">
        <w:rPr>
          <w:rFonts w:ascii="Arial" w:hAnsi="Arial" w:cs="Arial"/>
          <w:sz w:val="20"/>
        </w:rPr>
        <w:t xml:space="preserve"> (Phylum Firmicutes/</w:t>
      </w:r>
      <w:proofErr w:type="spellStart"/>
      <w:r w:rsidRPr="00961490">
        <w:rPr>
          <w:rFonts w:ascii="Arial" w:hAnsi="Arial" w:cs="Arial"/>
          <w:sz w:val="20"/>
        </w:rPr>
        <w:t>Bacillota</w:t>
      </w:r>
      <w:proofErr w:type="spellEnd"/>
      <w:r w:rsidRPr="00961490">
        <w:rPr>
          <w:rFonts w:ascii="Arial" w:hAnsi="Arial" w:cs="Arial"/>
          <w:sz w:val="20"/>
        </w:rPr>
        <w:t>), also correlated with disease susceptibility, though this correlation was only nominally significant (PGLS: R</w:t>
      </w:r>
      <w:r w:rsidRPr="00961490">
        <w:rPr>
          <w:rFonts w:ascii="Arial" w:hAnsi="Arial" w:cs="Arial"/>
          <w:sz w:val="20"/>
          <w:vertAlign w:val="superscript"/>
        </w:rPr>
        <w:t>2</w:t>
      </w:r>
      <w:r w:rsidRPr="00961490">
        <w:rPr>
          <w:rFonts w:ascii="Arial" w:hAnsi="Arial" w:cs="Arial"/>
          <w:sz w:val="20"/>
        </w:rPr>
        <w:t xml:space="preserve"> = 0.13, p = 0.018, FDR q = 0.282; Fig</w:t>
      </w:r>
      <w:r>
        <w:rPr>
          <w:rFonts w:ascii="Arial" w:hAnsi="Arial" w:cs="Arial"/>
          <w:sz w:val="20"/>
        </w:rPr>
        <w:t>.</w:t>
      </w:r>
      <w:r w:rsidRPr="00961490">
        <w:rPr>
          <w:rFonts w:ascii="Arial" w:hAnsi="Arial" w:cs="Arial"/>
          <w:sz w:val="20"/>
        </w:rPr>
        <w:t xml:space="preserve"> 2C).</w:t>
      </w:r>
    </w:p>
    <w:p w14:paraId="7AD9803C" w14:textId="6157201F" w:rsidR="00B1460F" w:rsidRDefault="00B1460F" w:rsidP="001C0520">
      <w:pPr>
        <w:rPr>
          <w:rFonts w:ascii="Arial" w:hAnsi="Arial" w:cs="Arial"/>
          <w:sz w:val="20"/>
        </w:rPr>
      </w:pPr>
      <w:r w:rsidRPr="00961490">
        <w:rPr>
          <w:rFonts w:ascii="Arial" w:hAnsi="Arial" w:cs="Arial"/>
          <w:sz w:val="20"/>
        </w:rPr>
        <w:t>We also reran this analysis with all zero relative abundance counts excluded (Supplementary Data Table 7b) to assess whether changes in the abundance of dominant microbes, once they were already present, showed the same or different patterns as the overall analysis. The abundance of Endozoicomonas overall (PGLS: R</w:t>
      </w:r>
      <w:r w:rsidRPr="00961490">
        <w:rPr>
          <w:rFonts w:ascii="Arial" w:hAnsi="Arial" w:cs="Arial"/>
          <w:sz w:val="20"/>
          <w:vertAlign w:val="superscript"/>
        </w:rPr>
        <w:t>2</w:t>
      </w:r>
      <w:r w:rsidRPr="00961490">
        <w:rPr>
          <w:rFonts w:ascii="Arial" w:hAnsi="Arial" w:cs="Arial"/>
          <w:sz w:val="20"/>
        </w:rPr>
        <w:t xml:space="preserve"> = 0.28, p = 0.0005, FDR q = 0.01), in mucus (R</w:t>
      </w:r>
      <w:r w:rsidRPr="00961490">
        <w:rPr>
          <w:rFonts w:ascii="Arial" w:hAnsi="Arial" w:cs="Arial"/>
          <w:sz w:val="20"/>
          <w:vertAlign w:val="superscript"/>
        </w:rPr>
        <w:t>2</w:t>
      </w:r>
      <w:r w:rsidRPr="00961490">
        <w:rPr>
          <w:rFonts w:ascii="Arial" w:hAnsi="Arial" w:cs="Arial"/>
          <w:sz w:val="20"/>
        </w:rPr>
        <w:t xml:space="preserve"> = 0.42, p = 0.00008, FDR q = 0.004), or in tissue (R</w:t>
      </w:r>
      <w:r w:rsidRPr="00961490">
        <w:rPr>
          <w:rFonts w:ascii="Arial" w:hAnsi="Arial" w:cs="Arial"/>
          <w:sz w:val="20"/>
          <w:vertAlign w:val="superscript"/>
        </w:rPr>
        <w:t>2</w:t>
      </w:r>
      <w:r w:rsidRPr="00961490">
        <w:rPr>
          <w:rFonts w:ascii="Arial" w:hAnsi="Arial" w:cs="Arial"/>
          <w:sz w:val="20"/>
        </w:rPr>
        <w:t xml:space="preserve"> = 0.35, p = 0.0001, FDR q = 0.004) again showed significant associations with disease, while its abundance in skeleton did not (R</w:t>
      </w:r>
      <w:r w:rsidRPr="00961490">
        <w:rPr>
          <w:rFonts w:ascii="Arial" w:hAnsi="Arial" w:cs="Arial"/>
          <w:sz w:val="20"/>
          <w:vertAlign w:val="superscript"/>
        </w:rPr>
        <w:t>2</w:t>
      </w:r>
      <w:r w:rsidRPr="00961490">
        <w:rPr>
          <w:rFonts w:ascii="Arial" w:hAnsi="Arial" w:cs="Arial"/>
          <w:sz w:val="20"/>
        </w:rPr>
        <w:t xml:space="preserve"> = 0.04, p = 0.23, FDR q = 0.95). No other lineages showed significant associations with disease after correction for multiple comparisons. Thus, even considering only coral genera that host </w:t>
      </w:r>
      <w:r w:rsidRPr="00961490">
        <w:rPr>
          <w:rFonts w:ascii="Arial" w:hAnsi="Arial" w:cs="Arial"/>
          <w:i/>
          <w:sz w:val="20"/>
        </w:rPr>
        <w:t xml:space="preserve">Endozoicomonas, </w:t>
      </w:r>
      <w:r w:rsidRPr="00961490">
        <w:rPr>
          <w:rFonts w:ascii="Arial" w:hAnsi="Arial" w:cs="Arial"/>
          <w:sz w:val="20"/>
        </w:rPr>
        <w:t>the relative abundance of this microbe correlates with disease susceptibility.</w:t>
      </w:r>
    </w:p>
    <w:p w14:paraId="3DD599D1" w14:textId="77777777" w:rsidR="00B1460F" w:rsidRDefault="00B1460F" w:rsidP="001C0520">
      <w:pPr>
        <w:rPr>
          <w:rFonts w:ascii="Arial" w:hAnsi="Arial" w:cs="Arial"/>
          <w:sz w:val="20"/>
        </w:rPr>
      </w:pPr>
    </w:p>
    <w:p w14:paraId="467ABC7E" w14:textId="77777777" w:rsidR="00B1460F" w:rsidRDefault="00B1460F" w:rsidP="00B1460F">
      <w:pPr>
        <w:rPr>
          <w:rFonts w:ascii="Arial" w:hAnsi="Arial" w:cs="Arial"/>
          <w:sz w:val="20"/>
        </w:rPr>
      </w:pPr>
      <w:r>
        <w:rPr>
          <w:rFonts w:ascii="Arial" w:hAnsi="Arial" w:cs="Arial"/>
          <w:b/>
          <w:bCs/>
          <w:sz w:val="20"/>
        </w:rPr>
        <w:t xml:space="preserve">Other microbes associated with growth rate. </w:t>
      </w:r>
      <w:r>
        <w:rPr>
          <w:rFonts w:ascii="Arial" w:hAnsi="Arial" w:cs="Arial"/>
          <w:sz w:val="20"/>
        </w:rPr>
        <w:t xml:space="preserve">We sought to contextualize our results on </w:t>
      </w:r>
      <w:r>
        <w:rPr>
          <w:rFonts w:ascii="Arial" w:hAnsi="Arial" w:cs="Arial"/>
          <w:i/>
          <w:iCs/>
          <w:sz w:val="20"/>
        </w:rPr>
        <w:t xml:space="preserve">Endozoicomonas </w:t>
      </w:r>
      <w:r>
        <w:rPr>
          <w:rFonts w:ascii="Arial" w:hAnsi="Arial" w:cs="Arial"/>
          <w:sz w:val="20"/>
        </w:rPr>
        <w:t xml:space="preserve">and growth rate by examining whether other dominant microbes had similar associations with changes in coral growth rate over evolution (Supplementary Data Table 9a, b, Fig. S3). This analysis revealed several other microbes whose relative abundance in corals where they were present (i.e., excluding zero counts) correlated with coral growth rate. Uncultured </w:t>
      </w:r>
      <w:proofErr w:type="spellStart"/>
      <w:r>
        <w:rPr>
          <w:rFonts w:ascii="Arial" w:hAnsi="Arial" w:cs="Arial"/>
          <w:sz w:val="20"/>
        </w:rPr>
        <w:t>Rhodospirillales</w:t>
      </w:r>
      <w:proofErr w:type="spellEnd"/>
      <w:r>
        <w:rPr>
          <w:rFonts w:ascii="Arial" w:hAnsi="Arial" w:cs="Arial"/>
          <w:sz w:val="20"/>
        </w:rPr>
        <w:t xml:space="preserve"> in family </w:t>
      </w:r>
      <w:proofErr w:type="spellStart"/>
      <w:r>
        <w:rPr>
          <w:rFonts w:ascii="Arial" w:hAnsi="Arial" w:cs="Arial"/>
          <w:sz w:val="20"/>
        </w:rPr>
        <w:t>Terasakiellaceae</w:t>
      </w:r>
      <w:proofErr w:type="spellEnd"/>
      <w:r>
        <w:rPr>
          <w:rFonts w:ascii="Arial" w:hAnsi="Arial" w:cs="Arial"/>
          <w:sz w:val="20"/>
        </w:rPr>
        <w:t xml:space="preserve"> (phylum: Proteobacteria) were strongly and positively correlated with growth in all compartments. Conversely, the relative abundance of </w:t>
      </w:r>
      <w:proofErr w:type="spellStart"/>
      <w:r>
        <w:rPr>
          <w:rFonts w:ascii="Arial" w:hAnsi="Arial" w:cs="Arial"/>
          <w:i/>
          <w:iCs/>
          <w:sz w:val="20"/>
        </w:rPr>
        <w:t>Candidatus</w:t>
      </w:r>
      <w:proofErr w:type="spellEnd"/>
      <w:r>
        <w:rPr>
          <w:rFonts w:ascii="Arial" w:hAnsi="Arial" w:cs="Arial"/>
          <w:i/>
          <w:iCs/>
          <w:sz w:val="20"/>
        </w:rPr>
        <w:t xml:space="preserve"> </w:t>
      </w:r>
      <w:proofErr w:type="spellStart"/>
      <w:r>
        <w:rPr>
          <w:rFonts w:ascii="Arial" w:hAnsi="Arial" w:cs="Arial"/>
          <w:sz w:val="20"/>
        </w:rPr>
        <w:t>Nitrosopumilis</w:t>
      </w:r>
      <w:proofErr w:type="spellEnd"/>
      <w:r>
        <w:rPr>
          <w:rFonts w:ascii="Arial" w:hAnsi="Arial" w:cs="Arial"/>
          <w:sz w:val="20"/>
        </w:rPr>
        <w:t xml:space="preserve"> (phylum: </w:t>
      </w:r>
      <w:proofErr w:type="spellStart"/>
      <w:r>
        <w:rPr>
          <w:rFonts w:ascii="Arial" w:hAnsi="Arial" w:cs="Arial"/>
          <w:sz w:val="20"/>
        </w:rPr>
        <w:t>Thaumarchaeota</w:t>
      </w:r>
      <w:proofErr w:type="spellEnd"/>
      <w:r>
        <w:rPr>
          <w:rFonts w:ascii="Arial" w:hAnsi="Arial" w:cs="Arial"/>
          <w:sz w:val="20"/>
        </w:rPr>
        <w:t xml:space="preserve">) overall or in coral tissue was negatively correlated with growth rate. Finally, the relative abundance of </w:t>
      </w:r>
      <w:proofErr w:type="spellStart"/>
      <w:r>
        <w:rPr>
          <w:rFonts w:ascii="Arial" w:hAnsi="Arial" w:cs="Arial"/>
          <w:i/>
          <w:iCs/>
          <w:sz w:val="20"/>
        </w:rPr>
        <w:t>Enhydrobacter</w:t>
      </w:r>
      <w:proofErr w:type="spellEnd"/>
      <w:r>
        <w:rPr>
          <w:rFonts w:ascii="Arial" w:hAnsi="Arial" w:cs="Arial"/>
          <w:i/>
          <w:iCs/>
          <w:sz w:val="20"/>
        </w:rPr>
        <w:t xml:space="preserve"> </w:t>
      </w:r>
      <w:r>
        <w:rPr>
          <w:rFonts w:ascii="Arial" w:hAnsi="Arial" w:cs="Arial"/>
          <w:sz w:val="20"/>
        </w:rPr>
        <w:t xml:space="preserve">(phylum: Proteobacteria) in coral mucus was positively correlated with growth. </w:t>
      </w:r>
    </w:p>
    <w:p w14:paraId="3704ED37" w14:textId="77777777" w:rsidR="00931897" w:rsidRDefault="00931897" w:rsidP="00B1460F">
      <w:pPr>
        <w:rPr>
          <w:rFonts w:ascii="Arial" w:hAnsi="Arial" w:cs="Arial"/>
          <w:sz w:val="20"/>
        </w:rPr>
      </w:pPr>
    </w:p>
    <w:p w14:paraId="6D9E183E" w14:textId="41B77B60" w:rsidR="00B1460F" w:rsidRDefault="00B1460F" w:rsidP="00B1460F">
      <w:pPr>
        <w:rPr>
          <w:rFonts w:ascii="Arial" w:hAnsi="Arial" w:cs="Arial"/>
          <w:sz w:val="20"/>
        </w:rPr>
      </w:pPr>
      <w:r>
        <w:rPr>
          <w:rFonts w:ascii="Arial" w:hAnsi="Arial" w:cs="Arial"/>
          <w:sz w:val="20"/>
        </w:rPr>
        <w:t xml:space="preserve">As in our prior </w:t>
      </w:r>
      <w:r>
        <w:rPr>
          <w:rFonts w:ascii="Arial" w:hAnsi="Arial" w:cs="Arial"/>
          <w:i/>
          <w:iCs/>
          <w:sz w:val="20"/>
        </w:rPr>
        <w:t>Endozoicomonas-</w:t>
      </w:r>
      <w:r>
        <w:rPr>
          <w:rFonts w:ascii="Arial" w:hAnsi="Arial" w:cs="Arial"/>
          <w:sz w:val="20"/>
        </w:rPr>
        <w:t xml:space="preserve">specific analysis, we repeated these tests including zero counts </w:t>
      </w:r>
      <w:proofErr w:type="gramStart"/>
      <w:r>
        <w:rPr>
          <w:rFonts w:ascii="Arial" w:hAnsi="Arial" w:cs="Arial"/>
          <w:sz w:val="20"/>
        </w:rPr>
        <w:t>in order to</w:t>
      </w:r>
      <w:proofErr w:type="gramEnd"/>
      <w:r>
        <w:rPr>
          <w:rFonts w:ascii="Arial" w:hAnsi="Arial" w:cs="Arial"/>
          <w:sz w:val="20"/>
        </w:rPr>
        <w:t xml:space="preserve"> account for both initial establishment and later increases or reductions in abundance (rather than changes in abundance only). The results were similar, except that </w:t>
      </w:r>
      <w:r>
        <w:rPr>
          <w:rFonts w:ascii="Arial" w:hAnsi="Arial" w:cs="Arial"/>
          <w:i/>
          <w:iCs/>
          <w:sz w:val="20"/>
        </w:rPr>
        <w:t xml:space="preserve">Pseudomonas </w:t>
      </w:r>
      <w:r>
        <w:rPr>
          <w:rFonts w:ascii="Arial" w:hAnsi="Arial" w:cs="Arial"/>
          <w:sz w:val="20"/>
        </w:rPr>
        <w:t xml:space="preserve">in mucus and uncultured </w:t>
      </w:r>
      <w:proofErr w:type="spellStart"/>
      <w:r>
        <w:rPr>
          <w:rFonts w:ascii="Arial" w:hAnsi="Arial" w:cs="Arial"/>
          <w:sz w:val="20"/>
        </w:rPr>
        <w:t>Myxococcales</w:t>
      </w:r>
      <w:proofErr w:type="spellEnd"/>
      <w:r>
        <w:rPr>
          <w:rFonts w:ascii="Arial" w:hAnsi="Arial" w:cs="Arial"/>
          <w:sz w:val="20"/>
        </w:rPr>
        <w:t xml:space="preserve"> in skeleton were significantly associated with growth rate, while </w:t>
      </w:r>
      <w:r>
        <w:rPr>
          <w:rFonts w:ascii="Arial" w:hAnsi="Arial" w:cs="Arial"/>
          <w:i/>
          <w:iCs/>
          <w:sz w:val="20"/>
        </w:rPr>
        <w:t xml:space="preserve">Endozoicomonas </w:t>
      </w:r>
      <w:r>
        <w:rPr>
          <w:rFonts w:ascii="Arial" w:hAnsi="Arial" w:cs="Arial"/>
          <w:sz w:val="20"/>
        </w:rPr>
        <w:t xml:space="preserve">and </w:t>
      </w:r>
      <w:proofErr w:type="spellStart"/>
      <w:r>
        <w:rPr>
          <w:rFonts w:ascii="Arial" w:hAnsi="Arial" w:cs="Arial"/>
          <w:i/>
          <w:iCs/>
          <w:sz w:val="20"/>
        </w:rPr>
        <w:t>Enhydrobacter</w:t>
      </w:r>
      <w:proofErr w:type="spellEnd"/>
      <w:r>
        <w:rPr>
          <w:rFonts w:ascii="Arial" w:hAnsi="Arial" w:cs="Arial"/>
          <w:i/>
          <w:iCs/>
          <w:sz w:val="20"/>
        </w:rPr>
        <w:t xml:space="preserve"> </w:t>
      </w:r>
      <w:r>
        <w:rPr>
          <w:rFonts w:ascii="Arial" w:hAnsi="Arial" w:cs="Arial"/>
          <w:sz w:val="20"/>
        </w:rPr>
        <w:t xml:space="preserve">were not. Thus, associations between host traits and </w:t>
      </w:r>
      <w:r>
        <w:rPr>
          <w:rFonts w:ascii="Arial" w:hAnsi="Arial" w:cs="Arial"/>
          <w:sz w:val="20"/>
        </w:rPr>
        <w:lastRenderedPageBreak/>
        <w:t xml:space="preserve">the microbiome may in some cases depend only on presence or absence, while in other cases like </w:t>
      </w:r>
      <w:r w:rsidRPr="00A80437">
        <w:rPr>
          <w:rFonts w:ascii="Arial" w:hAnsi="Arial" w:cs="Arial"/>
          <w:i/>
          <w:iCs/>
          <w:sz w:val="20"/>
        </w:rPr>
        <w:t>Endozoicomonas</w:t>
      </w:r>
      <w:r>
        <w:rPr>
          <w:rFonts w:ascii="Arial" w:hAnsi="Arial" w:cs="Arial"/>
          <w:sz w:val="20"/>
        </w:rPr>
        <w:t xml:space="preserve"> these host-microbiome associations may track expansions or contractions in microbial relative abundance.</w:t>
      </w:r>
    </w:p>
    <w:p w14:paraId="38C1005F" w14:textId="77777777" w:rsidR="00931897" w:rsidRDefault="00931897" w:rsidP="001C0520">
      <w:pPr>
        <w:rPr>
          <w:rFonts w:ascii="Arial" w:hAnsi="Arial" w:cs="Arial"/>
          <w:sz w:val="20"/>
        </w:rPr>
      </w:pPr>
    </w:p>
    <w:p w14:paraId="1BB5264D" w14:textId="77777777" w:rsidR="00B1460F" w:rsidRDefault="00B1460F" w:rsidP="001C0520">
      <w:pPr>
        <w:rPr>
          <w:rFonts w:ascii="Arial" w:hAnsi="Arial" w:cs="Arial"/>
          <w:sz w:val="20"/>
        </w:rPr>
      </w:pPr>
      <w:r>
        <w:rPr>
          <w:rFonts w:ascii="Arial" w:hAnsi="Arial" w:cs="Arial"/>
          <w:sz w:val="20"/>
        </w:rPr>
        <w:t xml:space="preserve">Overall, these results suggest that while several microbial taxa correlate positively or negatively with coral growth rates, </w:t>
      </w:r>
      <w:r>
        <w:rPr>
          <w:rFonts w:ascii="Arial" w:hAnsi="Arial" w:cs="Arial"/>
          <w:i/>
          <w:iCs/>
          <w:sz w:val="20"/>
        </w:rPr>
        <w:t xml:space="preserve">Endozoicomonas </w:t>
      </w:r>
      <w:r>
        <w:rPr>
          <w:rFonts w:ascii="Arial" w:hAnsi="Arial" w:cs="Arial"/>
          <w:sz w:val="20"/>
        </w:rPr>
        <w:t>appears unique in its association with both growth and diseas</w:t>
      </w:r>
      <w:r w:rsidR="00931897">
        <w:rPr>
          <w:rFonts w:ascii="Arial" w:hAnsi="Arial" w:cs="Arial"/>
          <w:sz w:val="20"/>
        </w:rPr>
        <w:t>e.</w:t>
      </w:r>
    </w:p>
    <w:p w14:paraId="53E9F8BB" w14:textId="77777777" w:rsidR="00931897" w:rsidRDefault="00931897" w:rsidP="001C0520">
      <w:pPr>
        <w:rPr>
          <w:rFonts w:ascii="Arial" w:hAnsi="Arial" w:cs="Arial"/>
          <w:sz w:val="20"/>
        </w:rPr>
      </w:pPr>
    </w:p>
    <w:p w14:paraId="34F9C9C9" w14:textId="788E977C" w:rsidR="00931897" w:rsidRPr="00931897" w:rsidRDefault="00931897" w:rsidP="001C0520">
      <w:pPr>
        <w:rPr>
          <w:rFonts w:ascii="Arial" w:hAnsi="Arial" w:cs="Arial"/>
          <w:b/>
          <w:bCs/>
          <w:sz w:val="20"/>
        </w:rPr>
      </w:pPr>
      <w:r w:rsidRPr="00931897">
        <w:rPr>
          <w:rFonts w:ascii="Arial" w:hAnsi="Arial" w:cs="Arial"/>
          <w:b/>
          <w:bCs/>
          <w:sz w:val="20"/>
        </w:rPr>
        <w:t>References</w:t>
      </w:r>
    </w:p>
    <w:p w14:paraId="7984D28A" w14:textId="77777777" w:rsidR="00931897" w:rsidRDefault="00931897" w:rsidP="001C0520">
      <w:pPr>
        <w:rPr>
          <w:rFonts w:ascii="Arial" w:hAnsi="Arial" w:cs="Arial"/>
          <w:sz w:val="20"/>
        </w:rPr>
      </w:pPr>
    </w:p>
    <w:p w14:paraId="0EBFBC43" w14:textId="45482561" w:rsidR="00DD5C6D" w:rsidRPr="00DD5C6D" w:rsidRDefault="00931897" w:rsidP="00296D64">
      <w:pPr>
        <w:pStyle w:val="Bibliography"/>
        <w:spacing w:line="240" w:lineRule="auto"/>
        <w:rPr>
          <w:rFonts w:ascii="Arial" w:hAnsi="Arial" w:cs="Arial"/>
          <w:sz w:val="20"/>
        </w:rPr>
      </w:pPr>
      <w:r>
        <w:rPr>
          <w:rFonts w:ascii="Arial" w:hAnsi="Arial" w:cs="Arial"/>
          <w:sz w:val="20"/>
        </w:rPr>
        <w:fldChar w:fldCharType="begin"/>
      </w:r>
      <w:r>
        <w:rPr>
          <w:rFonts w:ascii="Arial" w:hAnsi="Arial" w:cs="Arial"/>
          <w:sz w:val="20"/>
        </w:rPr>
        <w:instrText xml:space="preserve"> ADDIN ZOTERO_BIBL {"uncited":[],"omitted":[],"custom":[]} CSL_BIBLIOGRAPHY </w:instrText>
      </w:r>
      <w:r>
        <w:rPr>
          <w:rFonts w:ascii="Arial" w:hAnsi="Arial" w:cs="Arial"/>
          <w:sz w:val="20"/>
        </w:rPr>
        <w:fldChar w:fldCharType="separate"/>
      </w:r>
      <w:r w:rsidR="00DD5C6D" w:rsidRPr="00DD5C6D">
        <w:rPr>
          <w:rFonts w:ascii="Arial" w:hAnsi="Arial" w:cs="Arial"/>
          <w:sz w:val="20"/>
        </w:rPr>
        <w:t>1.</w:t>
      </w:r>
      <w:r w:rsidR="00DD5C6D" w:rsidRPr="00DD5C6D">
        <w:rPr>
          <w:rFonts w:ascii="Arial" w:hAnsi="Arial" w:cs="Arial"/>
          <w:sz w:val="20"/>
        </w:rPr>
        <w:tab/>
      </w:r>
      <w:proofErr w:type="spellStart"/>
      <w:r w:rsidR="00DD5C6D" w:rsidRPr="00DD5C6D">
        <w:rPr>
          <w:rFonts w:ascii="Arial" w:hAnsi="Arial" w:cs="Arial"/>
          <w:sz w:val="20"/>
        </w:rPr>
        <w:t>Stachowicz</w:t>
      </w:r>
      <w:proofErr w:type="spellEnd"/>
      <w:r w:rsidR="00DD5C6D" w:rsidRPr="00DD5C6D">
        <w:rPr>
          <w:rFonts w:ascii="Arial" w:hAnsi="Arial" w:cs="Arial"/>
          <w:sz w:val="20"/>
        </w:rPr>
        <w:t xml:space="preserve">, J. J., </w:t>
      </w:r>
      <w:proofErr w:type="spellStart"/>
      <w:r w:rsidR="00DD5C6D" w:rsidRPr="00DD5C6D">
        <w:rPr>
          <w:rFonts w:ascii="Arial" w:hAnsi="Arial" w:cs="Arial"/>
          <w:sz w:val="20"/>
        </w:rPr>
        <w:t>Whitlatch</w:t>
      </w:r>
      <w:proofErr w:type="spellEnd"/>
      <w:r w:rsidR="00DD5C6D" w:rsidRPr="00DD5C6D">
        <w:rPr>
          <w:rFonts w:ascii="Arial" w:hAnsi="Arial" w:cs="Arial"/>
          <w:sz w:val="20"/>
        </w:rPr>
        <w:t xml:space="preserve">, R. B. &amp; Osman, R. W. Species </w:t>
      </w:r>
      <w:r w:rsidR="00296D64">
        <w:rPr>
          <w:rFonts w:ascii="Arial" w:hAnsi="Arial" w:cs="Arial"/>
          <w:sz w:val="20"/>
        </w:rPr>
        <w:t>d</w:t>
      </w:r>
      <w:r w:rsidR="00DD5C6D" w:rsidRPr="00DD5C6D">
        <w:rPr>
          <w:rFonts w:ascii="Arial" w:hAnsi="Arial" w:cs="Arial"/>
          <w:sz w:val="20"/>
        </w:rPr>
        <w:t xml:space="preserve">iversity and </w:t>
      </w:r>
      <w:r w:rsidR="00296D64">
        <w:rPr>
          <w:rFonts w:ascii="Arial" w:hAnsi="Arial" w:cs="Arial"/>
          <w:sz w:val="20"/>
        </w:rPr>
        <w:t>i</w:t>
      </w:r>
      <w:r w:rsidR="00DD5C6D" w:rsidRPr="00DD5C6D">
        <w:rPr>
          <w:rFonts w:ascii="Arial" w:hAnsi="Arial" w:cs="Arial"/>
          <w:sz w:val="20"/>
        </w:rPr>
        <w:t xml:space="preserve">nvasion </w:t>
      </w:r>
      <w:r w:rsidR="00296D64">
        <w:rPr>
          <w:rFonts w:ascii="Arial" w:hAnsi="Arial" w:cs="Arial"/>
          <w:sz w:val="20"/>
        </w:rPr>
        <w:t>r</w:t>
      </w:r>
      <w:r w:rsidR="00DD5C6D" w:rsidRPr="00DD5C6D">
        <w:rPr>
          <w:rFonts w:ascii="Arial" w:hAnsi="Arial" w:cs="Arial"/>
          <w:sz w:val="20"/>
        </w:rPr>
        <w:t xml:space="preserve">esistance in a </w:t>
      </w:r>
      <w:r w:rsidR="00296D64">
        <w:rPr>
          <w:rFonts w:ascii="Arial" w:hAnsi="Arial" w:cs="Arial"/>
          <w:sz w:val="20"/>
        </w:rPr>
        <w:t>m</w:t>
      </w:r>
      <w:r w:rsidR="00DD5C6D" w:rsidRPr="00DD5C6D">
        <w:rPr>
          <w:rFonts w:ascii="Arial" w:hAnsi="Arial" w:cs="Arial"/>
          <w:sz w:val="20"/>
        </w:rPr>
        <w:t xml:space="preserve">arine </w:t>
      </w:r>
      <w:r w:rsidR="00296D64">
        <w:rPr>
          <w:rFonts w:ascii="Arial" w:hAnsi="Arial" w:cs="Arial"/>
          <w:sz w:val="20"/>
        </w:rPr>
        <w:t>e</w:t>
      </w:r>
      <w:r w:rsidR="00DD5C6D" w:rsidRPr="00DD5C6D">
        <w:rPr>
          <w:rFonts w:ascii="Arial" w:hAnsi="Arial" w:cs="Arial"/>
          <w:sz w:val="20"/>
        </w:rPr>
        <w:t xml:space="preserve">cosystem. </w:t>
      </w:r>
      <w:r w:rsidR="00DD5C6D" w:rsidRPr="00DD5C6D">
        <w:rPr>
          <w:rFonts w:ascii="Arial" w:hAnsi="Arial" w:cs="Arial"/>
          <w:i/>
          <w:iCs/>
          <w:sz w:val="20"/>
        </w:rPr>
        <w:t>Science</w:t>
      </w:r>
      <w:r w:rsidR="00DD5C6D" w:rsidRPr="00DD5C6D">
        <w:rPr>
          <w:rFonts w:ascii="Arial" w:hAnsi="Arial" w:cs="Arial"/>
          <w:sz w:val="20"/>
        </w:rPr>
        <w:t xml:space="preserve"> </w:t>
      </w:r>
      <w:r w:rsidR="00DD5C6D" w:rsidRPr="00DD5C6D">
        <w:rPr>
          <w:rFonts w:ascii="Arial" w:hAnsi="Arial" w:cs="Arial"/>
          <w:b/>
          <w:bCs/>
          <w:sz w:val="20"/>
        </w:rPr>
        <w:t>286</w:t>
      </w:r>
      <w:r w:rsidR="00DD5C6D" w:rsidRPr="00DD5C6D">
        <w:rPr>
          <w:rFonts w:ascii="Arial" w:hAnsi="Arial" w:cs="Arial"/>
          <w:sz w:val="20"/>
        </w:rPr>
        <w:t>, 1577–1579 (1999).</w:t>
      </w:r>
    </w:p>
    <w:p w14:paraId="6CA61175"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2.</w:t>
      </w:r>
      <w:r w:rsidRPr="00DD5C6D">
        <w:rPr>
          <w:rFonts w:ascii="Arial" w:hAnsi="Arial" w:cs="Arial"/>
          <w:sz w:val="20"/>
        </w:rPr>
        <w:tab/>
      </w:r>
      <w:proofErr w:type="spellStart"/>
      <w:r w:rsidRPr="00DD5C6D">
        <w:rPr>
          <w:rFonts w:ascii="Arial" w:hAnsi="Arial" w:cs="Arial"/>
          <w:sz w:val="20"/>
        </w:rPr>
        <w:t>Morais</w:t>
      </w:r>
      <w:proofErr w:type="spellEnd"/>
      <w:r w:rsidRPr="00DD5C6D">
        <w:rPr>
          <w:rFonts w:ascii="Arial" w:hAnsi="Arial" w:cs="Arial"/>
          <w:sz w:val="20"/>
        </w:rPr>
        <w:t xml:space="preserve">, J., Cardoso, A. P. L. R. &amp; Santos, B. A. A global synthesis of the current knowledge on the taxonomic and geographic distribution of major coral diseases. </w:t>
      </w:r>
      <w:r w:rsidRPr="00DD5C6D">
        <w:rPr>
          <w:rFonts w:ascii="Arial" w:hAnsi="Arial" w:cs="Arial"/>
          <w:i/>
          <w:iCs/>
          <w:sz w:val="20"/>
        </w:rPr>
        <w:t>Environmental Advances</w:t>
      </w:r>
      <w:r w:rsidRPr="00DD5C6D">
        <w:rPr>
          <w:rFonts w:ascii="Arial" w:hAnsi="Arial" w:cs="Arial"/>
          <w:sz w:val="20"/>
        </w:rPr>
        <w:t xml:space="preserve"> </w:t>
      </w:r>
      <w:r w:rsidRPr="00DD5C6D">
        <w:rPr>
          <w:rFonts w:ascii="Arial" w:hAnsi="Arial" w:cs="Arial"/>
          <w:b/>
          <w:bCs/>
          <w:sz w:val="20"/>
        </w:rPr>
        <w:t>8</w:t>
      </w:r>
      <w:r w:rsidRPr="00DD5C6D">
        <w:rPr>
          <w:rFonts w:ascii="Arial" w:hAnsi="Arial" w:cs="Arial"/>
          <w:sz w:val="20"/>
        </w:rPr>
        <w:t>, 100231 (2022).</w:t>
      </w:r>
    </w:p>
    <w:p w14:paraId="39F89B68"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3.</w:t>
      </w:r>
      <w:r w:rsidRPr="00DD5C6D">
        <w:rPr>
          <w:rFonts w:ascii="Arial" w:hAnsi="Arial" w:cs="Arial"/>
          <w:sz w:val="20"/>
        </w:rPr>
        <w:tab/>
      </w:r>
      <w:proofErr w:type="spellStart"/>
      <w:r w:rsidRPr="00DD5C6D">
        <w:rPr>
          <w:rFonts w:ascii="Arial" w:hAnsi="Arial" w:cs="Arial"/>
          <w:sz w:val="20"/>
        </w:rPr>
        <w:t>Klinges</w:t>
      </w:r>
      <w:proofErr w:type="spellEnd"/>
      <w:r w:rsidRPr="00DD5C6D">
        <w:rPr>
          <w:rFonts w:ascii="Arial" w:hAnsi="Arial" w:cs="Arial"/>
          <w:sz w:val="20"/>
        </w:rPr>
        <w:t>, G., Maher, R. L., Vega Thurber, R. L. &amp; Muller, E. M. Parasitic ‘</w:t>
      </w:r>
      <w:proofErr w:type="spellStart"/>
      <w:r w:rsidRPr="00296D64">
        <w:rPr>
          <w:rFonts w:ascii="Arial" w:hAnsi="Arial" w:cs="Arial"/>
          <w:i/>
          <w:iCs/>
          <w:sz w:val="20"/>
        </w:rPr>
        <w:t>Candidatus</w:t>
      </w:r>
      <w:proofErr w:type="spellEnd"/>
      <w:r w:rsidRPr="00DD5C6D">
        <w:rPr>
          <w:rFonts w:ascii="Arial" w:hAnsi="Arial" w:cs="Arial"/>
          <w:sz w:val="20"/>
        </w:rPr>
        <w:t xml:space="preserve"> </w:t>
      </w:r>
      <w:proofErr w:type="spellStart"/>
      <w:r w:rsidRPr="00DD5C6D">
        <w:rPr>
          <w:rFonts w:ascii="Arial" w:hAnsi="Arial" w:cs="Arial"/>
          <w:sz w:val="20"/>
        </w:rPr>
        <w:t>Aquarickettsia</w:t>
      </w:r>
      <w:proofErr w:type="spellEnd"/>
      <w:r w:rsidRPr="00DD5C6D">
        <w:rPr>
          <w:rFonts w:ascii="Arial" w:hAnsi="Arial" w:cs="Arial"/>
          <w:sz w:val="20"/>
        </w:rPr>
        <w:t xml:space="preserve"> </w:t>
      </w:r>
      <w:proofErr w:type="spellStart"/>
      <w:r w:rsidRPr="00DD5C6D">
        <w:rPr>
          <w:rFonts w:ascii="Arial" w:hAnsi="Arial" w:cs="Arial"/>
          <w:sz w:val="20"/>
        </w:rPr>
        <w:t>rohweri</w:t>
      </w:r>
      <w:proofErr w:type="spellEnd"/>
      <w:r w:rsidRPr="00DD5C6D">
        <w:rPr>
          <w:rFonts w:ascii="Arial" w:hAnsi="Arial" w:cs="Arial"/>
          <w:sz w:val="20"/>
        </w:rPr>
        <w:t xml:space="preserve">’ is a marker of disease susceptibility in </w:t>
      </w:r>
      <w:r w:rsidRPr="00296D64">
        <w:rPr>
          <w:rFonts w:ascii="Arial" w:hAnsi="Arial" w:cs="Arial"/>
          <w:i/>
          <w:iCs/>
          <w:sz w:val="20"/>
        </w:rPr>
        <w:t xml:space="preserve">Acropora </w:t>
      </w:r>
      <w:proofErr w:type="spellStart"/>
      <w:r w:rsidRPr="00296D64">
        <w:rPr>
          <w:rFonts w:ascii="Arial" w:hAnsi="Arial" w:cs="Arial"/>
          <w:i/>
          <w:iCs/>
          <w:sz w:val="20"/>
        </w:rPr>
        <w:t>cervicornis</w:t>
      </w:r>
      <w:proofErr w:type="spellEnd"/>
      <w:r w:rsidRPr="00DD5C6D">
        <w:rPr>
          <w:rFonts w:ascii="Arial" w:hAnsi="Arial" w:cs="Arial"/>
          <w:sz w:val="20"/>
        </w:rPr>
        <w:t xml:space="preserve"> but is lost during thermal stress. </w:t>
      </w:r>
      <w:r w:rsidRPr="00DD5C6D">
        <w:rPr>
          <w:rFonts w:ascii="Arial" w:hAnsi="Arial" w:cs="Arial"/>
          <w:i/>
          <w:iCs/>
          <w:sz w:val="20"/>
        </w:rPr>
        <w:t>Environmental Microbiology</w:t>
      </w:r>
      <w:r w:rsidRPr="00DD5C6D">
        <w:rPr>
          <w:rFonts w:ascii="Arial" w:hAnsi="Arial" w:cs="Arial"/>
          <w:sz w:val="20"/>
        </w:rPr>
        <w:t xml:space="preserve"> </w:t>
      </w:r>
      <w:r w:rsidRPr="00DD5C6D">
        <w:rPr>
          <w:rFonts w:ascii="Arial" w:hAnsi="Arial" w:cs="Arial"/>
          <w:b/>
          <w:bCs/>
          <w:sz w:val="20"/>
        </w:rPr>
        <w:t>22</w:t>
      </w:r>
      <w:r w:rsidRPr="00DD5C6D">
        <w:rPr>
          <w:rFonts w:ascii="Arial" w:hAnsi="Arial" w:cs="Arial"/>
          <w:sz w:val="20"/>
        </w:rPr>
        <w:t>, 5341–5355 (2020).</w:t>
      </w:r>
    </w:p>
    <w:p w14:paraId="116EBFD3"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4.</w:t>
      </w:r>
      <w:r w:rsidRPr="00DD5C6D">
        <w:rPr>
          <w:rFonts w:ascii="Arial" w:hAnsi="Arial" w:cs="Arial"/>
          <w:sz w:val="20"/>
        </w:rPr>
        <w:tab/>
        <w:t xml:space="preserve">Baker, L. J. </w:t>
      </w:r>
      <w:r w:rsidRPr="00DD5C6D">
        <w:rPr>
          <w:rFonts w:ascii="Arial" w:hAnsi="Arial" w:cs="Arial"/>
          <w:i/>
          <w:iCs/>
          <w:sz w:val="20"/>
        </w:rPr>
        <w:t>et al.</w:t>
      </w:r>
      <w:r w:rsidRPr="00DD5C6D">
        <w:rPr>
          <w:rFonts w:ascii="Arial" w:hAnsi="Arial" w:cs="Arial"/>
          <w:sz w:val="20"/>
        </w:rPr>
        <w:t xml:space="preserve"> The coral symbiont </w:t>
      </w:r>
      <w:proofErr w:type="spellStart"/>
      <w:r w:rsidRPr="00296D64">
        <w:rPr>
          <w:rFonts w:ascii="Arial" w:hAnsi="Arial" w:cs="Arial"/>
          <w:i/>
          <w:iCs/>
          <w:sz w:val="20"/>
        </w:rPr>
        <w:t>Candidatus</w:t>
      </w:r>
      <w:proofErr w:type="spellEnd"/>
      <w:r w:rsidRPr="00DD5C6D">
        <w:rPr>
          <w:rFonts w:ascii="Arial" w:hAnsi="Arial" w:cs="Arial"/>
          <w:sz w:val="20"/>
        </w:rPr>
        <w:t xml:space="preserve"> </w:t>
      </w:r>
      <w:proofErr w:type="spellStart"/>
      <w:r w:rsidRPr="00DD5C6D">
        <w:rPr>
          <w:rFonts w:ascii="Arial" w:hAnsi="Arial" w:cs="Arial"/>
          <w:sz w:val="20"/>
        </w:rPr>
        <w:t>Aquarickettsia</w:t>
      </w:r>
      <w:proofErr w:type="spellEnd"/>
      <w:r w:rsidRPr="00DD5C6D">
        <w:rPr>
          <w:rFonts w:ascii="Arial" w:hAnsi="Arial" w:cs="Arial"/>
          <w:sz w:val="20"/>
        </w:rPr>
        <w:t xml:space="preserve"> is variably abundant in threatened Caribbean </w:t>
      </w:r>
      <w:proofErr w:type="spellStart"/>
      <w:r w:rsidRPr="00DD5C6D">
        <w:rPr>
          <w:rFonts w:ascii="Arial" w:hAnsi="Arial" w:cs="Arial"/>
          <w:sz w:val="20"/>
        </w:rPr>
        <w:t>acroporids</w:t>
      </w:r>
      <w:proofErr w:type="spellEnd"/>
      <w:r w:rsidRPr="00DD5C6D">
        <w:rPr>
          <w:rFonts w:ascii="Arial" w:hAnsi="Arial" w:cs="Arial"/>
          <w:sz w:val="20"/>
        </w:rPr>
        <w:t xml:space="preserve"> and transmitted horizontally. </w:t>
      </w:r>
      <w:r w:rsidRPr="00DD5C6D">
        <w:rPr>
          <w:rFonts w:ascii="Arial" w:hAnsi="Arial" w:cs="Arial"/>
          <w:i/>
          <w:iCs/>
          <w:sz w:val="20"/>
        </w:rPr>
        <w:t>ISME J</w:t>
      </w:r>
      <w:r w:rsidRPr="00DD5C6D">
        <w:rPr>
          <w:rFonts w:ascii="Arial" w:hAnsi="Arial" w:cs="Arial"/>
          <w:sz w:val="20"/>
        </w:rPr>
        <w:t xml:space="preserve"> </w:t>
      </w:r>
      <w:r w:rsidRPr="00DD5C6D">
        <w:rPr>
          <w:rFonts w:ascii="Arial" w:hAnsi="Arial" w:cs="Arial"/>
          <w:b/>
          <w:bCs/>
          <w:sz w:val="20"/>
        </w:rPr>
        <w:t>16</w:t>
      </w:r>
      <w:r w:rsidRPr="00DD5C6D">
        <w:rPr>
          <w:rFonts w:ascii="Arial" w:hAnsi="Arial" w:cs="Arial"/>
          <w:sz w:val="20"/>
        </w:rPr>
        <w:t>, 400–411 (2022).</w:t>
      </w:r>
    </w:p>
    <w:p w14:paraId="60C1A95D"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5.</w:t>
      </w:r>
      <w:r w:rsidRPr="00DD5C6D">
        <w:rPr>
          <w:rFonts w:ascii="Arial" w:hAnsi="Arial" w:cs="Arial"/>
          <w:sz w:val="20"/>
        </w:rPr>
        <w:tab/>
      </w:r>
      <w:proofErr w:type="spellStart"/>
      <w:r w:rsidRPr="00DD5C6D">
        <w:rPr>
          <w:rFonts w:ascii="Arial" w:hAnsi="Arial" w:cs="Arial"/>
          <w:sz w:val="20"/>
        </w:rPr>
        <w:t>Pantos</w:t>
      </w:r>
      <w:proofErr w:type="spellEnd"/>
      <w:r w:rsidRPr="00DD5C6D">
        <w:rPr>
          <w:rFonts w:ascii="Arial" w:hAnsi="Arial" w:cs="Arial"/>
          <w:sz w:val="20"/>
        </w:rPr>
        <w:t xml:space="preserve">, O. </w:t>
      </w:r>
      <w:r w:rsidRPr="00DD5C6D">
        <w:rPr>
          <w:rFonts w:ascii="Arial" w:hAnsi="Arial" w:cs="Arial"/>
          <w:i/>
          <w:iCs/>
          <w:sz w:val="20"/>
        </w:rPr>
        <w:t>et al.</w:t>
      </w:r>
      <w:r w:rsidRPr="00DD5C6D">
        <w:rPr>
          <w:rFonts w:ascii="Arial" w:hAnsi="Arial" w:cs="Arial"/>
          <w:sz w:val="20"/>
        </w:rPr>
        <w:t xml:space="preserve"> The bacterial ecology of a plague-like disease affecting the Caribbean coral </w:t>
      </w:r>
      <w:proofErr w:type="spellStart"/>
      <w:r w:rsidRPr="00296D64">
        <w:rPr>
          <w:rFonts w:ascii="Arial" w:hAnsi="Arial" w:cs="Arial"/>
          <w:i/>
          <w:iCs/>
          <w:sz w:val="20"/>
        </w:rPr>
        <w:t>Montastrea</w:t>
      </w:r>
      <w:proofErr w:type="spellEnd"/>
      <w:r w:rsidRPr="00296D64">
        <w:rPr>
          <w:rFonts w:ascii="Arial" w:hAnsi="Arial" w:cs="Arial"/>
          <w:i/>
          <w:iCs/>
          <w:sz w:val="20"/>
        </w:rPr>
        <w:t xml:space="preserve"> </w:t>
      </w:r>
      <w:proofErr w:type="spellStart"/>
      <w:r w:rsidRPr="00296D64">
        <w:rPr>
          <w:rFonts w:ascii="Arial" w:hAnsi="Arial" w:cs="Arial"/>
          <w:i/>
          <w:iCs/>
          <w:sz w:val="20"/>
        </w:rPr>
        <w:t>annularis</w:t>
      </w:r>
      <w:proofErr w:type="spellEnd"/>
      <w:r w:rsidRPr="00DD5C6D">
        <w:rPr>
          <w:rFonts w:ascii="Arial" w:hAnsi="Arial" w:cs="Arial"/>
          <w:sz w:val="20"/>
        </w:rPr>
        <w:t xml:space="preserve">. </w:t>
      </w:r>
      <w:r w:rsidRPr="00DD5C6D">
        <w:rPr>
          <w:rFonts w:ascii="Arial" w:hAnsi="Arial" w:cs="Arial"/>
          <w:i/>
          <w:iCs/>
          <w:sz w:val="20"/>
        </w:rPr>
        <w:t>Environmental Microbiology</w:t>
      </w:r>
      <w:r w:rsidRPr="00DD5C6D">
        <w:rPr>
          <w:rFonts w:ascii="Arial" w:hAnsi="Arial" w:cs="Arial"/>
          <w:sz w:val="20"/>
        </w:rPr>
        <w:t xml:space="preserve"> </w:t>
      </w:r>
      <w:r w:rsidRPr="00DD5C6D">
        <w:rPr>
          <w:rFonts w:ascii="Arial" w:hAnsi="Arial" w:cs="Arial"/>
          <w:b/>
          <w:bCs/>
          <w:sz w:val="20"/>
        </w:rPr>
        <w:t>5</w:t>
      </w:r>
      <w:r w:rsidRPr="00DD5C6D">
        <w:rPr>
          <w:rFonts w:ascii="Arial" w:hAnsi="Arial" w:cs="Arial"/>
          <w:sz w:val="20"/>
        </w:rPr>
        <w:t>, 370–382 (2003).</w:t>
      </w:r>
    </w:p>
    <w:p w14:paraId="008B38F8" w14:textId="77777777" w:rsidR="00DD5C6D" w:rsidRPr="00DD5C6D" w:rsidRDefault="00DD5C6D" w:rsidP="00296D64">
      <w:pPr>
        <w:pStyle w:val="Bibliography"/>
        <w:spacing w:line="240" w:lineRule="auto"/>
        <w:rPr>
          <w:rFonts w:ascii="Arial" w:hAnsi="Arial" w:cs="Arial"/>
          <w:sz w:val="20"/>
        </w:rPr>
      </w:pPr>
      <w:r w:rsidRPr="00DD5C6D">
        <w:rPr>
          <w:rFonts w:ascii="Arial" w:hAnsi="Arial" w:cs="Arial"/>
          <w:sz w:val="20"/>
        </w:rPr>
        <w:t>6.</w:t>
      </w:r>
      <w:r w:rsidRPr="00DD5C6D">
        <w:rPr>
          <w:rFonts w:ascii="Arial" w:hAnsi="Arial" w:cs="Arial"/>
          <w:sz w:val="20"/>
        </w:rPr>
        <w:tab/>
        <w:t xml:space="preserve">Vega Thurber, R. </w:t>
      </w:r>
      <w:r w:rsidRPr="00DD5C6D">
        <w:rPr>
          <w:rFonts w:ascii="Arial" w:hAnsi="Arial" w:cs="Arial"/>
          <w:i/>
          <w:iCs/>
          <w:sz w:val="20"/>
        </w:rPr>
        <w:t>et al.</w:t>
      </w:r>
      <w:r w:rsidRPr="00DD5C6D">
        <w:rPr>
          <w:rFonts w:ascii="Arial" w:hAnsi="Arial" w:cs="Arial"/>
          <w:sz w:val="20"/>
        </w:rPr>
        <w:t xml:space="preserve"> Deciphering Coral Disease Dynamics: Integrating Host, Microbiome, and the Changing Environment. </w:t>
      </w:r>
      <w:r w:rsidRPr="00DD5C6D">
        <w:rPr>
          <w:rFonts w:ascii="Arial" w:hAnsi="Arial" w:cs="Arial"/>
          <w:i/>
          <w:iCs/>
          <w:sz w:val="20"/>
        </w:rPr>
        <w:t>Frontiers in Ecology and Evolution</w:t>
      </w:r>
      <w:r w:rsidRPr="00DD5C6D">
        <w:rPr>
          <w:rFonts w:ascii="Arial" w:hAnsi="Arial" w:cs="Arial"/>
          <w:sz w:val="20"/>
        </w:rPr>
        <w:t xml:space="preserve"> </w:t>
      </w:r>
      <w:r w:rsidRPr="00DD5C6D">
        <w:rPr>
          <w:rFonts w:ascii="Arial" w:hAnsi="Arial" w:cs="Arial"/>
          <w:b/>
          <w:bCs/>
          <w:sz w:val="20"/>
        </w:rPr>
        <w:t>8</w:t>
      </w:r>
      <w:r w:rsidRPr="00DD5C6D">
        <w:rPr>
          <w:rFonts w:ascii="Arial" w:hAnsi="Arial" w:cs="Arial"/>
          <w:sz w:val="20"/>
        </w:rPr>
        <w:t>, (2020).</w:t>
      </w:r>
    </w:p>
    <w:p w14:paraId="1B65F99C" w14:textId="30F5CD46" w:rsidR="00931897" w:rsidRDefault="00931897" w:rsidP="00296D64">
      <w:pPr>
        <w:rPr>
          <w:rFonts w:ascii="Arial" w:hAnsi="Arial" w:cs="Arial"/>
          <w:sz w:val="20"/>
        </w:rPr>
      </w:pPr>
      <w:r>
        <w:rPr>
          <w:rFonts w:ascii="Arial" w:hAnsi="Arial" w:cs="Arial"/>
          <w:sz w:val="20"/>
        </w:rPr>
        <w:fldChar w:fldCharType="end"/>
      </w:r>
    </w:p>
    <w:p w14:paraId="2ABCBF16" w14:textId="65769E9C" w:rsidR="00931897" w:rsidRPr="00DC623A" w:rsidRDefault="00931897" w:rsidP="001C0520">
      <w:pPr>
        <w:rPr>
          <w:rFonts w:ascii="Arial" w:hAnsi="Arial" w:cs="Arial"/>
          <w:sz w:val="20"/>
        </w:rPr>
        <w:sectPr w:rsidR="00931897" w:rsidRPr="00DC623A" w:rsidSect="009F568B">
          <w:headerReference w:type="default" r:id="rId8"/>
          <w:footerReference w:type="even" r:id="rId9"/>
          <w:footerReference w:type="default" r:id="rId10"/>
          <w:pgSz w:w="12240" w:h="15840"/>
          <w:pgMar w:top="1440" w:right="1800" w:bottom="1440" w:left="1800" w:header="720" w:footer="720" w:gutter="0"/>
          <w:pgNumType w:start="1"/>
          <w:cols w:space="720"/>
          <w:docGrid w:linePitch="360"/>
        </w:sectPr>
      </w:pPr>
      <w:r>
        <w:rPr>
          <w:rFonts w:ascii="Arial" w:hAnsi="Arial" w:cs="Arial"/>
          <w:sz w:val="20"/>
        </w:rPr>
        <w:br/>
      </w:r>
    </w:p>
    <w:p w14:paraId="7BD0029A" w14:textId="77777777" w:rsidR="00D04CB7" w:rsidRDefault="00D04CB7" w:rsidP="00D04CB7">
      <w:pPr>
        <w:pStyle w:val="SMText"/>
        <w:ind w:firstLine="0"/>
        <w:rPr>
          <w:rFonts w:ascii="Arial" w:hAnsi="Arial" w:cs="Arial"/>
          <w:b/>
          <w:bCs/>
          <w:sz w:val="20"/>
        </w:rPr>
      </w:pPr>
      <w:bookmarkStart w:id="0" w:name="Tables"/>
      <w:bookmarkStart w:id="1" w:name="MaterialsMethods"/>
      <w:bookmarkEnd w:id="0"/>
      <w:bookmarkEnd w:id="1"/>
      <w:r>
        <w:rPr>
          <w:rFonts w:ascii="Arial" w:hAnsi="Arial" w:cs="Arial"/>
          <w:b/>
          <w:bCs/>
          <w:noProof/>
          <w:sz w:val="20"/>
        </w:rPr>
        <w:lastRenderedPageBreak/>
        <w:drawing>
          <wp:inline distT="0" distB="0" distL="0" distR="0" wp14:anchorId="2D3076D5" wp14:editId="7B953102">
            <wp:extent cx="4539288" cy="77467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143" cy="7753376"/>
                    </a:xfrm>
                    <a:prstGeom prst="rect">
                      <a:avLst/>
                    </a:prstGeom>
                  </pic:spPr>
                </pic:pic>
              </a:graphicData>
            </a:graphic>
          </wp:inline>
        </w:drawing>
      </w:r>
    </w:p>
    <w:p w14:paraId="20DD7C68" w14:textId="19718F0A" w:rsidR="00D04CB7" w:rsidRDefault="007411A1" w:rsidP="00D04CB7">
      <w:pPr>
        <w:pStyle w:val="SMText"/>
        <w:ind w:firstLine="0"/>
        <w:rPr>
          <w:rFonts w:ascii="Arial" w:hAnsi="Arial" w:cs="Arial"/>
          <w:bCs/>
          <w:sz w:val="20"/>
        </w:rPr>
      </w:pPr>
      <w:r w:rsidRPr="00D04CB7">
        <w:rPr>
          <w:rFonts w:ascii="Arial" w:hAnsi="Arial" w:cs="Arial"/>
          <w:b/>
          <w:bCs/>
          <w:sz w:val="20"/>
        </w:rPr>
        <w:t>Fig. S1.</w:t>
      </w:r>
      <w:r w:rsidR="00B42F9C" w:rsidRPr="00DC623A">
        <w:rPr>
          <w:rFonts w:ascii="Arial" w:hAnsi="Arial" w:cs="Arial"/>
          <w:sz w:val="20"/>
        </w:rPr>
        <w:t xml:space="preserve"> </w:t>
      </w:r>
      <w:r w:rsidR="00D04CB7">
        <w:rPr>
          <w:rFonts w:ascii="Arial" w:hAnsi="Arial" w:cs="Arial"/>
          <w:b/>
          <w:sz w:val="20"/>
        </w:rPr>
        <w:t xml:space="preserve"> </w:t>
      </w:r>
      <w:r w:rsidR="00D04CB7" w:rsidRPr="00D04CB7">
        <w:rPr>
          <w:rFonts w:ascii="Arial" w:hAnsi="Arial" w:cs="Arial"/>
          <w:bCs/>
          <w:sz w:val="20"/>
        </w:rPr>
        <w:t>Ancestral state reconstructions mirroring disease susceptibility and microbial alpha diversity metrics, including A) species richness, B) evenness (Gini Index), and C) dominance (Simpson’s Index).</w:t>
      </w:r>
      <w:r w:rsidR="00D04CB7">
        <w:rPr>
          <w:rFonts w:ascii="Arial" w:hAnsi="Arial" w:cs="Arial"/>
          <w:bCs/>
          <w:sz w:val="20"/>
        </w:rPr>
        <w:br w:type="page"/>
      </w:r>
    </w:p>
    <w:p w14:paraId="34892AE8" w14:textId="4C57872C" w:rsidR="00D04CB7" w:rsidRPr="00D04CB7" w:rsidRDefault="00D04CB7" w:rsidP="00D04CB7">
      <w:pPr>
        <w:pStyle w:val="SMText"/>
        <w:ind w:firstLine="0"/>
        <w:rPr>
          <w:rFonts w:ascii="Arial" w:hAnsi="Arial" w:cs="Arial"/>
          <w:bCs/>
          <w:sz w:val="20"/>
        </w:rPr>
      </w:pPr>
      <w:r>
        <w:rPr>
          <w:rFonts w:ascii="Arial" w:hAnsi="Arial" w:cs="Arial"/>
          <w:bCs/>
          <w:noProof/>
          <w:sz w:val="20"/>
        </w:rPr>
        <w:lastRenderedPageBreak/>
        <w:drawing>
          <wp:inline distT="0" distB="0" distL="0" distR="0" wp14:anchorId="54E986F0" wp14:editId="6B68CF18">
            <wp:extent cx="5486400" cy="6366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6366510"/>
                    </a:xfrm>
                    <a:prstGeom prst="rect">
                      <a:avLst/>
                    </a:prstGeom>
                  </pic:spPr>
                </pic:pic>
              </a:graphicData>
            </a:graphic>
          </wp:inline>
        </w:drawing>
      </w:r>
    </w:p>
    <w:p w14:paraId="6888F658" w14:textId="2F7EC435" w:rsidR="00477182" w:rsidRPr="00DC623A" w:rsidRDefault="00112C5B" w:rsidP="00B42F9C">
      <w:pPr>
        <w:pStyle w:val="SMHeading"/>
        <w:rPr>
          <w:rFonts w:ascii="Arial" w:hAnsi="Arial" w:cs="Arial"/>
          <w:sz w:val="20"/>
          <w:szCs w:val="20"/>
        </w:rPr>
      </w:pPr>
      <w:r w:rsidRPr="00DC623A">
        <w:rPr>
          <w:rFonts w:ascii="Arial" w:hAnsi="Arial" w:cs="Arial"/>
          <w:sz w:val="20"/>
          <w:szCs w:val="20"/>
        </w:rPr>
        <w:t>Fig. S2</w:t>
      </w:r>
      <w:r w:rsidR="00B42F9C" w:rsidRPr="00DC623A">
        <w:rPr>
          <w:rFonts w:ascii="Arial" w:hAnsi="Arial" w:cs="Arial"/>
          <w:sz w:val="20"/>
          <w:szCs w:val="20"/>
        </w:rPr>
        <w:t xml:space="preserve">. </w:t>
      </w:r>
      <w:r w:rsidR="00D04CB7">
        <w:rPr>
          <w:rFonts w:ascii="Arial" w:hAnsi="Arial" w:cs="Arial"/>
          <w:b w:val="0"/>
          <w:sz w:val="20"/>
          <w:szCs w:val="20"/>
        </w:rPr>
        <w:t xml:space="preserve">Ancestral state reconstructions mirroring disease susceptibility and microbial dominance of A) Alphaproteobacteria only and B) </w:t>
      </w:r>
      <w:proofErr w:type="spellStart"/>
      <w:r w:rsidR="00D04CB7">
        <w:rPr>
          <w:rFonts w:ascii="Arial" w:hAnsi="Arial" w:cs="Arial"/>
          <w:b w:val="0"/>
          <w:sz w:val="20"/>
          <w:szCs w:val="20"/>
        </w:rPr>
        <w:t>Gammaproteobacteria</w:t>
      </w:r>
      <w:proofErr w:type="spellEnd"/>
      <w:r w:rsidR="00D04CB7">
        <w:rPr>
          <w:rFonts w:ascii="Arial" w:hAnsi="Arial" w:cs="Arial"/>
          <w:b w:val="0"/>
          <w:sz w:val="20"/>
          <w:szCs w:val="20"/>
        </w:rPr>
        <w:t xml:space="preserve"> only.</w:t>
      </w:r>
    </w:p>
    <w:p w14:paraId="695F73DE" w14:textId="0986C0DE" w:rsidR="00D04CB7" w:rsidRDefault="00D04CB7" w:rsidP="00670299">
      <w:pPr>
        <w:pStyle w:val="SMcaption"/>
        <w:rPr>
          <w:rFonts w:ascii="Arial" w:hAnsi="Arial" w:cs="Arial"/>
          <w:sz w:val="20"/>
        </w:rPr>
      </w:pPr>
      <w:r>
        <w:rPr>
          <w:rFonts w:ascii="Arial" w:hAnsi="Arial" w:cs="Arial"/>
          <w:sz w:val="20"/>
        </w:rPr>
        <w:br w:type="page"/>
      </w:r>
    </w:p>
    <w:p w14:paraId="5A1A79CC" w14:textId="010C3C07" w:rsidR="009A5287" w:rsidRPr="00D04CB7" w:rsidRDefault="00D04CB7" w:rsidP="00B42F9C">
      <w:pPr>
        <w:pStyle w:val="SMHeading"/>
        <w:rPr>
          <w:rFonts w:ascii="Arial" w:hAnsi="Arial" w:cs="Arial"/>
          <w:b w:val="0"/>
          <w:sz w:val="20"/>
          <w:szCs w:val="20"/>
        </w:rPr>
      </w:pPr>
      <w:r>
        <w:rPr>
          <w:rFonts w:ascii="Arial" w:hAnsi="Arial" w:cs="Arial"/>
          <w:noProof/>
          <w:sz w:val="20"/>
          <w:szCs w:val="20"/>
        </w:rPr>
        <w:lastRenderedPageBreak/>
        <w:drawing>
          <wp:inline distT="0" distB="0" distL="0" distR="0" wp14:anchorId="4D6778FD" wp14:editId="4AD33B53">
            <wp:extent cx="5486400" cy="206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r>
        <w:rPr>
          <w:rFonts w:ascii="Arial" w:hAnsi="Arial" w:cs="Arial"/>
          <w:sz w:val="20"/>
          <w:szCs w:val="20"/>
        </w:rPr>
        <w:t>Fig. S3</w:t>
      </w:r>
      <w:r w:rsidR="00015F74" w:rsidRPr="00DC623A">
        <w:rPr>
          <w:rFonts w:ascii="Arial" w:hAnsi="Arial" w:cs="Arial"/>
          <w:sz w:val="20"/>
          <w:szCs w:val="20"/>
        </w:rPr>
        <w:t>.</w:t>
      </w:r>
      <w:r w:rsidR="00B42F9C" w:rsidRPr="00DC623A">
        <w:rPr>
          <w:rFonts w:ascii="Arial" w:hAnsi="Arial" w:cs="Arial"/>
          <w:sz w:val="20"/>
          <w:szCs w:val="20"/>
        </w:rPr>
        <w:t xml:space="preserve"> </w:t>
      </w:r>
      <w:r w:rsidRPr="00D04CB7">
        <w:rPr>
          <w:rFonts w:ascii="Arial" w:hAnsi="Arial" w:cs="Arial"/>
          <w:bCs w:val="0"/>
          <w:sz w:val="20"/>
          <w:szCs w:val="20"/>
        </w:rPr>
        <w:t>Growth rate vs. dominant taxon abundance (zeros excluded)</w:t>
      </w:r>
      <w:r>
        <w:rPr>
          <w:rFonts w:ascii="Arial" w:hAnsi="Arial" w:cs="Arial"/>
          <w:b w:val="0"/>
          <w:sz w:val="20"/>
          <w:szCs w:val="20"/>
        </w:rPr>
        <w:t>. R</w:t>
      </w:r>
      <w:r>
        <w:rPr>
          <w:rFonts w:ascii="Arial" w:hAnsi="Arial" w:cs="Arial"/>
          <w:b w:val="0"/>
          <w:sz w:val="20"/>
          <w:szCs w:val="20"/>
          <w:vertAlign w:val="superscript"/>
        </w:rPr>
        <w:t>2</w:t>
      </w:r>
      <w:r>
        <w:rPr>
          <w:rFonts w:ascii="Arial" w:hAnsi="Arial" w:cs="Arial"/>
          <w:b w:val="0"/>
          <w:sz w:val="20"/>
          <w:szCs w:val="20"/>
        </w:rPr>
        <w:t xml:space="preserve"> of the correlations between average coral host growth rate and dominant taxon relative abundance in corals only where each taxon is present (zero counts excluded). Arrow direction indicates a positive or negative correlation, filled arrows refer to significant correlations, striped arrows indicate nominally significant correlations (did not pass multiple comparisons) and open arrows indicate insignificant correlations. Size of the arrow represents R</w:t>
      </w:r>
      <w:r>
        <w:rPr>
          <w:rFonts w:ascii="Arial" w:hAnsi="Arial" w:cs="Arial"/>
          <w:b w:val="0"/>
          <w:sz w:val="20"/>
          <w:szCs w:val="20"/>
          <w:vertAlign w:val="superscript"/>
        </w:rPr>
        <w:t>2</w:t>
      </w:r>
      <w:r>
        <w:rPr>
          <w:rFonts w:ascii="Arial" w:hAnsi="Arial" w:cs="Arial"/>
          <w:b w:val="0"/>
          <w:sz w:val="20"/>
          <w:szCs w:val="20"/>
        </w:rPr>
        <w:t xml:space="preserve"> value (See Supplementary Data Table 9b for details). </w:t>
      </w:r>
    </w:p>
    <w:p w14:paraId="44BF6B4A" w14:textId="6ED6D4F5" w:rsidR="00D04CB7" w:rsidRDefault="00D04CB7" w:rsidP="00477182">
      <w:pPr>
        <w:pStyle w:val="SMcaption"/>
        <w:rPr>
          <w:rFonts w:ascii="Arial" w:hAnsi="Arial" w:cs="Arial"/>
          <w:sz w:val="20"/>
        </w:rPr>
      </w:pPr>
      <w:r>
        <w:rPr>
          <w:rFonts w:ascii="Arial" w:hAnsi="Arial" w:cs="Arial"/>
          <w:sz w:val="20"/>
        </w:rPr>
        <w:br w:type="page"/>
      </w:r>
    </w:p>
    <w:p w14:paraId="42B49F09" w14:textId="0D63756E" w:rsidR="001C0975" w:rsidRPr="00DC623A" w:rsidRDefault="00D04CB7" w:rsidP="00477182">
      <w:pPr>
        <w:pStyle w:val="SMcaption"/>
        <w:rPr>
          <w:rFonts w:ascii="Arial" w:hAnsi="Arial" w:cs="Arial"/>
          <w:sz w:val="20"/>
        </w:rPr>
      </w:pPr>
      <w:r>
        <w:rPr>
          <w:rFonts w:ascii="Arial" w:hAnsi="Arial" w:cs="Arial"/>
          <w:noProof/>
          <w:sz w:val="20"/>
        </w:rPr>
        <w:lastRenderedPageBreak/>
        <w:drawing>
          <wp:inline distT="0" distB="0" distL="0" distR="0" wp14:anchorId="3B9CC39E" wp14:editId="7BD908AB">
            <wp:extent cx="5334000" cy="642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000" cy="6426200"/>
                    </a:xfrm>
                    <a:prstGeom prst="rect">
                      <a:avLst/>
                    </a:prstGeom>
                  </pic:spPr>
                </pic:pic>
              </a:graphicData>
            </a:graphic>
          </wp:inline>
        </w:drawing>
      </w:r>
    </w:p>
    <w:p w14:paraId="20ED2795" w14:textId="650585CB" w:rsidR="009A5287" w:rsidRPr="00D04CB7" w:rsidRDefault="00D04CB7" w:rsidP="00B42F9C">
      <w:pPr>
        <w:pStyle w:val="SMHeading"/>
        <w:rPr>
          <w:rFonts w:ascii="Arial" w:hAnsi="Arial" w:cs="Arial"/>
          <w:b w:val="0"/>
          <w:sz w:val="20"/>
          <w:szCs w:val="20"/>
        </w:rPr>
      </w:pPr>
      <w:r>
        <w:rPr>
          <w:rFonts w:ascii="Arial" w:hAnsi="Arial" w:cs="Arial"/>
          <w:sz w:val="20"/>
          <w:szCs w:val="20"/>
        </w:rPr>
        <w:t>Fig. S4</w:t>
      </w:r>
      <w:r w:rsidR="00015F74" w:rsidRPr="00DC623A">
        <w:rPr>
          <w:rFonts w:ascii="Arial" w:hAnsi="Arial" w:cs="Arial"/>
          <w:sz w:val="20"/>
          <w:szCs w:val="20"/>
        </w:rPr>
        <w:t>.</w:t>
      </w:r>
      <w:r w:rsidR="00B42F9C" w:rsidRPr="00DC623A">
        <w:rPr>
          <w:rFonts w:ascii="Arial" w:hAnsi="Arial" w:cs="Arial"/>
          <w:sz w:val="20"/>
          <w:szCs w:val="20"/>
        </w:rPr>
        <w:t xml:space="preserve"> </w:t>
      </w:r>
      <w:r>
        <w:rPr>
          <w:rFonts w:ascii="Arial" w:hAnsi="Arial" w:cs="Arial"/>
          <w:b w:val="0"/>
          <w:sz w:val="20"/>
          <w:szCs w:val="20"/>
        </w:rPr>
        <w:t xml:space="preserve">Model selection for phylogenetic causality analysis. These models represent the fourteen plausible causality pathways that were used in the phylogenetic causality analysis. EN = </w:t>
      </w:r>
      <w:r>
        <w:rPr>
          <w:rFonts w:ascii="Arial" w:hAnsi="Arial" w:cs="Arial"/>
          <w:b w:val="0"/>
          <w:i/>
          <w:iCs/>
          <w:sz w:val="20"/>
          <w:szCs w:val="20"/>
        </w:rPr>
        <w:t xml:space="preserve">Endozoicomonas </w:t>
      </w:r>
      <w:r>
        <w:rPr>
          <w:rFonts w:ascii="Arial" w:hAnsi="Arial" w:cs="Arial"/>
          <w:b w:val="0"/>
          <w:sz w:val="20"/>
          <w:szCs w:val="20"/>
        </w:rPr>
        <w:t xml:space="preserve">relative abundance, DS = coral disease susceptibility, and GR = coral growth rate. </w:t>
      </w:r>
    </w:p>
    <w:p w14:paraId="10C22F57" w14:textId="0B3A29A2" w:rsidR="007843C9" w:rsidRDefault="007843C9" w:rsidP="00D04CB7">
      <w:pPr>
        <w:pStyle w:val="NormalWeb"/>
        <w:shd w:val="clear" w:color="auto" w:fill="FFFFFF"/>
        <w:textAlignment w:val="baseline"/>
        <w:rPr>
          <w:rFonts w:ascii="Arial" w:hAnsi="Arial" w:cs="Arial"/>
          <w:sz w:val="20"/>
          <w:szCs w:val="20"/>
        </w:rPr>
      </w:pPr>
    </w:p>
    <w:p w14:paraId="18AA682E" w14:textId="77777777" w:rsidR="00931897" w:rsidRPr="00DC623A" w:rsidRDefault="00931897" w:rsidP="00D04CB7">
      <w:pPr>
        <w:pStyle w:val="NormalWeb"/>
        <w:shd w:val="clear" w:color="auto" w:fill="FFFFFF"/>
        <w:textAlignment w:val="baseline"/>
        <w:rPr>
          <w:rFonts w:ascii="Arial" w:hAnsi="Arial" w:cs="Arial"/>
          <w:sz w:val="20"/>
          <w:szCs w:val="20"/>
        </w:rPr>
      </w:pPr>
    </w:p>
    <w:sectPr w:rsidR="00931897" w:rsidRPr="00DC623A" w:rsidSect="009F56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F1E8" w14:textId="77777777" w:rsidR="009F568B" w:rsidRDefault="009F568B">
      <w:r>
        <w:separator/>
      </w:r>
    </w:p>
  </w:endnote>
  <w:endnote w:type="continuationSeparator" w:id="0">
    <w:p w14:paraId="798533FE" w14:textId="77777777" w:rsidR="009F568B" w:rsidRDefault="009F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1240848"/>
      <w:docPartObj>
        <w:docPartGallery w:val="Page Numbers (Bottom of Page)"/>
        <w:docPartUnique/>
      </w:docPartObj>
    </w:sdtPr>
    <w:sdtContent>
      <w:p w14:paraId="323E4B24" w14:textId="09FC212D" w:rsidR="00931897" w:rsidRDefault="00931897" w:rsidP="005F79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42650A" w14:textId="77777777" w:rsidR="00931897" w:rsidRDefault="00931897" w:rsidP="009318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962380"/>
      <w:docPartObj>
        <w:docPartGallery w:val="Page Numbers (Bottom of Page)"/>
        <w:docPartUnique/>
      </w:docPartObj>
    </w:sdtPr>
    <w:sdtEndPr>
      <w:rPr>
        <w:rStyle w:val="PageNumber"/>
        <w:rFonts w:ascii="Arial" w:hAnsi="Arial" w:cs="Arial"/>
      </w:rPr>
    </w:sdtEndPr>
    <w:sdtContent>
      <w:p w14:paraId="277787A9" w14:textId="151BDD82" w:rsidR="00931897" w:rsidRDefault="00931897" w:rsidP="005F79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4096907" w14:textId="21A73A62" w:rsidR="00F125EE" w:rsidRDefault="00F125EE" w:rsidP="00931897">
    <w:pPr>
      <w:pStyle w:val="Footer"/>
      <w:ind w:right="360"/>
      <w:jc w:val="right"/>
    </w:pP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14DDC" w14:textId="77777777" w:rsidR="009F568B" w:rsidRDefault="009F568B">
      <w:r>
        <w:separator/>
      </w:r>
    </w:p>
  </w:footnote>
  <w:footnote w:type="continuationSeparator" w:id="0">
    <w:p w14:paraId="3B89114C" w14:textId="77777777" w:rsidR="009F568B" w:rsidRDefault="009F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807812">
    <w:abstractNumId w:val="9"/>
  </w:num>
  <w:num w:numId="2" w16cid:durableId="673384421">
    <w:abstractNumId w:val="7"/>
  </w:num>
  <w:num w:numId="3" w16cid:durableId="402678987">
    <w:abstractNumId w:val="6"/>
  </w:num>
  <w:num w:numId="4" w16cid:durableId="122039513">
    <w:abstractNumId w:val="5"/>
  </w:num>
  <w:num w:numId="5" w16cid:durableId="2041734200">
    <w:abstractNumId w:val="4"/>
  </w:num>
  <w:num w:numId="6" w16cid:durableId="588002112">
    <w:abstractNumId w:val="8"/>
  </w:num>
  <w:num w:numId="7" w16cid:durableId="1991444190">
    <w:abstractNumId w:val="3"/>
  </w:num>
  <w:num w:numId="8" w16cid:durableId="1763456576">
    <w:abstractNumId w:val="2"/>
  </w:num>
  <w:num w:numId="9" w16cid:durableId="1867324990">
    <w:abstractNumId w:val="1"/>
  </w:num>
  <w:num w:numId="10" w16cid:durableId="386533756">
    <w:abstractNumId w:val="0"/>
  </w:num>
  <w:num w:numId="11" w16cid:durableId="2075813307">
    <w:abstractNumId w:val="10"/>
  </w:num>
  <w:num w:numId="12" w16cid:durableId="1171138208">
    <w:abstractNumId w:val="12"/>
  </w:num>
  <w:num w:numId="13" w16cid:durableId="1717314099">
    <w:abstractNumId w:val="13"/>
  </w:num>
  <w:num w:numId="14" w16cid:durableId="640774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7299E"/>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D72"/>
    <w:rsid w:val="00294FBB"/>
    <w:rsid w:val="00296D64"/>
    <w:rsid w:val="002C030F"/>
    <w:rsid w:val="002C667A"/>
    <w:rsid w:val="00325D90"/>
    <w:rsid w:val="00331D75"/>
    <w:rsid w:val="00332BFB"/>
    <w:rsid w:val="00355362"/>
    <w:rsid w:val="0036001C"/>
    <w:rsid w:val="00363015"/>
    <w:rsid w:val="00363E44"/>
    <w:rsid w:val="00387114"/>
    <w:rsid w:val="00395E86"/>
    <w:rsid w:val="00397983"/>
    <w:rsid w:val="003A2FD8"/>
    <w:rsid w:val="003B40E6"/>
    <w:rsid w:val="003F6E14"/>
    <w:rsid w:val="00405336"/>
    <w:rsid w:val="004571D5"/>
    <w:rsid w:val="00461D81"/>
    <w:rsid w:val="0046356B"/>
    <w:rsid w:val="00477182"/>
    <w:rsid w:val="004779CB"/>
    <w:rsid w:val="004A159F"/>
    <w:rsid w:val="004B2F21"/>
    <w:rsid w:val="004E42D8"/>
    <w:rsid w:val="004E7BA2"/>
    <w:rsid w:val="004F7EDF"/>
    <w:rsid w:val="005001AC"/>
    <w:rsid w:val="00527D71"/>
    <w:rsid w:val="00555C8E"/>
    <w:rsid w:val="005607DD"/>
    <w:rsid w:val="005609E9"/>
    <w:rsid w:val="005A558C"/>
    <w:rsid w:val="005B3B2D"/>
    <w:rsid w:val="005C52D5"/>
    <w:rsid w:val="005D088E"/>
    <w:rsid w:val="005E28F8"/>
    <w:rsid w:val="005E6513"/>
    <w:rsid w:val="005F2CC8"/>
    <w:rsid w:val="006069C6"/>
    <w:rsid w:val="00611A19"/>
    <w:rsid w:val="006140DF"/>
    <w:rsid w:val="00651114"/>
    <w:rsid w:val="0065772A"/>
    <w:rsid w:val="00670299"/>
    <w:rsid w:val="00690668"/>
    <w:rsid w:val="00691985"/>
    <w:rsid w:val="006A1B64"/>
    <w:rsid w:val="006D169A"/>
    <w:rsid w:val="006E3E68"/>
    <w:rsid w:val="007108F5"/>
    <w:rsid w:val="00713E5B"/>
    <w:rsid w:val="007402FC"/>
    <w:rsid w:val="007411A1"/>
    <w:rsid w:val="00763345"/>
    <w:rsid w:val="00764929"/>
    <w:rsid w:val="007843C9"/>
    <w:rsid w:val="00797F24"/>
    <w:rsid w:val="007B5946"/>
    <w:rsid w:val="007F5297"/>
    <w:rsid w:val="00807D35"/>
    <w:rsid w:val="00820484"/>
    <w:rsid w:val="00824DF3"/>
    <w:rsid w:val="00840BB2"/>
    <w:rsid w:val="00885C9B"/>
    <w:rsid w:val="008C069B"/>
    <w:rsid w:val="008D5D2A"/>
    <w:rsid w:val="00905695"/>
    <w:rsid w:val="00914B63"/>
    <w:rsid w:val="009258B8"/>
    <w:rsid w:val="00931897"/>
    <w:rsid w:val="009354F3"/>
    <w:rsid w:val="00943C3C"/>
    <w:rsid w:val="009447DC"/>
    <w:rsid w:val="009519CF"/>
    <w:rsid w:val="00961BA5"/>
    <w:rsid w:val="009743A9"/>
    <w:rsid w:val="009A5287"/>
    <w:rsid w:val="009A670E"/>
    <w:rsid w:val="009A77D0"/>
    <w:rsid w:val="009B2AC5"/>
    <w:rsid w:val="009B2E63"/>
    <w:rsid w:val="009B7984"/>
    <w:rsid w:val="009D6B1C"/>
    <w:rsid w:val="009F4BED"/>
    <w:rsid w:val="009F568B"/>
    <w:rsid w:val="009F7D93"/>
    <w:rsid w:val="00A3403B"/>
    <w:rsid w:val="00A51A12"/>
    <w:rsid w:val="00A627D4"/>
    <w:rsid w:val="00A72B81"/>
    <w:rsid w:val="00A74DA2"/>
    <w:rsid w:val="00AC15B4"/>
    <w:rsid w:val="00AD499C"/>
    <w:rsid w:val="00AE5A70"/>
    <w:rsid w:val="00B003EE"/>
    <w:rsid w:val="00B038F4"/>
    <w:rsid w:val="00B06672"/>
    <w:rsid w:val="00B1460F"/>
    <w:rsid w:val="00B15008"/>
    <w:rsid w:val="00B16F99"/>
    <w:rsid w:val="00B36869"/>
    <w:rsid w:val="00B42F9C"/>
    <w:rsid w:val="00B43B31"/>
    <w:rsid w:val="00B47CFA"/>
    <w:rsid w:val="00B57F00"/>
    <w:rsid w:val="00B73A1C"/>
    <w:rsid w:val="00B77B2A"/>
    <w:rsid w:val="00B82C22"/>
    <w:rsid w:val="00B8723B"/>
    <w:rsid w:val="00B93DBA"/>
    <w:rsid w:val="00B9440A"/>
    <w:rsid w:val="00B950BA"/>
    <w:rsid w:val="00BA6BC2"/>
    <w:rsid w:val="00BB2D2A"/>
    <w:rsid w:val="00BD58CF"/>
    <w:rsid w:val="00C046DC"/>
    <w:rsid w:val="00C04CC1"/>
    <w:rsid w:val="00C364C5"/>
    <w:rsid w:val="00C47714"/>
    <w:rsid w:val="00C50C6D"/>
    <w:rsid w:val="00C600D9"/>
    <w:rsid w:val="00CC1384"/>
    <w:rsid w:val="00CD3720"/>
    <w:rsid w:val="00CF16C9"/>
    <w:rsid w:val="00CF1848"/>
    <w:rsid w:val="00CF5C2F"/>
    <w:rsid w:val="00D04BCF"/>
    <w:rsid w:val="00D04CB7"/>
    <w:rsid w:val="00D143D9"/>
    <w:rsid w:val="00D269AB"/>
    <w:rsid w:val="00D346C2"/>
    <w:rsid w:val="00DA22DA"/>
    <w:rsid w:val="00DA59EA"/>
    <w:rsid w:val="00DB0B1D"/>
    <w:rsid w:val="00DC623A"/>
    <w:rsid w:val="00DD421A"/>
    <w:rsid w:val="00DD5C6D"/>
    <w:rsid w:val="00E257C8"/>
    <w:rsid w:val="00E37047"/>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tabs>
        <w:tab w:val="left" w:pos="260"/>
      </w:tabs>
      <w:spacing w:line="480" w:lineRule="auto"/>
      <w:ind w:left="264" w:hanging="264"/>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30041</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Microsoft Office User</cp:lastModifiedBy>
  <cp:revision>6</cp:revision>
  <cp:lastPrinted>2023-05-03T23:34:00Z</cp:lastPrinted>
  <dcterms:created xsi:type="dcterms:W3CDTF">2024-01-29T10:15:00Z</dcterms:created>
  <dcterms:modified xsi:type="dcterms:W3CDTF">2024-02-01T14:24:00Z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id="2FAXlQqz"/&gt;&lt;style id="http://www.zotero.org/styles/nature" hasBibliography="1" bibliographyStyleHasBeenSet="1"/&gt;&lt;prefs&gt;&lt;pref name="fieldType" value="Field"/&gt;&lt;/prefs&gt;&lt;/data&gt;</vt:lpwstr>
  </property>
</Properties>
</file>