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38E88F0E" w:rsidR="001C736A" w:rsidRDefault="001C736A" w:rsidP="001C736A">
      <w:pPr>
        <w:rPr>
          <w:u w:val="single"/>
        </w:rPr>
      </w:pPr>
      <w:r>
        <w:rPr>
          <w:u w:val="single"/>
        </w:rPr>
        <w:t>P</w:t>
      </w:r>
      <w:r w:rsidRPr="002274C2">
        <w:rPr>
          <w:u w:val="single"/>
        </w:rPr>
        <w:t xml:space="preserve">3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lastRenderedPageBreak/>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3ACB0A4E"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1BE4F7A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p>
    <w:p w14:paraId="39FD3CCC" w14:textId="77777777" w:rsidR="00296787" w:rsidRDefault="00296787" w:rsidP="00296EE7">
      <w:pPr>
        <w:rPr>
          <w:u w:val="single"/>
        </w:rPr>
      </w:pPr>
    </w:p>
    <w:p w14:paraId="6E4F2FE4" w14:textId="58AB571D" w:rsidR="00727CBC" w:rsidRPr="002E2E81" w:rsidRDefault="00727CBC" w:rsidP="00296EE7">
      <w:r w:rsidRPr="002E2E81">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vertAlign w:val="superscript"/>
        </w:rPr>
        <w:t>22</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68BBD4A8" w:rsidR="00727CBC"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1"/>
      <w:r w:rsidRPr="002274C2">
        <w:rPr>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0DCBA0CC" w:rsidR="001C736A" w:rsidRPr="009C0C60" w:rsidRDefault="00326C64" w:rsidP="001C736A">
      <w:r>
        <w:t>Sensitivity analysis excluding p2/3</w:t>
      </w:r>
    </w:p>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The vast majority of these trials were in Alzheimer’s disease (24 trials), and Migraine (22 trials). </w:t>
      </w:r>
    </w:p>
    <w:p w14:paraId="6C9C0A61" w14:textId="768F2BFE" w:rsidR="00210065" w:rsidRPr="00B43EAE" w:rsidRDefault="00210065" w:rsidP="001C736A">
      <w:r>
        <w:t xml:space="preserve">Bypassed proportions as per both definitions </w:t>
      </w:r>
      <w:commentRangeStart w:id="2"/>
      <w:r>
        <w:t xml:space="preserve">(preceded vs </w:t>
      </w:r>
      <w:proofErr w:type="spellStart"/>
      <w:r>
        <w:t>ambig+bypass</w:t>
      </w:r>
      <w:proofErr w:type="spellEnd"/>
      <w:r>
        <w:t xml:space="preserve">) and </w:t>
      </w:r>
      <w:commentRangeEnd w:id="2"/>
      <w:r w:rsidR="0090259B">
        <w:rPr>
          <w:rStyle w:val="CommentReference"/>
          <w:rFonts w:asciiTheme="minorHAnsi" w:eastAsiaTheme="minorHAnsi" w:hAnsiTheme="minorHAnsi" w:cstheme="minorBidi"/>
        </w:rPr>
        <w:commentReference w:id="2"/>
      </w:r>
      <w:r>
        <w:t>(</w:t>
      </w:r>
      <w:proofErr w:type="spellStart"/>
      <w:r>
        <w:t>preceded+ambig</w:t>
      </w:r>
      <w:proofErr w:type="spellEnd"/>
      <w:r>
        <w:t xml:space="preserve"> vs bypass)</w:t>
      </w:r>
      <w:r w:rsidR="002E2E78">
        <w:t xml:space="preserve"> discussed here…</w:t>
      </w:r>
      <w:r w:rsidR="002E2E78" w:rsidRPr="002E2E78">
        <w:rPr>
          <w:b/>
          <w:bCs/>
        </w:rPr>
        <w:t xml:space="preserve"> See Table 1</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w:t>
      </w:r>
      <w:commentRangeStart w:id="3"/>
      <w:r w:rsidR="00210065">
        <w:t xml:space="preserve">positivity </w:t>
      </w:r>
      <w:commentRangeEnd w:id="3"/>
      <w:r w:rsidR="00210065">
        <w:rPr>
          <w:rStyle w:val="CommentReference"/>
          <w:rFonts w:asciiTheme="minorHAnsi" w:eastAsiaTheme="minorHAnsi" w:hAnsiTheme="minorHAnsi" w:cstheme="minorBidi"/>
        </w:rPr>
        <w:commentReference w:id="3"/>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20A7CBCE" w:rsidR="00994ACF" w:rsidRPr="00994ACF" w:rsidRDefault="00994ACF" w:rsidP="001C736A">
      <w:r>
        <w:t xml:space="preserve">P2/3s are put into </w:t>
      </w:r>
      <w:r w:rsidR="002455A4">
        <w:t>preceded</w:t>
      </w:r>
      <w:r>
        <w:t xml:space="preserve"> category although unsure if P2 had a clinical positive endpoint-different threshold to move to P3</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4"/>
      <w:commentRangeEnd w:id="4"/>
      <w:r>
        <w:rPr>
          <w:rStyle w:val="CommentReference"/>
        </w:rPr>
        <w:commentReference w:id="4"/>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5"/>
      <w:commentRangeEnd w:id="5"/>
      <w:r>
        <w:rPr>
          <w:rStyle w:val="CommentReference"/>
        </w:rPr>
        <w:commentReference w:id="5"/>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 xml:space="preserve">Preceded by </w:t>
            </w:r>
            <w:commentRangeStart w:id="6"/>
            <w:commentRangeStart w:id="7"/>
            <w:r w:rsidRPr="00135B39">
              <w:rPr>
                <w:rFonts w:asciiTheme="minorHAnsi" w:hAnsiTheme="minorHAnsi" w:cstheme="minorHAnsi"/>
                <w:b/>
                <w:bCs/>
                <w:sz w:val="20"/>
                <w:szCs w:val="20"/>
              </w:rPr>
              <w:t xml:space="preserve">Ambiguous </w:t>
            </w:r>
            <w:commentRangeEnd w:id="6"/>
            <w:r w:rsidR="00B97985">
              <w:rPr>
                <w:rStyle w:val="CommentReference"/>
                <w:rFonts w:asciiTheme="minorHAnsi" w:eastAsiaTheme="minorHAnsi" w:hAnsiTheme="minorHAnsi" w:cstheme="minorBidi"/>
                <w:lang w:val="en-US"/>
              </w:rPr>
              <w:commentReference w:id="6"/>
            </w:r>
            <w:commentRangeEnd w:id="7"/>
            <w:r w:rsidR="00AB5E45">
              <w:rPr>
                <w:rStyle w:val="CommentReference"/>
                <w:rFonts w:asciiTheme="minorHAnsi" w:eastAsiaTheme="minorHAnsi" w:hAnsiTheme="minorHAnsi" w:cstheme="minorBidi"/>
                <w:lang w:val="en-US"/>
              </w:rPr>
              <w:commentReference w:id="7"/>
            </w:r>
            <w:r w:rsidRPr="00135B39">
              <w:rPr>
                <w:rFonts w:asciiTheme="minorHAnsi" w:hAnsiTheme="minorHAnsi" w:cstheme="minorHAnsi"/>
                <w:b/>
                <w:bCs/>
                <w:sz w:val="20"/>
                <w:szCs w:val="20"/>
              </w:rPr>
              <w:t>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0E143B00" w:rsidR="00887FCD" w:rsidRPr="00135B39" w:rsidRDefault="00B97985"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00887FCD" w:rsidRPr="00135B39">
              <w:rPr>
                <w:rFonts w:asciiTheme="minorHAnsi" w:hAnsiTheme="minorHAnsi" w:cstheme="minorHAnsi"/>
                <w:b/>
                <w:bCs/>
                <w:sz w:val="20"/>
                <w:szCs w:val="20"/>
              </w:rPr>
              <w:t xml:space="preserve">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8"/>
      <w:commentRangeStart w:id="9"/>
      <w:r>
        <w:t xml:space="preserve">Termination </w:t>
      </w:r>
      <w:commentRangeEnd w:id="8"/>
      <w:r w:rsidR="00AE1C9F">
        <w:rPr>
          <w:rStyle w:val="CommentReference"/>
          <w:rFonts w:asciiTheme="minorHAnsi" w:eastAsiaTheme="minorHAnsi" w:hAnsiTheme="minorHAnsi" w:cstheme="minorBidi"/>
        </w:rPr>
        <w:commentReference w:id="8"/>
      </w:r>
      <w:commentRangeEnd w:id="9"/>
      <w:r w:rsidR="00010404">
        <w:rPr>
          <w:rStyle w:val="CommentReference"/>
          <w:rFonts w:asciiTheme="minorHAnsi" w:eastAsiaTheme="minorHAnsi" w:hAnsiTheme="minorHAnsi" w:cstheme="minorBidi"/>
        </w:rPr>
        <w:commentReference w:id="9"/>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Table 4. 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798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 xml:space="preserve">Figure 2: </w:t>
      </w:r>
      <w:proofErr w:type="spellStart"/>
      <w:r>
        <w:t>WdAE</w:t>
      </w:r>
      <w:proofErr w:type="spellEnd"/>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3"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4"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5"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6" w:author="Hannah Marie Moyer, Ms" w:date="2023-02-01T15:20:00Z" w:initials="HM">
    <w:p w14:paraId="021F6585" w14:textId="77777777" w:rsidR="00B97985" w:rsidRDefault="00B97985" w:rsidP="008E134C">
      <w:r>
        <w:rPr>
          <w:rStyle w:val="CommentReference"/>
        </w:rPr>
        <w:annotationRef/>
      </w:r>
      <w:r>
        <w:rPr>
          <w:rFonts w:asciiTheme="minorHAnsi" w:eastAsiaTheme="minorHAnsi" w:hAnsiTheme="minorHAnsi" w:cstheme="minorBidi"/>
          <w:sz w:val="20"/>
          <w:szCs w:val="20"/>
        </w:rPr>
        <w:t xml:space="preserve">ERIKA: </w:t>
      </w:r>
    </w:p>
    <w:p w14:paraId="39282A45" w14:textId="77777777" w:rsidR="00B97985" w:rsidRDefault="00B97985" w:rsidP="008E134C">
      <w:r>
        <w:rPr>
          <w:rFonts w:asciiTheme="minorHAnsi" w:eastAsiaTheme="minorHAnsi" w:hAnsiTheme="minorHAnsi" w:cstheme="minorBidi"/>
          <w:sz w:val="20"/>
          <w:szCs w:val="20"/>
        </w:rPr>
        <w:t>Not sure I would consider this a bypass. There was a phase 2, the Sponsor/Investigators learned from it, and used the data to inform the phase 3, whether positive or negative.-from erika</w:t>
      </w:r>
    </w:p>
  </w:comment>
  <w:comment w:id="7" w:author="Hannah Marie Moyer, Ms" w:date="2023-02-01T15:57:00Z" w:initials="HM">
    <w:p w14:paraId="2EBF985A" w14:textId="77777777" w:rsidR="00AB5E45" w:rsidRDefault="00AB5E45" w:rsidP="009801C2">
      <w:r>
        <w:rPr>
          <w:rStyle w:val="CommentReference"/>
        </w:rPr>
        <w:annotationRef/>
      </w:r>
      <w:r>
        <w:rPr>
          <w:rFonts w:asciiTheme="minorHAnsi" w:eastAsiaTheme="minorHAnsi" w:hAnsiTheme="minorHAnsi" w:cstheme="minorBidi"/>
          <w:sz w:val="20"/>
          <w:szCs w:val="20"/>
        </w:rPr>
        <w:t>·      Why we put nonpositive into ambiguous group- “post hoc efficacy in P2 without significance on the primary efficacy measure, and without control for overall alpha error, is only for self-delusion”</w:t>
      </w:r>
    </w:p>
    <w:p w14:paraId="5523D644" w14:textId="77777777" w:rsidR="00AB5E45" w:rsidRDefault="00AB5E45" w:rsidP="009801C2"/>
  </w:comment>
  <w:comment w:id="8" w:author="Hannah Marie Moyer, Ms" w:date="2023-01-24T18:15:00Z" w:initials="HM">
    <w:p w14:paraId="48B652B1" w14:textId="6A738294"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9"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6D3F5C41" w15:done="0"/>
  <w15:commentEx w15:paraId="63FB6725" w15:done="0"/>
  <w15:commentEx w15:paraId="28E4F42F" w15:done="0"/>
  <w15:commentEx w15:paraId="36E42186" w15:done="0"/>
  <w15:commentEx w15:paraId="39282A45" w15:done="0"/>
  <w15:commentEx w15:paraId="5523D644" w15:paraIdParent="39282A45"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8501B1" w16cex:dateUtc="2023-02-01T20:20:00Z"/>
  <w16cex:commentExtensible w16cex:durableId="27850A81" w16cex:dateUtc="2023-02-01T20:57: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39282A45" w16cid:durableId="278501B1"/>
  <w16cid:commentId w16cid:paraId="5523D644" w16cid:durableId="27850A8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544D" w14:textId="77777777" w:rsidR="00D56313" w:rsidRDefault="00D56313" w:rsidP="00A97588">
      <w:r>
        <w:separator/>
      </w:r>
    </w:p>
  </w:endnote>
  <w:endnote w:type="continuationSeparator" w:id="0">
    <w:p w14:paraId="189B35F2" w14:textId="77777777" w:rsidR="00D56313" w:rsidRDefault="00D56313"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DB495" w14:textId="77777777" w:rsidR="00D56313" w:rsidRDefault="00D56313" w:rsidP="00A97588">
      <w:r>
        <w:separator/>
      </w:r>
    </w:p>
  </w:footnote>
  <w:footnote w:type="continuationSeparator" w:id="0">
    <w:p w14:paraId="31B5D227" w14:textId="77777777" w:rsidR="00D56313" w:rsidRDefault="00D56313"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325FD"/>
    <w:rsid w:val="00135B39"/>
    <w:rsid w:val="00142E9D"/>
    <w:rsid w:val="00180613"/>
    <w:rsid w:val="00182E79"/>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787"/>
    <w:rsid w:val="00296EE7"/>
    <w:rsid w:val="002A3B1F"/>
    <w:rsid w:val="002E2E78"/>
    <w:rsid w:val="002F7895"/>
    <w:rsid w:val="00326C64"/>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9F607C"/>
    <w:rsid w:val="00A05916"/>
    <w:rsid w:val="00A077BD"/>
    <w:rsid w:val="00A16590"/>
    <w:rsid w:val="00A22983"/>
    <w:rsid w:val="00A74DC9"/>
    <w:rsid w:val="00A97588"/>
    <w:rsid w:val="00AB5E45"/>
    <w:rsid w:val="00AC3430"/>
    <w:rsid w:val="00AD392F"/>
    <w:rsid w:val="00AE1C9F"/>
    <w:rsid w:val="00B01DB5"/>
    <w:rsid w:val="00B43EAE"/>
    <w:rsid w:val="00B46623"/>
    <w:rsid w:val="00B5758B"/>
    <w:rsid w:val="00B57F5A"/>
    <w:rsid w:val="00B62337"/>
    <w:rsid w:val="00B848A3"/>
    <w:rsid w:val="00B96919"/>
    <w:rsid w:val="00B97985"/>
    <w:rsid w:val="00BD15B1"/>
    <w:rsid w:val="00BE73F0"/>
    <w:rsid w:val="00BF66C9"/>
    <w:rsid w:val="00C45392"/>
    <w:rsid w:val="00CD7D5B"/>
    <w:rsid w:val="00CF5AA7"/>
    <w:rsid w:val="00D129CD"/>
    <w:rsid w:val="00D30304"/>
    <w:rsid w:val="00D46EE8"/>
    <w:rsid w:val="00D56313"/>
    <w:rsid w:val="00D6398B"/>
    <w:rsid w:val="00DA2869"/>
    <w:rsid w:val="00DB5588"/>
    <w:rsid w:val="00E219F5"/>
    <w:rsid w:val="00E313D4"/>
    <w:rsid w:val="00E536F2"/>
    <w:rsid w:val="00E5414A"/>
    <w:rsid w:val="00EC55ED"/>
    <w:rsid w:val="00EC7FF2"/>
    <w:rsid w:val="00EE0688"/>
    <w:rsid w:val="00EF6349"/>
    <w:rsid w:val="00EF64FA"/>
    <w:rsid w:val="00F24DF4"/>
    <w:rsid w:val="00F700AE"/>
    <w:rsid w:val="00FA6399"/>
    <w:rsid w:val="00FC17A5"/>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49</cp:revision>
  <dcterms:created xsi:type="dcterms:W3CDTF">2023-01-17T20:03:00Z</dcterms:created>
  <dcterms:modified xsi:type="dcterms:W3CDTF">2023-03-03T19:15:00Z</dcterms:modified>
</cp:coreProperties>
</file>