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EAB3F07" w:rsidR="001A53C3" w:rsidRPr="00871C65" w:rsidRDefault="001A53C3" w:rsidP="001A53C3">
      <w:pPr>
        <w:spacing w:line="480" w:lineRule="auto"/>
        <w:rPr>
          <w:rFonts w:ascii="Times New Roman" w:hAnsi="Times New Roman" w:cs="Times New Roman"/>
          <w:b/>
          <w:bCs/>
        </w:rPr>
      </w:pPr>
      <w:r w:rsidRPr="00871C65">
        <w:rPr>
          <w:rFonts w:ascii="Times New Roman" w:hAnsi="Times New Roman" w:cs="Times New Roman"/>
          <w:b/>
          <w:bCs/>
        </w:rPr>
        <w:t>The Prevalence and Impact of Phase 2 Trial Bypass in Neurology Drug Development</w:t>
      </w:r>
    </w:p>
    <w:p w14:paraId="1C47DFD7" w14:textId="662B79B1" w:rsidR="001A53C3" w:rsidRPr="00871C65" w:rsidRDefault="001A53C3" w:rsidP="001A53C3">
      <w:pPr>
        <w:rPr>
          <w:rFonts w:ascii="Times New Roman" w:hAnsi="Times New Roman" w:cs="Times New Roman"/>
          <w:bCs/>
          <w:color w:val="000000"/>
        </w:rPr>
      </w:pPr>
      <w:r w:rsidRPr="00871C65">
        <w:rPr>
          <w:rFonts w:ascii="Times New Roman" w:hAnsi="Times New Roman" w:cs="Times New Roman"/>
        </w:rPr>
        <w:t>Hannah Moyer, BSc</w:t>
      </w:r>
      <w:r w:rsidRPr="00871C65">
        <w:rPr>
          <w:rFonts w:ascii="Times New Roman" w:hAnsi="Times New Roman" w:cs="Times New Roman"/>
          <w:vertAlign w:val="superscript"/>
        </w:rPr>
        <w:t>1</w:t>
      </w:r>
      <w:r w:rsidRPr="00871C65">
        <w:rPr>
          <w:rFonts w:ascii="Times New Roman" w:hAnsi="Times New Roman" w:cs="Times New Roman"/>
        </w:rPr>
        <w:t xml:space="preserve">, Robyn </w:t>
      </w:r>
      <w:proofErr w:type="spellStart"/>
      <w:r w:rsidRPr="00871C65">
        <w:rPr>
          <w:rFonts w:ascii="Times New Roman" w:hAnsi="Times New Roman" w:cs="Times New Roman"/>
        </w:rPr>
        <w:t>Mellet</w:t>
      </w:r>
      <w:proofErr w:type="spellEnd"/>
      <w:r w:rsidR="00871C65">
        <w:rPr>
          <w:rFonts w:ascii="Times New Roman" w:hAnsi="Times New Roman" w:cs="Times New Roman"/>
        </w:rPr>
        <w:t>, BSc</w:t>
      </w:r>
      <w:r w:rsidRPr="00871C65">
        <w:rPr>
          <w:rFonts w:ascii="Times New Roman" w:hAnsi="Times New Roman" w:cs="Times New Roman"/>
          <w:vertAlign w:val="superscript"/>
        </w:rPr>
        <w:t>1</w:t>
      </w:r>
      <w:r w:rsidRPr="00871C65">
        <w:rPr>
          <w:rFonts w:ascii="Times New Roman" w:hAnsi="Times New Roman" w:cs="Times New Roman"/>
          <w:bCs/>
          <w:color w:val="000000"/>
        </w:rPr>
        <w:t>,</w:t>
      </w:r>
      <w:r w:rsidR="007A298E" w:rsidRPr="00871C65">
        <w:rPr>
          <w:rFonts w:ascii="Times New Roman" w:hAnsi="Times New Roman" w:cs="Times New Roman"/>
          <w:bCs/>
          <w:color w:val="000000"/>
        </w:rPr>
        <w:t xml:space="preserve"> Maya McKeown</w:t>
      </w:r>
      <w:r w:rsidR="00DA2869" w:rsidRPr="00871C65">
        <w:rPr>
          <w:rFonts w:ascii="Times New Roman" w:hAnsi="Times New Roman" w:cs="Times New Roman"/>
          <w:vertAlign w:val="superscript"/>
        </w:rPr>
        <w:t>1</w:t>
      </w:r>
      <w:r w:rsidR="00DA2869" w:rsidRPr="00871C65">
        <w:rPr>
          <w:rFonts w:ascii="Times New Roman" w:hAnsi="Times New Roman" w:cs="Times New Roman"/>
          <w:bCs/>
          <w:color w:val="000000"/>
        </w:rPr>
        <w:t xml:space="preserve">, </w:t>
      </w:r>
      <w:proofErr w:type="spellStart"/>
      <w:r w:rsidR="007A298E" w:rsidRPr="00871C65">
        <w:rPr>
          <w:rFonts w:ascii="Times New Roman" w:hAnsi="Times New Roman" w:cs="Times New Roman"/>
          <w:bCs/>
          <w:color w:val="000000"/>
        </w:rPr>
        <w:t>Karine</w:t>
      </w:r>
      <w:proofErr w:type="spellEnd"/>
      <w:r w:rsidR="007A298E" w:rsidRPr="00871C65">
        <w:rPr>
          <w:rFonts w:ascii="Times New Roman" w:hAnsi="Times New Roman" w:cs="Times New Roman"/>
          <w:bCs/>
          <w:color w:val="000000"/>
        </w:rPr>
        <w:t xml:space="preserve"> Vigneault</w:t>
      </w:r>
      <w:r w:rsidR="00DA2869" w:rsidRPr="00871C65">
        <w:rPr>
          <w:rFonts w:ascii="Times New Roman" w:hAnsi="Times New Roman" w:cs="Times New Roman"/>
          <w:vertAlign w:val="superscript"/>
        </w:rPr>
        <w:t>1</w:t>
      </w:r>
      <w:r w:rsidRPr="00871C65">
        <w:rPr>
          <w:rFonts w:ascii="Times New Roman" w:hAnsi="Times New Roman" w:cs="Times New Roman"/>
          <w:bCs/>
          <w:color w:val="000000"/>
        </w:rPr>
        <w:t xml:space="preserve">, Jason </w:t>
      </w:r>
      <w:proofErr w:type="spellStart"/>
      <w:r w:rsidRPr="00871C65">
        <w:rPr>
          <w:rFonts w:ascii="Times New Roman" w:hAnsi="Times New Roman" w:cs="Times New Roman"/>
          <w:bCs/>
          <w:color w:val="000000"/>
        </w:rPr>
        <w:t>Karlawish</w:t>
      </w:r>
      <w:proofErr w:type="spellEnd"/>
      <w:r w:rsidR="00871C65">
        <w:rPr>
          <w:rFonts w:ascii="Times New Roman" w:hAnsi="Times New Roman" w:cs="Times New Roman"/>
          <w:bCs/>
          <w:color w:val="000000"/>
        </w:rPr>
        <w:t>, MD</w:t>
      </w:r>
      <w:r w:rsidR="00871C65">
        <w:rPr>
          <w:rFonts w:ascii="Times New Roman" w:hAnsi="Times New Roman" w:cs="Times New Roman"/>
          <w:vertAlign w:val="superscript"/>
        </w:rPr>
        <w:t>2</w:t>
      </w:r>
      <w:r w:rsidRPr="00871C65">
        <w:rPr>
          <w:rFonts w:ascii="Times New Roman" w:hAnsi="Times New Roman" w:cs="Times New Roman"/>
          <w:bCs/>
          <w:color w:val="000000"/>
        </w:rPr>
        <w:t>,</w:t>
      </w:r>
      <w:r w:rsidR="00871C65" w:rsidRPr="00871C65">
        <w:rPr>
          <w:rFonts w:ascii="Times New Roman" w:hAnsi="Times New Roman" w:cs="Times New Roman"/>
          <w:bCs/>
          <w:color w:val="000000"/>
        </w:rPr>
        <w:t xml:space="preserve"> Erika Augustine</w:t>
      </w:r>
      <w:r w:rsidR="00871C65">
        <w:rPr>
          <w:rFonts w:ascii="Times New Roman" w:hAnsi="Times New Roman" w:cs="Times New Roman"/>
          <w:bCs/>
          <w:color w:val="000000"/>
        </w:rPr>
        <w:t>, MD</w:t>
      </w:r>
      <w:r w:rsidR="00871C65">
        <w:rPr>
          <w:rFonts w:ascii="Times New Roman" w:hAnsi="Times New Roman" w:cs="Times New Roman"/>
          <w:vertAlign w:val="superscript"/>
        </w:rPr>
        <w:t>3</w:t>
      </w:r>
      <w:r w:rsidRPr="00871C65">
        <w:rPr>
          <w:rFonts w:ascii="Times New Roman" w:hAnsi="Times New Roman" w:cs="Times New Roman"/>
          <w:bCs/>
          <w:color w:val="000000"/>
        </w:rPr>
        <w:t xml:space="preserve"> Lon Schneider</w:t>
      </w:r>
      <w:r w:rsidR="00871C65">
        <w:rPr>
          <w:rFonts w:ascii="Times New Roman" w:hAnsi="Times New Roman" w:cs="Times New Roman"/>
          <w:bCs/>
          <w:color w:val="000000"/>
        </w:rPr>
        <w:t>, MD</w:t>
      </w:r>
      <w:r w:rsidRPr="00871C65">
        <w:rPr>
          <w:rFonts w:ascii="Times New Roman" w:hAnsi="Times New Roman" w:cs="Times New Roman"/>
          <w:vertAlign w:val="superscript"/>
        </w:rPr>
        <w:t>4</w:t>
      </w:r>
      <w:r w:rsidR="00871C65">
        <w:rPr>
          <w:rFonts w:ascii="Times New Roman" w:hAnsi="Times New Roman" w:cs="Times New Roman"/>
        </w:rPr>
        <w:t>, J</w:t>
      </w:r>
      <w:r w:rsidRPr="00871C65">
        <w:rPr>
          <w:rFonts w:ascii="Times New Roman" w:hAnsi="Times New Roman" w:cs="Times New Roman"/>
        </w:rPr>
        <w:t>onathan Kimmelman, PhD</w:t>
      </w:r>
      <w:r w:rsidRPr="00871C65">
        <w:rPr>
          <w:rFonts w:ascii="Times New Roman" w:hAnsi="Times New Roman" w:cs="Times New Roman"/>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5"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rFonts w:ascii="Times New Roman" w:hAnsi="Times New Roman" w:cs="Times New Roman"/>
          <w:b/>
          <w:bCs/>
        </w:rPr>
      </w:pPr>
      <w:r w:rsidRPr="00871C65">
        <w:rPr>
          <w:rFonts w:ascii="Times New Roman" w:hAnsi="Times New Roman" w:cs="Times New Roman"/>
          <w:b/>
          <w:bCs/>
        </w:rPr>
        <w:t xml:space="preserve">Word Count: </w:t>
      </w:r>
      <w:r w:rsidRPr="00871C65">
        <w:rPr>
          <w:rFonts w:ascii="Times New Roman" w:hAnsi="Times New Roman" w:cs="Times New Roman"/>
        </w:rPr>
        <w:t>~x</w:t>
      </w:r>
    </w:p>
    <w:p w14:paraId="0ECACF4F" w14:textId="77777777" w:rsidR="001A53C3" w:rsidRDefault="001A53C3" w:rsidP="001A53C3">
      <w:pPr>
        <w:spacing w:line="480" w:lineRule="auto"/>
        <w:rPr>
          <w:rFonts w:ascii="Times New Roman" w:hAnsi="Times New Roman" w:cs="Times New Roman"/>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FAC687C" w:rsidR="00684E81" w:rsidRDefault="00684E81"/>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rFonts w:ascii="Times New Roman" w:hAnsi="Times New Roman" w:cs="Times New Roman"/>
          <w:b/>
          <w:bCs/>
        </w:rPr>
      </w:pPr>
      <w:r>
        <w:rPr>
          <w:rFonts w:ascii="Times New Roman" w:hAnsi="Times New Roman" w:cs="Times New Roman"/>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9723F12" w:rsidR="001A53C3" w:rsidRDefault="001A53C3"/>
    <w:p w14:paraId="6EEA7020" w14:textId="32DC6C9E" w:rsidR="001A53C3" w:rsidRDefault="001A53C3"/>
    <w:p w14:paraId="4D3FBFF1" w14:textId="6493E024" w:rsidR="001A53C3" w:rsidRDefault="001C736A">
      <w:pPr>
        <w:rPr>
          <w:rFonts w:ascii="Times New Roman" w:hAnsi="Times New Roman" w:cs="Times New Roman"/>
          <w:b/>
          <w:bCs/>
        </w:rPr>
      </w:pPr>
      <w:commentRangeStart w:id="0"/>
      <w:r>
        <w:rPr>
          <w:rFonts w:ascii="Times New Roman" w:hAnsi="Times New Roman" w:cs="Times New Roman"/>
          <w:b/>
          <w:bCs/>
        </w:rPr>
        <w:lastRenderedPageBreak/>
        <w:t>Introduction</w:t>
      </w:r>
      <w:commentRangeEnd w:id="0"/>
      <w:r w:rsidR="002312A6">
        <w:rPr>
          <w:rStyle w:val="CommentReference"/>
        </w:rPr>
        <w:commentReference w:id="0"/>
      </w:r>
    </w:p>
    <w:p w14:paraId="43C9AC78" w14:textId="77777777" w:rsidR="00366AC1" w:rsidRDefault="00366AC1">
      <w:pPr>
        <w:rPr>
          <w:rFonts w:ascii="Times New Roman" w:hAnsi="Times New Roman" w:cs="Times New Roman"/>
          <w:b/>
          <w:bCs/>
        </w:rPr>
      </w:pPr>
    </w:p>
    <w:p w14:paraId="500BAA87" w14:textId="2AEA3DF4" w:rsidR="001C736A" w:rsidRPr="00366AC1" w:rsidRDefault="001C736A" w:rsidP="001C736A">
      <w:pPr>
        <w:rPr>
          <w:rFonts w:ascii="Times New Roman" w:hAnsi="Times New Roman" w:cs="Times New Roman"/>
          <w:b/>
          <w:bCs/>
        </w:rPr>
      </w:pPr>
      <w:r w:rsidRPr="002274C2">
        <w:rPr>
          <w:rFonts w:ascii="Times New Roman" w:hAnsi="Times New Roman" w:cs="Times New Roman"/>
          <w:b/>
          <w:bCs/>
        </w:rPr>
        <w:t xml:space="preserve">Methods </w:t>
      </w:r>
    </w:p>
    <w:p w14:paraId="6A99EC3C" w14:textId="38E88F0E" w:rsidR="001C736A" w:rsidRDefault="001C736A" w:rsidP="001C736A">
      <w:pPr>
        <w:rPr>
          <w:rFonts w:ascii="Times New Roman" w:hAnsi="Times New Roman" w:cs="Times New Roman"/>
          <w:u w:val="single"/>
        </w:rPr>
      </w:pPr>
      <w:r>
        <w:rPr>
          <w:rFonts w:ascii="Times New Roman" w:hAnsi="Times New Roman" w:cs="Times New Roman"/>
          <w:u w:val="single"/>
        </w:rPr>
        <w:t>P</w:t>
      </w:r>
      <w:r w:rsidRPr="002274C2">
        <w:rPr>
          <w:rFonts w:ascii="Times New Roman" w:hAnsi="Times New Roman" w:cs="Times New Roman"/>
          <w:u w:val="single"/>
        </w:rPr>
        <w:t xml:space="preserve">3 Trial Sample </w:t>
      </w:r>
    </w:p>
    <w:p w14:paraId="15B19454" w14:textId="48A7E7B6" w:rsidR="00DA2869" w:rsidRDefault="00DA2869" w:rsidP="00DA2869">
      <w:pPr>
        <w:rPr>
          <w:rFonts w:cstheme="minorHAnsi"/>
        </w:rPr>
      </w:pPr>
      <w:r w:rsidRPr="00960903">
        <w:t xml:space="preserve">The ClinicalTrials.gov search to identify our sample of drugs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Alzheimer's disease, Parkinson disease, Amyotrophic lateral sclerosis, Huntington's disease, Multiple sclerosis</w:t>
      </w:r>
      <w:r>
        <w:rPr>
          <w:rFonts w:cstheme="minorHAnsi"/>
        </w:rPr>
        <w:t xml:space="preserve"> (RRMS and PMS)</w:t>
      </w:r>
      <w:r w:rsidRPr="00680012">
        <w:rPr>
          <w:rFonts w:cstheme="minorHAnsi"/>
        </w:rPr>
        <w:t>, Migraine,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r w:rsidRPr="00645AC9">
        <w:t>202</w:t>
      </w:r>
      <w:r>
        <w:t>1 using these terms were</w:t>
      </w:r>
      <w:r w:rsidRPr="00AE33DD">
        <w:t xml:space="preserve"> downloaded from ClinicalTrials.gov for screening</w:t>
      </w:r>
      <w:r>
        <w:t xml:space="preserve">. </w:t>
      </w:r>
      <w:r>
        <w:rPr>
          <w:rFonts w:cstheme="minorHAnsi"/>
        </w:rPr>
        <w:t>The end range was chosen to allow one year between primary completion and depositing results as per the Final Rule.</w:t>
      </w:r>
      <w:r>
        <w:rPr>
          <w:rFonts w:cstheme="minorHAnsi"/>
        </w:rPr>
        <w:fldChar w:fldCharType="begin"/>
      </w:r>
      <w:r>
        <w:rPr>
          <w:rFonts w:cstheme="minorHAnsi"/>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Pr>
          <w:rFonts w:cstheme="minorHAnsi"/>
        </w:rPr>
        <w:fldChar w:fldCharType="separate"/>
      </w:r>
      <w:r w:rsidRPr="0067270D">
        <w:rPr>
          <w:rFonts w:ascii="Cambria" w:cs="Times New Roman"/>
          <w:vertAlign w:val="superscript"/>
        </w:rPr>
        <w:t>21</w:t>
      </w:r>
      <w:r>
        <w:rPr>
          <w:rFonts w:cstheme="minorHAnsi"/>
        </w:rPr>
        <w:fldChar w:fldCharType="end"/>
      </w:r>
      <w:r>
        <w:rPr>
          <w:rFonts w:cstheme="minorHAnsi"/>
        </w:rPr>
        <w:t xml:space="preserve"> Our objective is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 </w:t>
      </w:r>
      <w:r>
        <w:t>Each</w:t>
      </w:r>
      <w:r w:rsidRPr="00AE33DD">
        <w:t xml:space="preserve"> trial </w:t>
      </w:r>
      <w:r>
        <w:t>was screened to ensure it is testing a</w:t>
      </w:r>
      <w:r w:rsidRPr="00AA2B1C">
        <w:rPr>
          <w:rFonts w:cstheme="minorHAnsi"/>
        </w:rPr>
        <w:t xml:space="preserve"> drug/</w:t>
      </w:r>
      <w:r>
        <w:rPr>
          <w:rFonts w:cstheme="minorHAnsi"/>
        </w:rPr>
        <w:t>biologic</w:t>
      </w:r>
      <w:r w:rsidRPr="00AA2B1C">
        <w:rPr>
          <w:rFonts w:cstheme="minorHAnsi"/>
        </w:rPr>
        <w:t xml:space="preserve"> related to</w:t>
      </w:r>
      <w:r>
        <w:rPr>
          <w:rFonts w:cstheme="minorHAnsi"/>
        </w:rPr>
        <w:t xml:space="preserve"> the</w:t>
      </w:r>
      <w:r w:rsidRPr="00AA2B1C">
        <w:rPr>
          <w:rFonts w:cstheme="minorHAnsi"/>
        </w:rPr>
        <w:t xml:space="preserve"> </w:t>
      </w:r>
      <w:r>
        <w:rPr>
          <w:rFonts w:cstheme="minorHAnsi"/>
        </w:rPr>
        <w:t xml:space="preserve">included </w:t>
      </w:r>
      <w:r w:rsidRPr="00AA2B1C">
        <w:rPr>
          <w:rFonts w:cstheme="minorHAnsi"/>
        </w:rPr>
        <w:t>neurological condition</w:t>
      </w:r>
      <w:r>
        <w:rPr>
          <w:rFonts w:cstheme="minorHAnsi"/>
        </w:rPr>
        <w:t>s.</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 xml:space="preserve">a </w:t>
      </w:r>
      <w:proofErr w:type="gramStart"/>
      <w:r>
        <w:t>was</w:t>
      </w:r>
      <w:proofErr w:type="gramEnd"/>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Pr>
        <w:rPr>
          <w:rFonts w:ascii="Times New Roman" w:hAnsi="Times New Roman" w:cs="Times New Roman"/>
        </w:rPr>
      </w:pPr>
    </w:p>
    <w:p w14:paraId="4A650979" w14:textId="29C00A6B" w:rsidR="00DA2869" w:rsidRPr="002274C2" w:rsidRDefault="00DA2869" w:rsidP="001C736A">
      <w:pPr>
        <w:rPr>
          <w:rFonts w:ascii="Times New Roman" w:hAnsi="Times New Roman" w:cs="Times New Roman"/>
        </w:rPr>
      </w:pPr>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find study publications for each trial. If multiple publications/abstracts were found, the primary publication </w:t>
      </w:r>
      <w:r>
        <w:rPr>
          <w:rFonts w:cstheme="minorHAnsi"/>
        </w:rPr>
        <w:t>will be</w:t>
      </w:r>
      <w:r w:rsidRPr="00960903">
        <w:rPr>
          <w:rFonts w:cstheme="minorHAnsi"/>
        </w:rPr>
        <w:t xml:space="preserve"> chosen (</w:t>
      </w:r>
      <w:proofErr w:type="gramStart"/>
      <w:r w:rsidRPr="00960903">
        <w:rPr>
          <w:rFonts w:cstheme="minorHAnsi"/>
        </w:rPr>
        <w:t>i.e.</w:t>
      </w:r>
      <w:proofErr w:type="gramEnd"/>
      <w:r w:rsidRPr="00960903">
        <w:rPr>
          <w:rFonts w:cstheme="minorHAnsi"/>
        </w:rPr>
        <w:t xml:space="preserv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rFonts w:ascii="Times New Roman" w:hAnsi="Times New Roman" w:cs="Times New Roman"/>
          <w:u w:val="single"/>
        </w:rPr>
      </w:pPr>
      <w:r w:rsidRPr="002274C2">
        <w:rPr>
          <w:rFonts w:ascii="Times New Roman" w:hAnsi="Times New Roman" w:cs="Times New Roman"/>
          <w:u w:val="single"/>
        </w:rPr>
        <w:t xml:space="preserve">Matching </w:t>
      </w:r>
      <w:r>
        <w:rPr>
          <w:rFonts w:ascii="Times New Roman" w:hAnsi="Times New Roman" w:cs="Times New Roman"/>
          <w:u w:val="single"/>
        </w:rPr>
        <w:t>P</w:t>
      </w:r>
      <w:r w:rsidRPr="002274C2">
        <w:rPr>
          <w:rFonts w:ascii="Times New Roman" w:hAnsi="Times New Roman" w:cs="Times New Roman"/>
          <w:u w:val="single"/>
        </w:rPr>
        <w:t xml:space="preserve">3 Trials to Prior </w:t>
      </w:r>
      <w:r>
        <w:rPr>
          <w:rFonts w:ascii="Times New Roman" w:hAnsi="Times New Roman" w:cs="Times New Roman"/>
          <w:u w:val="single"/>
        </w:rPr>
        <w:t>P</w:t>
      </w:r>
      <w:r w:rsidRPr="002274C2">
        <w:rPr>
          <w:rFonts w:ascii="Times New Roman" w:hAnsi="Times New Roman" w:cs="Times New Roman"/>
          <w:u w:val="single"/>
        </w:rPr>
        <w:t xml:space="preserve">2 Trials </w:t>
      </w:r>
    </w:p>
    <w:p w14:paraId="0789CC6F" w14:textId="77777777" w:rsidR="00727CBC" w:rsidRDefault="00727CBC" w:rsidP="00727CBC">
      <w:pPr>
        <w:rPr>
          <w:rFonts w:ascii="Times New Roman" w:hAnsi="Times New Roman" w:cs="Times New Roman"/>
          <w:u w:val="single"/>
        </w:rPr>
      </w:pPr>
    </w:p>
    <w:p w14:paraId="26DBD7A0" w14:textId="44D1EB8E" w:rsidR="00727CBC" w:rsidRPr="00DA30D1" w:rsidRDefault="00727CBC" w:rsidP="00727CBC">
      <w:pPr>
        <w:rPr>
          <w:rFonts w:cstheme="minorHAnsi"/>
        </w:rPr>
      </w:pPr>
      <w:r>
        <w:rPr>
          <w:rFonts w:cstheme="minorHAnsi"/>
        </w:rPr>
        <w:t xml:space="preserve">To </w:t>
      </w:r>
      <w:r w:rsidRPr="00DA30D1">
        <w:rPr>
          <w:rFonts w:cstheme="minorHAnsi"/>
        </w:rPr>
        <w:t xml:space="preserve">the introduction, conclusion, and research sections in the </w:t>
      </w:r>
      <w:r>
        <w:rPr>
          <w:rFonts w:cstheme="minorHAnsi"/>
        </w:rPr>
        <w:t>Phase 3</w:t>
      </w:r>
      <w:r w:rsidRPr="00DA30D1">
        <w:rPr>
          <w:rFonts w:cstheme="minorHAnsi"/>
        </w:rPr>
        <w:t xml:space="preserve"> publications </w:t>
      </w:r>
      <w:r>
        <w:rPr>
          <w:rFonts w:cstheme="minorHAnsi"/>
        </w:rPr>
        <w:t>will be</w:t>
      </w:r>
      <w:r w:rsidRPr="00DA30D1">
        <w:rPr>
          <w:rFonts w:cstheme="minorHAnsi"/>
        </w:rPr>
        <w:t xml:space="preserve"> searched for P2 trials. If none m</w:t>
      </w:r>
      <w:r>
        <w:rPr>
          <w:rFonts w:cstheme="minorHAnsi"/>
        </w:rPr>
        <w:t>e</w:t>
      </w:r>
      <w:r w:rsidRPr="00DA30D1">
        <w:rPr>
          <w:rFonts w:cstheme="minorHAnsi"/>
        </w:rPr>
        <w:t>et the matching criteria (see below)</w:t>
      </w:r>
      <w:r>
        <w:rPr>
          <w:rFonts w:cstheme="minorHAnsi"/>
        </w:rPr>
        <w:t>,</w:t>
      </w:r>
      <w:r w:rsidRPr="00DA30D1">
        <w:rPr>
          <w:rFonts w:cstheme="minorHAnsi"/>
        </w:rPr>
        <w:t xml:space="preserve"> we </w:t>
      </w:r>
      <w:r>
        <w:rPr>
          <w:rFonts w:cstheme="minorHAnsi"/>
        </w:rPr>
        <w:t>searched</w:t>
      </w:r>
      <w:r w:rsidRPr="00DA30D1">
        <w:rPr>
          <w:rFonts w:cstheme="minorHAnsi"/>
        </w:rPr>
        <w:t xml:space="preserve"> </w:t>
      </w:r>
      <w:proofErr w:type="spellStart"/>
      <w:r w:rsidRPr="00DA30D1">
        <w:rPr>
          <w:rFonts w:cstheme="minorHAnsi"/>
        </w:rPr>
        <w:t>TrialViewer</w:t>
      </w:r>
      <w:proofErr w:type="spellEnd"/>
      <w:r w:rsidRPr="00DA30D1">
        <w:rPr>
          <w:rFonts w:cstheme="minorHAnsi"/>
        </w:rPr>
        <w:t xml:space="preserve"> (ClinicalTrials.gov) for additional P2 trials. If there </w:t>
      </w:r>
      <w:r>
        <w:rPr>
          <w:rFonts w:cstheme="minorHAnsi"/>
        </w:rPr>
        <w:t>are</w:t>
      </w:r>
      <w:r w:rsidRPr="00DA30D1">
        <w:rPr>
          <w:rFonts w:cstheme="minorHAnsi"/>
        </w:rPr>
        <w:t xml:space="preserve"> still no matches, we search</w:t>
      </w:r>
      <w:r>
        <w:rPr>
          <w:rFonts w:cstheme="minorHAnsi"/>
        </w:rPr>
        <w:t>ed</w:t>
      </w:r>
      <w:r w:rsidRPr="00DA30D1">
        <w:rPr>
          <w:rFonts w:cstheme="minorHAnsi"/>
        </w:rPr>
        <w:t xml:space="preserve"> for P2 trials </w:t>
      </w:r>
      <w:r>
        <w:rPr>
          <w:rFonts w:cstheme="minorHAnsi"/>
        </w:rPr>
        <w:t>using</w:t>
      </w:r>
      <w:r w:rsidRPr="00DA30D1">
        <w:rPr>
          <w:rFonts w:cstheme="minorHAnsi"/>
        </w:rPr>
        <w:t xml:space="preserve"> </w:t>
      </w:r>
      <w:r>
        <w:rPr>
          <w:rFonts w:cstheme="minorHAnsi"/>
        </w:rPr>
        <w:t xml:space="preserve">google scholar, </w:t>
      </w:r>
      <w:r w:rsidRPr="00EF49F6">
        <w:rPr>
          <w:rFonts w:cstheme="minorHAnsi"/>
        </w:rPr>
        <w:t>MEDLINE and EMBASE via OVID</w:t>
      </w:r>
      <w:r>
        <w:rPr>
          <w:sz w:val="20"/>
          <w:szCs w:val="20"/>
        </w:rPr>
        <w:t xml:space="preserve">. </w:t>
      </w:r>
      <w:r>
        <w:rPr>
          <w:rFonts w:cstheme="minorHAnsi"/>
        </w:rPr>
        <w:t xml:space="preserve">For approved drugs, </w:t>
      </w:r>
      <w:proofErr w:type="spellStart"/>
      <w:r>
        <w:rPr>
          <w:rFonts w:cstheme="minorHAnsi"/>
        </w:rPr>
        <w:t>drugs@FDA</w:t>
      </w:r>
      <w:proofErr w:type="spellEnd"/>
      <w:r>
        <w:rPr>
          <w:rFonts w:cstheme="minorHAnsi"/>
        </w:rPr>
        <w:t xml:space="preserve"> </w:t>
      </w:r>
      <w:r>
        <w:rPr>
          <w:rFonts w:cstheme="minorHAnsi"/>
        </w:rPr>
        <w:lastRenderedPageBreak/>
        <w:t>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235E4F9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and investigate the same drug or biologic in the same condition</w:t>
      </w:r>
      <w:r w:rsidR="005A5D20">
        <w:rPr>
          <w:rFonts w:cstheme="minorHAnsi"/>
        </w:rPr>
        <w:t xml:space="preserve"> (see supplement for details)</w:t>
      </w:r>
      <w:r w:rsidR="00531A1E">
        <w:rPr>
          <w:rFonts w:cstheme="minorHAnsi"/>
        </w:rPr>
        <w:t>.</w:t>
      </w:r>
    </w:p>
    <w:p w14:paraId="3DE57590" w14:textId="39F1F851" w:rsidR="00727CBC" w:rsidRPr="00A16590" w:rsidRDefault="00727CBC" w:rsidP="001C736A">
      <w:r w:rsidRPr="00531A1E">
        <w:rPr>
          <w:rFonts w:cstheme="minorHAnsi"/>
        </w:rPr>
        <w:t xml:space="preserve"> </w:t>
      </w:r>
    </w:p>
    <w:p w14:paraId="06D275AE" w14:textId="4E5A884B" w:rsidR="00727CBC" w:rsidRDefault="001C736A" w:rsidP="001C736A">
      <w:pPr>
        <w:rPr>
          <w:rFonts w:ascii="Times New Roman" w:hAnsi="Times New Roman" w:cs="Times New Roman"/>
          <w:u w:val="single"/>
        </w:rPr>
      </w:pPr>
      <w:r w:rsidRPr="002274C2">
        <w:rPr>
          <w:rFonts w:ascii="Times New Roman" w:hAnsi="Times New Roman" w:cs="Times New Roman"/>
          <w:u w:val="single"/>
        </w:rPr>
        <w:t>Extractions</w:t>
      </w:r>
    </w:p>
    <w:p w14:paraId="1109156A" w14:textId="77777777" w:rsidR="00A16590" w:rsidRDefault="00A16590" w:rsidP="00A16590">
      <w:pPr>
        <w:rPr>
          <w:rFonts w:ascii="Times New Roman" w:hAnsi="Times New Roman" w:cs="Times New Roman"/>
          <w:u w:val="single"/>
        </w:rPr>
      </w:pPr>
    </w:p>
    <w:p w14:paraId="5004D3D6" w14:textId="035415F3"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To be deemed positive, P2 trials must have a primary clinical efficacy endpoint and be positive on that endpoint based on what was pre-specified in the trial. Alternatively, P2 trials were deemed to be ambiguous where a primary endpoint is negative, but a secondary</w:t>
      </w:r>
      <w:r w:rsidR="00366AC1">
        <w:t xml:space="preserve"> or </w:t>
      </w:r>
      <w:proofErr w:type="gramStart"/>
      <w:r w:rsidR="00366AC1">
        <w:t xml:space="preserve">coprimary </w:t>
      </w:r>
      <w:r>
        <w:t xml:space="preserve"> was</w:t>
      </w:r>
      <w:proofErr w:type="gramEnd"/>
      <w:r>
        <w:t xml:space="preserve"> positive, when subgroup analyses are used as the positive signal</w:t>
      </w:r>
      <w:r w:rsidR="003F6DF1">
        <w:t>, or the trial used a biomarker endpoint as their primary outcome.</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w:t>
      </w:r>
      <w:proofErr w:type="spellStart"/>
      <w:r w:rsidRPr="00B64507">
        <w:t>nonindustry</w:t>
      </w:r>
      <w:proofErr w:type="spellEnd"/>
      <w:r w:rsidRPr="00B64507">
        <w:t xml:space="preserve">),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Pr>
        <w:rPr>
          <w:rFonts w:ascii="Times New Roman" w:hAnsi="Times New Roman" w:cs="Times New Roman"/>
        </w:rPr>
      </w:pPr>
    </w:p>
    <w:p w14:paraId="2464DBE8" w14:textId="79704473" w:rsidR="001C736A" w:rsidRDefault="001C736A" w:rsidP="001C736A">
      <w:pPr>
        <w:rPr>
          <w:rFonts w:ascii="Times New Roman" w:hAnsi="Times New Roman" w:cs="Times New Roman"/>
          <w:u w:val="single"/>
        </w:rPr>
      </w:pPr>
      <w:r w:rsidRPr="002274C2">
        <w:rPr>
          <w:rFonts w:ascii="Times New Roman" w:hAnsi="Times New Roman" w:cs="Times New Roman"/>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7F9D630C"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791E6209" w14:textId="77777777" w:rsidR="001C736A" w:rsidRPr="002274C2" w:rsidRDefault="001C736A" w:rsidP="001C736A">
      <w:pPr>
        <w:rPr>
          <w:rFonts w:ascii="Times New Roman" w:hAnsi="Times New Roman" w:cs="Times New Roman"/>
          <w:u w:val="single"/>
        </w:rPr>
      </w:pPr>
    </w:p>
    <w:p w14:paraId="1DA3F486" w14:textId="630445E4" w:rsidR="001C736A" w:rsidRDefault="001C736A" w:rsidP="001C736A">
      <w:pPr>
        <w:rPr>
          <w:rFonts w:ascii="Times New Roman" w:hAnsi="Times New Roman" w:cs="Times New Roman"/>
          <w:u w:val="single"/>
        </w:rPr>
      </w:pPr>
      <w:r w:rsidRPr="002274C2">
        <w:rPr>
          <w:rFonts w:ascii="Times New Roman" w:hAnsi="Times New Roman" w:cs="Times New Roman"/>
          <w:u w:val="single"/>
        </w:rPr>
        <w:t>Impact of Bypass on Risk and Benefit</w:t>
      </w:r>
    </w:p>
    <w:p w14:paraId="1D56C2B9" w14:textId="77777777" w:rsidR="00296EE7" w:rsidRDefault="00296EE7" w:rsidP="00296EE7">
      <w:pPr>
        <w:rPr>
          <w:rFonts w:ascii="Times New Roman" w:hAnsi="Times New Roman" w:cs="Times New Roman"/>
          <w:u w:val="single"/>
        </w:rPr>
      </w:pPr>
    </w:p>
    <w:p w14:paraId="6E4F2FE4" w14:textId="26BEFA69" w:rsidR="00727CBC" w:rsidRPr="002E2E81" w:rsidRDefault="00727CBC" w:rsidP="00296EE7">
      <w:r w:rsidRPr="002E2E81">
        <w:t>Restricting our analysis to those indication areas where there are at least 3 trials in the bypass and non-bypass group and within these indications</w:t>
      </w:r>
      <w:r w:rsidR="00296EE7">
        <w:t xml:space="preserve">. </w:t>
      </w:r>
      <w:r w:rsidRPr="002E2E81">
        <w:t>We perform</w:t>
      </w:r>
      <w:r w:rsidR="00296EE7">
        <w:t>ed</w:t>
      </w:r>
      <w:r w:rsidRPr="002E2E81">
        <w:t xml:space="preserve"> a chi-squared test between the proportion of P3 trials in the bypass group vs non-bypass group and the P3: a) rate of termination, b) positivity on the primary endpoint</w:t>
      </w:r>
    </w:p>
    <w:p w14:paraId="0A52E4C5" w14:textId="77777777" w:rsidR="00296EE7" w:rsidRDefault="00296EE7" w:rsidP="00296EE7"/>
    <w:p w14:paraId="4FEFA11D" w14:textId="00F8B675"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instrText xml:space="preserve"> ADDIN ZOTERO_ITEM CSL_CITATION {"citationID":"DDhytca2","properties":{"formattedCitation":"\\super 22\\nosupersub{}","plainCitation":"22","noteIndex":0},"citationItems":[{"id":2608,"uris":["http://zotero.org/groups/2765074/items/X4LUPY4M"],"itemData":{"id":2608,"type":"webpage","title":"9.2.3.2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Pr="00296EE7">
        <w:rPr>
          <w:rFonts w:ascii="Cambria" w:cs="Times New Roman"/>
          <w:vertAlign w:val="superscript"/>
        </w:rPr>
        <w:t>22</w:t>
      </w:r>
      <w:r>
        <w:fldChar w:fldCharType="end"/>
      </w:r>
      <w:r w:rsidR="00296EE7">
        <w:t xml:space="preserve"> </w:t>
      </w:r>
      <w:r w:rsidRPr="008A1EB1">
        <w:t>RR for withdrawal related adverse events for all trials in sample</w:t>
      </w:r>
      <w:r w:rsidR="00296EE7">
        <w:t>.</w:t>
      </w:r>
    </w:p>
    <w:p w14:paraId="172D399F" w14:textId="77777777" w:rsidR="00296EE7" w:rsidRDefault="00296EE7" w:rsidP="00296EE7">
      <w:pPr>
        <w:rPr>
          <w:rFonts w:cs="Segoe UI"/>
          <w:color w:val="000000"/>
          <w:highlight w:val="yellow"/>
          <w:shd w:val="clear" w:color="auto" w:fill="FFFFFF"/>
        </w:rPr>
      </w:pPr>
    </w:p>
    <w:p w14:paraId="3CA5224C" w14:textId="3D0842D5" w:rsidR="00727CBC" w:rsidRPr="00296EE7" w:rsidRDefault="00A16590" w:rsidP="001C736A">
      <w:pPr>
        <w:rPr>
          <w:rFonts w:cs="Segoe UI"/>
          <w:color w:val="000000"/>
          <w:shd w:val="clear" w:color="auto" w:fill="FFFFFF"/>
        </w:rPr>
      </w:pPr>
      <w:r w:rsidRPr="00296EE7">
        <w:rPr>
          <w:rFonts w:cs="Segoe UI"/>
          <w:color w:val="000000"/>
          <w:shd w:val="clear" w:color="auto" w:fill="FFFFFF"/>
        </w:rPr>
        <w:lastRenderedPageBreak/>
        <w:t>Within the five disease areas with the largest number of trials in our sample, we will find the average number of patients enrolled in phase 3 trials that are ultimately negative on their primary endpoint or stopped early due to safety or futility that bypassed phase 2 evidence and compare this to the average number of patients in phase 2 trials in our 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w:t>
      </w:r>
      <w:proofErr w:type="gramStart"/>
      <w:r w:rsidRPr="00296EE7">
        <w:rPr>
          <w:rFonts w:cs="Segoe UI"/>
          <w:color w:val="000000"/>
          <w:shd w:val="clear" w:color="auto" w:fill="FFFFFF"/>
        </w:rPr>
        <w:t>e.g.</w:t>
      </w:r>
      <w:proofErr w:type="gramEnd"/>
      <w:r w:rsidRPr="00296EE7">
        <w:rPr>
          <w:rFonts w:cs="Segoe UI"/>
          <w:color w:val="000000"/>
          <w:shd w:val="clear" w:color="auto" w:fill="FFFFFF"/>
        </w:rPr>
        <w:t xml:space="preserve"> patient years). In addition, we will estimate the proportion of patients in our sample that were in P3 trials that bypassed.</w:t>
      </w:r>
    </w:p>
    <w:p w14:paraId="2DDBDADA" w14:textId="77777777" w:rsidR="001C736A" w:rsidRPr="002274C2" w:rsidRDefault="001C736A" w:rsidP="001C736A">
      <w:pPr>
        <w:ind w:firstLine="720"/>
        <w:rPr>
          <w:rFonts w:ascii="Times New Roman" w:hAnsi="Times New Roman" w:cs="Times New Roman"/>
        </w:rPr>
      </w:pPr>
    </w:p>
    <w:p w14:paraId="6667B83B" w14:textId="6FAF7296" w:rsidR="001C736A" w:rsidRDefault="001C736A" w:rsidP="001C736A">
      <w:pPr>
        <w:rPr>
          <w:rFonts w:ascii="Times New Roman" w:hAnsi="Times New Roman" w:cs="Times New Roman"/>
          <w:u w:val="single"/>
        </w:rPr>
      </w:pPr>
      <w:r w:rsidRPr="002274C2">
        <w:rPr>
          <w:rFonts w:ascii="Times New Roman" w:hAnsi="Times New Roman" w:cs="Times New Roman"/>
          <w:u w:val="single"/>
        </w:rPr>
        <w:t xml:space="preserve">Statistical </w:t>
      </w:r>
      <w:commentRangeStart w:id="1"/>
      <w:r w:rsidRPr="002274C2">
        <w:rPr>
          <w:rFonts w:ascii="Times New Roman" w:hAnsi="Times New Roman" w:cs="Times New Roman"/>
          <w:u w:val="single"/>
        </w:rPr>
        <w:t xml:space="preserve">Analyses </w:t>
      </w:r>
      <w:commentRangeEnd w:id="1"/>
      <w:r w:rsidR="002312A6">
        <w:rPr>
          <w:rStyle w:val="CommentReference"/>
        </w:rPr>
        <w:commentReference w:id="1"/>
      </w:r>
    </w:p>
    <w:p w14:paraId="7E98EEDC" w14:textId="21B62C47" w:rsidR="00AC3430" w:rsidRDefault="002312A6" w:rsidP="00AC3430">
      <w:r>
        <w:t>DO</w:t>
      </w:r>
    </w:p>
    <w:p w14:paraId="16A3D5DA" w14:textId="355C2017" w:rsidR="001C736A" w:rsidRPr="009C0C60" w:rsidRDefault="001C736A" w:rsidP="001C736A">
      <w:pPr>
        <w:rPr>
          <w:rFonts w:ascii="Times New Roman" w:hAnsi="Times New Roman" w:cs="Times New Roman"/>
        </w:rPr>
      </w:pPr>
    </w:p>
    <w:p w14:paraId="264FD3AE" w14:textId="77777777" w:rsidR="001C736A" w:rsidRPr="002274C2" w:rsidRDefault="001C736A" w:rsidP="001C736A">
      <w:pPr>
        <w:rPr>
          <w:rFonts w:ascii="Times New Roman" w:hAnsi="Times New Roman" w:cs="Times New Roman"/>
          <w:b/>
          <w:bCs/>
        </w:rPr>
      </w:pPr>
      <w:r w:rsidRPr="002274C2">
        <w:rPr>
          <w:rFonts w:ascii="Times New Roman" w:hAnsi="Times New Roman" w:cs="Times New Roman"/>
          <w:b/>
          <w:bCs/>
        </w:rPr>
        <w:t xml:space="preserve">Results </w:t>
      </w:r>
    </w:p>
    <w:p w14:paraId="5F7878A0" w14:textId="77777777" w:rsidR="001C736A" w:rsidRDefault="001C736A" w:rsidP="001C736A">
      <w:pPr>
        <w:rPr>
          <w:rFonts w:ascii="Times New Roman" w:hAnsi="Times New Roman" w:cs="Times New Roman"/>
          <w:u w:val="single"/>
        </w:rPr>
      </w:pPr>
    </w:p>
    <w:p w14:paraId="2BB877BB" w14:textId="77777777" w:rsidR="001C736A" w:rsidRPr="002274C2" w:rsidRDefault="001C736A" w:rsidP="001C736A">
      <w:pPr>
        <w:rPr>
          <w:rFonts w:ascii="Times New Roman" w:hAnsi="Times New Roman" w:cs="Times New Roman"/>
          <w:u w:val="single"/>
        </w:rPr>
      </w:pPr>
      <w:r w:rsidRPr="002274C2">
        <w:rPr>
          <w:rFonts w:ascii="Times New Roman" w:hAnsi="Times New Roman" w:cs="Times New Roman"/>
          <w:u w:val="single"/>
        </w:rPr>
        <w:t xml:space="preserve">Sample of Index </w:t>
      </w:r>
      <w:r>
        <w:rPr>
          <w:rFonts w:ascii="Times New Roman" w:hAnsi="Times New Roman" w:cs="Times New Roman"/>
          <w:u w:val="single"/>
        </w:rPr>
        <w:t>P</w:t>
      </w:r>
      <w:r w:rsidRPr="002274C2">
        <w:rPr>
          <w:rFonts w:ascii="Times New Roman" w:hAnsi="Times New Roman" w:cs="Times New Roman"/>
          <w:u w:val="single"/>
        </w:rPr>
        <w:t>3 trials</w:t>
      </w:r>
    </w:p>
    <w:p w14:paraId="52CE9DA4" w14:textId="77777777" w:rsidR="001C736A" w:rsidRPr="002274C2" w:rsidRDefault="001C736A" w:rsidP="001C736A">
      <w:pPr>
        <w:rPr>
          <w:rFonts w:ascii="Times New Roman" w:hAnsi="Times New Roman" w:cs="Times New Roman"/>
        </w:rPr>
      </w:pPr>
    </w:p>
    <w:p w14:paraId="5B827F42" w14:textId="77777777" w:rsidR="001C736A" w:rsidRPr="002274C2" w:rsidRDefault="001C736A" w:rsidP="001C736A">
      <w:pPr>
        <w:rPr>
          <w:rFonts w:ascii="Times New Roman" w:hAnsi="Times New Roman" w:cs="Times New Roman"/>
          <w:u w:val="single"/>
        </w:rPr>
      </w:pPr>
      <w:r w:rsidRPr="002274C2">
        <w:rPr>
          <w:rFonts w:ascii="Times New Roman" w:hAnsi="Times New Roman" w:cs="Times New Roman"/>
          <w:u w:val="single"/>
        </w:rPr>
        <w:t xml:space="preserve">Prevalence of </w:t>
      </w:r>
      <w:r>
        <w:rPr>
          <w:rFonts w:ascii="Times New Roman" w:hAnsi="Times New Roman" w:cs="Times New Roman"/>
          <w:u w:val="single"/>
        </w:rPr>
        <w:t>P</w:t>
      </w:r>
      <w:r w:rsidRPr="002274C2">
        <w:rPr>
          <w:rFonts w:ascii="Times New Roman" w:hAnsi="Times New Roman" w:cs="Times New Roman"/>
          <w:u w:val="single"/>
        </w:rPr>
        <w:t>2 Bypass</w:t>
      </w:r>
    </w:p>
    <w:p w14:paraId="6C7F4E98" w14:textId="77777777" w:rsidR="001C736A" w:rsidRPr="002274C2" w:rsidRDefault="001C736A" w:rsidP="001C736A">
      <w:pPr>
        <w:rPr>
          <w:rFonts w:ascii="Times New Roman" w:hAnsi="Times New Roman" w:cs="Times New Roman"/>
          <w:lang w:val="en-CA"/>
        </w:rPr>
      </w:pPr>
    </w:p>
    <w:p w14:paraId="6AF70105" w14:textId="7734B531" w:rsidR="001C736A" w:rsidRPr="002274C2" w:rsidRDefault="001C736A" w:rsidP="001C736A">
      <w:pPr>
        <w:rPr>
          <w:rFonts w:ascii="Times New Roman" w:hAnsi="Times New Roman" w:cs="Times New Roman"/>
          <w:u w:val="single"/>
        </w:rPr>
      </w:pPr>
      <w:r w:rsidRPr="002274C2">
        <w:rPr>
          <w:rFonts w:ascii="Times New Roman" w:hAnsi="Times New Roman" w:cs="Times New Roman"/>
          <w:u w:val="single"/>
        </w:rPr>
        <w:t>Risk</w:t>
      </w:r>
      <w:r w:rsidR="00AC3430">
        <w:rPr>
          <w:rFonts w:ascii="Times New Roman" w:hAnsi="Times New Roman" w:cs="Times New Roman"/>
          <w:u w:val="single"/>
        </w:rPr>
        <w:t xml:space="preserve"> and </w:t>
      </w:r>
      <w:r w:rsidRPr="002274C2">
        <w:rPr>
          <w:rFonts w:ascii="Times New Roman" w:hAnsi="Times New Roman" w:cs="Times New Roman"/>
          <w:u w:val="single"/>
        </w:rPr>
        <w:t xml:space="preserve">Benefit of </w:t>
      </w:r>
      <w:r>
        <w:rPr>
          <w:rFonts w:ascii="Times New Roman" w:hAnsi="Times New Roman" w:cs="Times New Roman"/>
          <w:u w:val="single"/>
        </w:rPr>
        <w:t>P</w:t>
      </w:r>
      <w:r w:rsidRPr="002274C2">
        <w:rPr>
          <w:rFonts w:ascii="Times New Roman" w:hAnsi="Times New Roman" w:cs="Times New Roman"/>
          <w:u w:val="single"/>
        </w:rPr>
        <w:t>2 Bypassing</w:t>
      </w:r>
    </w:p>
    <w:p w14:paraId="6FD2686B" w14:textId="77777777" w:rsidR="001C736A" w:rsidRPr="00421A2B" w:rsidRDefault="001C736A" w:rsidP="001C736A">
      <w:pPr>
        <w:rPr>
          <w:rFonts w:ascii="Times New Roman" w:hAnsi="Times New Roman" w:cs="Times New Roman"/>
        </w:rPr>
      </w:pPr>
    </w:p>
    <w:p w14:paraId="75FCC395" w14:textId="3EFF304F" w:rsidR="001C736A" w:rsidRDefault="001C736A" w:rsidP="001C736A">
      <w:pPr>
        <w:rPr>
          <w:rFonts w:ascii="Times New Roman" w:hAnsi="Times New Roman" w:cs="Times New Roman"/>
          <w:b/>
          <w:bCs/>
        </w:rPr>
      </w:pPr>
      <w:r w:rsidRPr="002274C2">
        <w:rPr>
          <w:rFonts w:ascii="Times New Roman" w:hAnsi="Times New Roman" w:cs="Times New Roman"/>
          <w:b/>
          <w:bCs/>
        </w:rPr>
        <w:t xml:space="preserve">Discussion </w:t>
      </w:r>
    </w:p>
    <w:p w14:paraId="5EED1320" w14:textId="480396F4" w:rsidR="00994ACF" w:rsidRDefault="00994ACF" w:rsidP="001C736A">
      <w:pPr>
        <w:rPr>
          <w:rFonts w:ascii="Times New Roman" w:hAnsi="Times New Roman" w:cs="Times New Roman"/>
          <w:b/>
          <w:bCs/>
        </w:rPr>
      </w:pPr>
    </w:p>
    <w:p w14:paraId="4CC2F0CC" w14:textId="5B2665A0" w:rsidR="00994ACF" w:rsidRDefault="00994ACF" w:rsidP="001C736A">
      <w:pPr>
        <w:rPr>
          <w:rFonts w:ascii="Times New Roman" w:hAnsi="Times New Roman" w:cs="Times New Roman"/>
        </w:rPr>
      </w:pPr>
      <w:r w:rsidRPr="00994ACF">
        <w:rPr>
          <w:rFonts w:ascii="Times New Roman" w:hAnsi="Times New Roman" w:cs="Times New Roman"/>
        </w:rPr>
        <w:t>Limitations</w:t>
      </w:r>
    </w:p>
    <w:p w14:paraId="6B1584D0" w14:textId="1CF5BF03" w:rsidR="00994ACF" w:rsidRPr="00994ACF" w:rsidRDefault="00994ACF" w:rsidP="001C736A">
      <w:pPr>
        <w:rPr>
          <w:rFonts w:ascii="Times New Roman" w:hAnsi="Times New Roman" w:cs="Times New Roman"/>
        </w:rPr>
      </w:pPr>
      <w:r>
        <w:rPr>
          <w:rFonts w:ascii="Times New Roman" w:hAnsi="Times New Roman" w:cs="Times New Roman"/>
        </w:rPr>
        <w:t xml:space="preserve">P2/3s are put into </w:t>
      </w:r>
      <w:proofErr w:type="spellStart"/>
      <w:r>
        <w:rPr>
          <w:rFonts w:ascii="Times New Roman" w:hAnsi="Times New Roman" w:cs="Times New Roman"/>
        </w:rPr>
        <w:t>preceeded</w:t>
      </w:r>
      <w:proofErr w:type="spellEnd"/>
      <w:r>
        <w:rPr>
          <w:rFonts w:ascii="Times New Roman" w:hAnsi="Times New Roman" w:cs="Times New Roman"/>
        </w:rPr>
        <w:t xml:space="preserve"> category although unsure if P2 had a clinical positive endpoint-different threshold to move to P3</w:t>
      </w:r>
    </w:p>
    <w:p w14:paraId="7C260F50" w14:textId="77777777" w:rsidR="00994ACF" w:rsidRPr="002274C2" w:rsidRDefault="00994ACF" w:rsidP="001C736A">
      <w:pPr>
        <w:rPr>
          <w:rFonts w:ascii="Times New Roman" w:hAnsi="Times New Roman" w:cs="Times New Roman"/>
          <w:b/>
          <w:bCs/>
        </w:rPr>
      </w:pPr>
    </w:p>
    <w:p w14:paraId="5CAC0D11" w14:textId="77777777" w:rsidR="001C736A" w:rsidRPr="002274C2" w:rsidRDefault="001C736A" w:rsidP="001C736A">
      <w:pPr>
        <w:spacing w:after="30" w:line="236" w:lineRule="auto"/>
        <w:rPr>
          <w:rFonts w:ascii="Times New Roman" w:hAnsi="Times New Roman" w:cs="Times New Roman"/>
        </w:rPr>
      </w:pPr>
    </w:p>
    <w:p w14:paraId="4F7E26CF" w14:textId="77777777" w:rsidR="001C736A" w:rsidRPr="002274C2" w:rsidRDefault="001C736A" w:rsidP="001C736A">
      <w:pPr>
        <w:spacing w:line="480" w:lineRule="auto"/>
        <w:rPr>
          <w:rFonts w:ascii="Times New Roman" w:hAnsi="Times New Roman" w:cs="Times New Roman"/>
          <w:b/>
          <w:bCs/>
        </w:rPr>
      </w:pPr>
      <w:r>
        <w:rPr>
          <w:rFonts w:ascii="Times New Roman" w:hAnsi="Times New Roman" w:cs="Times New Roman"/>
          <w:b/>
          <w:bCs/>
        </w:rPr>
        <w:t>Declaration</w:t>
      </w:r>
      <w:r w:rsidRPr="002274C2">
        <w:rPr>
          <w:rFonts w:ascii="Times New Roman" w:hAnsi="Times New Roman" w:cs="Times New Roman"/>
          <w:b/>
          <w:bCs/>
        </w:rPr>
        <w:t xml:space="preserve"> of Interest:</w:t>
      </w:r>
      <w:r w:rsidRPr="00BF5B7E">
        <w:rPr>
          <w:rFonts w:ascii="Times New Roman" w:eastAsia="Times New Roman" w:hAnsi="Times New Roman" w:cs="Times New Roman"/>
          <w:color w:val="191919"/>
          <w:shd w:val="clear" w:color="auto" w:fill="FFFFFF"/>
        </w:rPr>
        <w:t xml:space="preserve"> </w:t>
      </w:r>
      <w:r w:rsidRPr="00BF5B7E">
        <w:rPr>
          <w:rFonts w:ascii="Times New Roman" w:hAnsi="Times New Roman" w:cs="Times New Roman"/>
        </w:rPr>
        <w:t xml:space="preserve">JK received consulting fees from </w:t>
      </w:r>
      <w:proofErr w:type="spellStart"/>
      <w:r w:rsidRPr="00BF5B7E">
        <w:rPr>
          <w:rFonts w:ascii="Times New Roman" w:hAnsi="Times New Roman" w:cs="Times New Roman"/>
        </w:rPr>
        <w:t>Amylyx</w:t>
      </w:r>
      <w:proofErr w:type="spellEnd"/>
      <w:r w:rsidRPr="00BF5B7E">
        <w:rPr>
          <w:rFonts w:ascii="Times New Roman" w:hAnsi="Times New Roman" w:cs="Times New Roman"/>
        </w:rPr>
        <w:t xml:space="preserve"> Inc. Authors declare no other potential conflicts of interest</w:t>
      </w:r>
      <w:r w:rsidRPr="002274C2">
        <w:rPr>
          <w:rFonts w:ascii="Times New Roman" w:hAnsi="Times New Roman" w:cs="Times New Roman"/>
        </w:rPr>
        <w:t>.</w:t>
      </w:r>
    </w:p>
    <w:p w14:paraId="6157DFA4" w14:textId="22CD2598" w:rsidR="001C736A" w:rsidRPr="00D02F0F" w:rsidRDefault="001C736A" w:rsidP="001C736A">
      <w:pPr>
        <w:spacing w:line="480" w:lineRule="auto"/>
        <w:rPr>
          <w:rFonts w:ascii="Times New Roman" w:hAnsi="Times New Roman" w:cs="Times New Roman"/>
        </w:rPr>
      </w:pPr>
      <w:r w:rsidRPr="00D02F0F">
        <w:rPr>
          <w:rFonts w:ascii="Times New Roman" w:hAnsi="Times New Roman" w:cs="Times New Roman"/>
          <w:b/>
          <w:bCs/>
        </w:rPr>
        <w:t>Data Sharing</w:t>
      </w:r>
      <w:r>
        <w:rPr>
          <w:rFonts w:ascii="Times New Roman" w:hAnsi="Times New Roman" w:cs="Times New Roman"/>
          <w:b/>
          <w:bCs/>
        </w:rPr>
        <w:t xml:space="preserve">: </w:t>
      </w:r>
      <w:r>
        <w:rPr>
          <w:rFonts w:ascii="Times New Roman" w:hAnsi="Times New Roman" w:cs="Times New Roman"/>
        </w:rPr>
        <w:t xml:space="preserve">Data will </w:t>
      </w:r>
      <w:r w:rsidR="00AC3430">
        <w:rPr>
          <w:rFonts w:ascii="Times New Roman" w:hAnsi="Times New Roman" w:cs="Times New Roman"/>
        </w:rPr>
        <w:t>be available on Open Science Framework</w:t>
      </w:r>
    </w:p>
    <w:p w14:paraId="032B8BC5" w14:textId="0753D557" w:rsidR="001C736A" w:rsidRDefault="001C736A" w:rsidP="001C736A">
      <w:pPr>
        <w:spacing w:line="480" w:lineRule="auto"/>
        <w:rPr>
          <w:rFonts w:ascii="Times New Roman" w:hAnsi="Times New Roman" w:cs="Times New Roman"/>
        </w:rPr>
      </w:pPr>
      <w:r w:rsidRPr="002274C2">
        <w:rPr>
          <w:rFonts w:ascii="Times New Roman" w:hAnsi="Times New Roman" w:cs="Times New Roman"/>
          <w:b/>
          <w:bCs/>
        </w:rPr>
        <w:t xml:space="preserve">Acknowledgments: </w:t>
      </w:r>
    </w:p>
    <w:p w14:paraId="389DBB57" w14:textId="77777777" w:rsidR="001C736A" w:rsidRDefault="001C736A" w:rsidP="001C736A">
      <w:pPr>
        <w:spacing w:line="480" w:lineRule="auto"/>
        <w:rPr>
          <w:rFonts w:ascii="Times New Roman" w:hAnsi="Times New Roman" w:cs="Times New Roman"/>
        </w:rPr>
      </w:pPr>
      <w:r>
        <w:rPr>
          <w:rFonts w:ascii="Times New Roman" w:hAnsi="Times New Roman" w:cs="Times New Roman"/>
          <w:b/>
          <w:bCs/>
        </w:rPr>
        <w:t>Funding</w:t>
      </w:r>
      <w:r>
        <w:rPr>
          <w:rFonts w:ascii="Times New Roman" w:hAnsi="Times New Roman" w:cs="Times New Roman"/>
        </w:rPr>
        <w:t>: This work was funded by CIHR.</w:t>
      </w:r>
    </w:p>
    <w:p w14:paraId="1628C9FC" w14:textId="77777777" w:rsidR="001C736A" w:rsidRPr="002274C2" w:rsidRDefault="001C736A" w:rsidP="001C736A">
      <w:pPr>
        <w:spacing w:line="480" w:lineRule="auto"/>
        <w:rPr>
          <w:rFonts w:ascii="Times New Roman" w:hAnsi="Times New Roman" w:cs="Times New Roman"/>
          <w:b/>
          <w:bCs/>
        </w:rPr>
      </w:pPr>
    </w:p>
    <w:p w14:paraId="7C05B642" w14:textId="77777777" w:rsidR="001C736A" w:rsidRDefault="001C736A"/>
    <w:sectPr w:rsidR="001C736A"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arie Moyer, Ms" w:date="2023-01-17T15:01:00Z" w:initials="HM">
    <w:p w14:paraId="3BF779E5" w14:textId="77777777" w:rsidR="002312A6" w:rsidRDefault="002312A6" w:rsidP="0096546E">
      <w:r>
        <w:rPr>
          <w:rStyle w:val="CommentReference"/>
        </w:rPr>
        <w:annotationRef/>
      </w:r>
      <w:r>
        <w:rPr>
          <w:sz w:val="20"/>
          <w:szCs w:val="20"/>
        </w:rPr>
        <w:t>biomarker sensitivity analysis?? What if indication doesn’t have clinical outcomes</w:t>
      </w:r>
    </w:p>
    <w:p w14:paraId="1FAE0D9C" w14:textId="77777777" w:rsidR="002312A6" w:rsidRDefault="002312A6" w:rsidP="0096546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1FAE0D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7136D4" w16cex:dateUtc="2023-01-17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1FAE0D9C" w16cid:durableId="277136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1"/>
  </w:num>
  <w:num w:numId="2" w16cid:durableId="1058628376">
    <w:abstractNumId w:val="20"/>
  </w:num>
  <w:num w:numId="3" w16cid:durableId="1425148172">
    <w:abstractNumId w:val="15"/>
  </w:num>
  <w:num w:numId="4" w16cid:durableId="1036588789">
    <w:abstractNumId w:val="10"/>
  </w:num>
  <w:num w:numId="5" w16cid:durableId="1939099112">
    <w:abstractNumId w:val="18"/>
  </w:num>
  <w:num w:numId="6" w16cid:durableId="134374354">
    <w:abstractNumId w:val="14"/>
  </w:num>
  <w:num w:numId="7" w16cid:durableId="938105612">
    <w:abstractNumId w:val="24"/>
  </w:num>
  <w:num w:numId="8" w16cid:durableId="538249866">
    <w:abstractNumId w:val="16"/>
  </w:num>
  <w:num w:numId="9" w16cid:durableId="12148213">
    <w:abstractNumId w:val="7"/>
  </w:num>
  <w:num w:numId="10" w16cid:durableId="1443768641">
    <w:abstractNumId w:val="9"/>
  </w:num>
  <w:num w:numId="11" w16cid:durableId="1674600016">
    <w:abstractNumId w:val="13"/>
  </w:num>
  <w:num w:numId="12" w16cid:durableId="1972858664">
    <w:abstractNumId w:val="30"/>
  </w:num>
  <w:num w:numId="13" w16cid:durableId="248000086">
    <w:abstractNumId w:val="6"/>
  </w:num>
  <w:num w:numId="14" w16cid:durableId="1563180538">
    <w:abstractNumId w:val="0"/>
  </w:num>
  <w:num w:numId="15" w16cid:durableId="1618370409">
    <w:abstractNumId w:val="25"/>
  </w:num>
  <w:num w:numId="16" w16cid:durableId="381370355">
    <w:abstractNumId w:val="8"/>
  </w:num>
  <w:num w:numId="17" w16cid:durableId="88963889">
    <w:abstractNumId w:val="11"/>
  </w:num>
  <w:num w:numId="18" w16cid:durableId="1724984223">
    <w:abstractNumId w:val="29"/>
  </w:num>
  <w:num w:numId="19" w16cid:durableId="779960117">
    <w:abstractNumId w:val="19"/>
  </w:num>
  <w:num w:numId="20" w16cid:durableId="365981759">
    <w:abstractNumId w:val="12"/>
  </w:num>
  <w:num w:numId="21" w16cid:durableId="2123724040">
    <w:abstractNumId w:val="2"/>
  </w:num>
  <w:num w:numId="22" w16cid:durableId="245190717">
    <w:abstractNumId w:val="1"/>
  </w:num>
  <w:num w:numId="23" w16cid:durableId="2105494898">
    <w:abstractNumId w:val="5"/>
  </w:num>
  <w:num w:numId="24" w16cid:durableId="1130123726">
    <w:abstractNumId w:val="28"/>
  </w:num>
  <w:num w:numId="25" w16cid:durableId="349453392">
    <w:abstractNumId w:val="22"/>
  </w:num>
  <w:num w:numId="26" w16cid:durableId="281958215">
    <w:abstractNumId w:val="23"/>
  </w:num>
  <w:num w:numId="27" w16cid:durableId="753823879">
    <w:abstractNumId w:val="26"/>
  </w:num>
  <w:num w:numId="28" w16cid:durableId="1106074730">
    <w:abstractNumId w:val="27"/>
  </w:num>
  <w:num w:numId="29" w16cid:durableId="1770274449">
    <w:abstractNumId w:val="4"/>
  </w:num>
  <w:num w:numId="30" w16cid:durableId="1299649480">
    <w:abstractNumId w:val="3"/>
  </w:num>
  <w:num w:numId="31" w16cid:durableId="5758650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30B25"/>
    <w:rsid w:val="000B4596"/>
    <w:rsid w:val="001034AE"/>
    <w:rsid w:val="00142E9D"/>
    <w:rsid w:val="001A53C3"/>
    <w:rsid w:val="001C736A"/>
    <w:rsid w:val="001C7502"/>
    <w:rsid w:val="001D7BBF"/>
    <w:rsid w:val="001F1D0C"/>
    <w:rsid w:val="002312A6"/>
    <w:rsid w:val="00296EE7"/>
    <w:rsid w:val="00366AC1"/>
    <w:rsid w:val="003A71BA"/>
    <w:rsid w:val="003C2917"/>
    <w:rsid w:val="003E6F03"/>
    <w:rsid w:val="003F6DF1"/>
    <w:rsid w:val="004163D2"/>
    <w:rsid w:val="004555FB"/>
    <w:rsid w:val="00481A25"/>
    <w:rsid w:val="004F2A91"/>
    <w:rsid w:val="0051353A"/>
    <w:rsid w:val="00531A1E"/>
    <w:rsid w:val="00531D2C"/>
    <w:rsid w:val="005376B8"/>
    <w:rsid w:val="00581A68"/>
    <w:rsid w:val="00595C9B"/>
    <w:rsid w:val="005A5D20"/>
    <w:rsid w:val="005D1785"/>
    <w:rsid w:val="0060759E"/>
    <w:rsid w:val="00636053"/>
    <w:rsid w:val="00655767"/>
    <w:rsid w:val="00684E81"/>
    <w:rsid w:val="00693211"/>
    <w:rsid w:val="00727CBC"/>
    <w:rsid w:val="00745613"/>
    <w:rsid w:val="00756DA9"/>
    <w:rsid w:val="007A298E"/>
    <w:rsid w:val="00801A78"/>
    <w:rsid w:val="008327F5"/>
    <w:rsid w:val="00843EB1"/>
    <w:rsid w:val="00871C65"/>
    <w:rsid w:val="008964CF"/>
    <w:rsid w:val="008B3787"/>
    <w:rsid w:val="00927ED9"/>
    <w:rsid w:val="00994ACF"/>
    <w:rsid w:val="009A5F41"/>
    <w:rsid w:val="009F0618"/>
    <w:rsid w:val="00A05916"/>
    <w:rsid w:val="00A16590"/>
    <w:rsid w:val="00A22983"/>
    <w:rsid w:val="00AC3430"/>
    <w:rsid w:val="00B62337"/>
    <w:rsid w:val="00B96919"/>
    <w:rsid w:val="00BE73F0"/>
    <w:rsid w:val="00BF66C9"/>
    <w:rsid w:val="00CD7D5B"/>
    <w:rsid w:val="00D6398B"/>
    <w:rsid w:val="00DA2869"/>
    <w:rsid w:val="00DB5588"/>
    <w:rsid w:val="00EC55ED"/>
    <w:rsid w:val="00EF6349"/>
    <w:rsid w:val="00EF64FA"/>
    <w:rsid w:val="00F7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53C3"/>
  </w:style>
  <w:style w:type="paragraph" w:styleId="Heading1">
    <w:name w:val="heading 1"/>
    <w:basedOn w:val="Normal"/>
    <w:link w:val="Heading1Char"/>
    <w:uiPriority w:val="9"/>
    <w:qFormat/>
    <w:rsid w:val="001C736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style>
  <w:style w:type="paragraph" w:styleId="NormalWeb">
    <w:name w:val="Normal (Web)"/>
    <w:basedOn w:val="Normal"/>
    <w:uiPriority w:val="99"/>
    <w:unhideWhenUsed/>
    <w:rsid w:val="001C736A"/>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1C736A"/>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rPr>
      <w:rFonts w:ascii="Times New Roman" w:eastAsia="Times New Roman" w:hAnsi="Times New Roman" w:cs="Times New Roman"/>
    </w:r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jonathan.kimmelman@mcgill.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Marie Moyer, Ms</cp:lastModifiedBy>
  <cp:revision>7</cp:revision>
  <dcterms:created xsi:type="dcterms:W3CDTF">2023-01-17T20:03:00Z</dcterms:created>
  <dcterms:modified xsi:type="dcterms:W3CDTF">2023-01-18T21:59:00Z</dcterms:modified>
</cp:coreProperties>
</file>