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1504EB7" w:rsidR="006A2DDB" w:rsidRPr="009E2F32"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0014DC7C" w14:textId="3B4F650E"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7EB2B712" w:rsidR="00277EE1" w:rsidRPr="00277EE1" w:rsidRDefault="00277EE1">
      <w:pPr>
        <w:pStyle w:val="ListParagraph"/>
        <w:numPr>
          <w:ilvl w:val="0"/>
          <w:numId w:val="5"/>
        </w:numPr>
        <w:rPr>
          <w:sz w:val="20"/>
          <w:szCs w:val="20"/>
          <w:lang w:val="en-US"/>
        </w:rPr>
      </w:pPr>
      <w:r w:rsidRPr="006C1CA1">
        <w:rPr>
          <w:rFonts w:ascii="Times New Roman" w:hAnsi="Times New Roman" w:cs="Times New Roman"/>
          <w:sz w:val="20"/>
          <w:szCs w:val="20"/>
        </w:rPr>
        <w:t xml:space="preserve">Condition or disease: </w:t>
      </w:r>
      <w:r w:rsidRPr="00277EE1">
        <w:rPr>
          <w:sz w:val="20"/>
          <w:szCs w:val="20"/>
          <w:lang w:val="en-US"/>
        </w:rPr>
        <w:t>Alzheimer disease OR Alzheimer's disease OR AD OR Parkinson disease OR Parkinson's disease OR PD OR ALS OR Amyotrophic lateral sclerosis OR Huntington disease OR Huntington's disease</w:t>
      </w:r>
      <w:r w:rsidRPr="00277EE1">
        <w:rPr>
          <w:sz w:val="20"/>
          <w:szCs w:val="20"/>
        </w:rPr>
        <w:t>OR MS (Multiple Sclerosis) OR MS OR Migraine OR Headache OR Epilepsy OR TBI OR Traumatic Brain Injury OR Stroke</w:t>
      </w:r>
    </w:p>
    <w:p w14:paraId="31DE8E2D" w14:textId="1779FF2F"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2284A66" w:rsidR="008024C5" w:rsidRPr="00277EE1" w:rsidRDefault="00277EE1">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072AE1A1" w14:textId="3B4FB542"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Intervention</w:t>
      </w:r>
      <w:r w:rsidRPr="00D57EF8">
        <w:rPr>
          <w:rFonts w:ascii="Times New Roman" w:hAnsi="Times New Roman" w:cs="Times New Roman"/>
          <w:sz w:val="20"/>
          <w:szCs w:val="20"/>
        </w:rPr>
        <w:t xml:space="preserve">: Exclude if </w:t>
      </w:r>
      <w:r w:rsidR="00FC3816" w:rsidRPr="00D57EF8">
        <w:rPr>
          <w:rFonts w:ascii="Times New Roman" w:hAnsi="Times New Roman" w:cs="Times New Roman"/>
          <w:sz w:val="20"/>
          <w:szCs w:val="20"/>
        </w:rPr>
        <w:t xml:space="preserve">the intervention is </w:t>
      </w:r>
    </w:p>
    <w:p w14:paraId="38107825" w14:textId="4756E8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surgery/behavioral/device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w:t>
      </w:r>
      <w:r w:rsidRPr="00D57EF8">
        <w:rPr>
          <w:rFonts w:ascii="Times New Roman" w:hAnsi="Times New Roman" w:cs="Times New Roman"/>
          <w:sz w:val="20"/>
          <w:szCs w:val="20"/>
        </w:rPr>
        <w:t>anticoagulant</w:t>
      </w:r>
      <w:r w:rsidRPr="00D57EF8">
        <w:rPr>
          <w:rFonts w:ascii="Times New Roman" w:hAnsi="Times New Roman" w:cs="Times New Roman"/>
          <w:sz w:val="20"/>
          <w:szCs w:val="20"/>
        </w:rPr>
        <w:t>)</w:t>
      </w:r>
    </w:p>
    <w:p w14:paraId="2EC6D90B" w14:textId="77777777"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w:t>
      </w:r>
      <w:r w:rsidRPr="00D57EF8">
        <w:rPr>
          <w:rFonts w:ascii="Times New Roman" w:hAnsi="Times New Roman" w:cs="Times New Roman"/>
          <w:sz w:val="20"/>
          <w:szCs w:val="20"/>
        </w:rPr>
        <w:t xml:space="preserve"> </w:t>
      </w:r>
    </w:p>
    <w:p w14:paraId="40FFC214" w14:textId="4DC81033"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treating a symptom of our condition that is not used as </w:t>
      </w:r>
      <w:r w:rsidRPr="00D57EF8">
        <w:rPr>
          <w:rFonts w:ascii="Times New Roman" w:hAnsi="Times New Roman" w:cs="Times New Roman"/>
          <w:sz w:val="20"/>
          <w:szCs w:val="20"/>
          <w:lang w:val="en-US"/>
        </w:rPr>
        <w:t>a measure of disease modification?</w:t>
      </w:r>
      <w:r w:rsidRPr="00D57EF8">
        <w:rPr>
          <w:rFonts w:ascii="Times New Roman" w:hAnsi="Times New Roman" w:cs="Times New Roman"/>
          <w:b/>
          <w:bCs/>
          <w:sz w:val="20"/>
          <w:szCs w:val="20"/>
          <w:lang w:val="en-US"/>
        </w:rPr>
        <w:t xml:space="preserve"> </w:t>
      </w:r>
      <w:r w:rsidRPr="00D57EF8">
        <w:rPr>
          <w:rFonts w:ascii="Times New Roman" w:hAnsi="Times New Roman" w:cs="Times New Roman"/>
          <w:sz w:val="20"/>
          <w:szCs w:val="20"/>
        </w:rPr>
        <w:t xml:space="preserve">(pseudo-symptoms) </w:t>
      </w:r>
    </w:p>
    <w:p w14:paraId="39506D99" w14:textId="7614E32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w:t>
      </w:r>
      <w:r w:rsidRPr="00D57EF8">
        <w:rPr>
          <w:rFonts w:ascii="Times New Roman" w:hAnsi="Times New Roman" w:cs="Times New Roman"/>
          <w:sz w:val="20"/>
          <w:szCs w:val="20"/>
        </w:rPr>
        <w:t xml:space="preserve">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must use a comparator that is either placebo or another treatment (as opposed to another dose of same drug</w:t>
      </w:r>
      <w:r w:rsidRPr="00D57EF8">
        <w:rPr>
          <w:rFonts w:ascii="Times New Roman" w:hAnsi="Times New Roman" w:cs="Times New Roman"/>
          <w:sz w:val="20"/>
          <w:szCs w:val="20"/>
        </w:rPr>
        <w:t xml:space="preserve"> (Although it </w:t>
      </w:r>
      <w:r w:rsidRPr="00D57EF8">
        <w:rPr>
          <w:rFonts w:ascii="Times New Roman" w:hAnsi="Times New Roman" w:cs="Times New Roman"/>
          <w:sz w:val="20"/>
          <w:szCs w:val="20"/>
          <w:lang w:val="en-US"/>
        </w:rPr>
        <w:t>c</w:t>
      </w:r>
      <w:r w:rsidRPr="00D57EF8">
        <w:rPr>
          <w:rFonts w:ascii="Times New Roman" w:hAnsi="Times New Roman" w:cs="Times New Roman"/>
          <w:sz w:val="20"/>
          <w:szCs w:val="20"/>
          <w:lang w:val="en-US"/>
        </w:rPr>
        <w:t>an be a change in the delivery mechanism</w:t>
      </w:r>
      <w:r w:rsidRPr="00D57EF8">
        <w:rPr>
          <w:rFonts w:ascii="Times New Roman" w:hAnsi="Times New Roman" w:cs="Times New Roman"/>
          <w:sz w:val="20"/>
          <w:szCs w:val="20"/>
          <w:lang w:val="en-US"/>
        </w:rPr>
        <w:t>)</w:t>
      </w:r>
      <w:r w:rsidRPr="00D57EF8">
        <w:rPr>
          <w:rFonts w:ascii="Times New Roman" w:hAnsi="Times New Roman" w:cs="Times New Roman"/>
          <w:sz w:val="20"/>
          <w:szCs w:val="20"/>
        </w:rPr>
        <w:t>, no historical controls</w:t>
      </w:r>
      <w:r w:rsidRPr="00D57EF8">
        <w:rPr>
          <w:rFonts w:ascii="Times New Roman" w:hAnsi="Times New Roman" w:cs="Times New Roman"/>
          <w:sz w:val="20"/>
          <w:szCs w:val="20"/>
        </w:rPr>
        <w:t>)</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w:t>
      </w:r>
      <w:r w:rsidRPr="00D57EF8">
        <w:rPr>
          <w:rFonts w:ascii="Times New Roman" w:hAnsi="Times New Roman" w:cs="Times New Roman"/>
          <w:sz w:val="20"/>
          <w:szCs w:val="20"/>
        </w:rPr>
        <w:t xml:space="preserve">-Must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lastRenderedPageBreak/>
        <w:t>Alzheimer's disease, Parkinson disease, Amyotrophic lateral sclerosis, Huntington's disease, Multiple sclerosis</w:t>
      </w:r>
      <w:r w:rsidRPr="00D57EF8">
        <w:rPr>
          <w:rFonts w:ascii="Times New Roman" w:hAnsi="Times New Roman" w:cs="Times New Roman"/>
          <w:color w:val="000000"/>
          <w:sz w:val="20"/>
          <w:szCs w:val="20"/>
        </w:rPr>
        <w:t xml:space="preserve"> (RRMS and PMS)</w:t>
      </w:r>
      <w:r w:rsidRPr="00D57EF8">
        <w:rPr>
          <w:rFonts w:ascii="Times New Roman" w:hAnsi="Times New Roman" w:cs="Times New Roman"/>
          <w:color w:val="000000"/>
          <w:sz w:val="20"/>
          <w:szCs w:val="20"/>
        </w:rPr>
        <w:t xml:space="preserve">, Migraine, Headache, Epilepsy, TBI and Stroke </w:t>
      </w:r>
      <w:r w:rsidRPr="00D57EF8">
        <w:rPr>
          <w:rFonts w:ascii="Times New Roman" w:hAnsi="Times New Roman" w:cs="Times New Roman"/>
          <w:color w:val="000000"/>
          <w:sz w:val="20"/>
          <w:szCs w:val="20"/>
        </w:rPr>
        <w:t>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3C77FD" w:rsidRPr="00D57EF8">
        <w:rPr>
          <w:rFonts w:ascii="Times New Roman" w:hAnsi="Times New Roman" w:cs="Times New Roman"/>
          <w:color w:val="000000"/>
          <w:sz w:val="20"/>
          <w:szCs w:val="20"/>
        </w:rPr>
        <w:t xml:space="preserve">. </w:t>
      </w:r>
      <w:r w:rsidR="003C77FD" w:rsidRPr="00D57EF8">
        <w:rPr>
          <w:rFonts w:ascii="Times New Roman" w:hAnsi="Times New Roman" w:cs="Times New Roman"/>
          <w:color w:val="000000"/>
          <w:sz w:val="20"/>
          <w:szCs w:val="20"/>
        </w:rPr>
        <w:t xml:space="preserve">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w:t>
      </w:r>
      <w:r w:rsidRPr="00D57EF8">
        <w:rPr>
          <w:rFonts w:ascii="Times New Roman" w:hAnsi="Times New Roman" w:cs="Times New Roman"/>
          <w:color w:val="000000"/>
          <w:sz w:val="20"/>
          <w:szCs w:val="20"/>
        </w:rPr>
        <w:t xml:space="preserve">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w:t>
      </w:r>
      <w:r w:rsidRPr="00D57EF8">
        <w:rPr>
          <w:rFonts w:ascii="Times New Roman" w:hAnsi="Times New Roman" w:cs="Times New Roman"/>
          <w:color w:val="000000"/>
          <w:sz w:val="20"/>
          <w:szCs w:val="20"/>
        </w:rPr>
        <w:t>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0C3C96BB"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proofErr w:type="gramStart"/>
      <w:r>
        <w:rPr>
          <w:rFonts w:ascii="Times New Roman" w:hAnsi="Times New Roman" w:cs="Times New Roman"/>
          <w:color w:val="000000"/>
          <w:sz w:val="20"/>
          <w:szCs w:val="20"/>
        </w:rPr>
        <w:t xml:space="preserve">investigating </w:t>
      </w:r>
      <w:r w:rsidR="00CF781A" w:rsidRPr="00D57EF8">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could</w:t>
      </w:r>
      <w:proofErr w:type="gramEnd"/>
      <w:r>
        <w:rPr>
          <w:rFonts w:ascii="Times New Roman" w:hAnsi="Times New Roman" w:cs="Times New Roman"/>
          <w:color w:val="000000"/>
          <w:sz w:val="20"/>
          <w:szCs w:val="20"/>
        </w:rPr>
        <w:t xml:space="preserve"> b</w:t>
      </w:r>
      <w:r w:rsidR="00CF781A" w:rsidRPr="00D57EF8">
        <w:rPr>
          <w:rFonts w:ascii="Times New Roman" w:hAnsi="Times New Roman" w:cs="Times New Roman"/>
          <w:color w:val="000000"/>
          <w:sz w:val="20"/>
          <w:szCs w:val="20"/>
        </w:rPr>
        <w:t xml:space="preserve"> be evidence 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28A229C1" w14:textId="3A2B6DA1" w:rsidR="003B7174" w:rsidRDefault="001502BD">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7FE01598" w14:textId="6CA10816"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Trials without a p</w:t>
      </w:r>
      <w:r>
        <w:rPr>
          <w:rFonts w:ascii="Times New Roman" w:hAnsi="Times New Roman" w:cs="Times New Roman"/>
          <w:color w:val="000000"/>
          <w:sz w:val="20"/>
          <w:szCs w:val="20"/>
        </w:rPr>
        <w:t xml:space="preserve">rimary </w:t>
      </w:r>
      <w:r>
        <w:rPr>
          <w:rFonts w:ascii="Times New Roman" w:hAnsi="Times New Roman" w:cs="Times New Roman"/>
          <w:color w:val="000000"/>
          <w:sz w:val="20"/>
          <w:szCs w:val="20"/>
        </w:rPr>
        <w:t>e</w:t>
      </w:r>
      <w:r>
        <w:rPr>
          <w:rFonts w:ascii="Times New Roman" w:hAnsi="Times New Roman" w:cs="Times New Roman"/>
          <w:color w:val="000000"/>
          <w:sz w:val="20"/>
          <w:szCs w:val="20"/>
        </w:rPr>
        <w:t>fficacy endpoint</w:t>
      </w:r>
      <w:r>
        <w:rPr>
          <w:rFonts w:ascii="Times New Roman" w:hAnsi="Times New Roman" w:cs="Times New Roman"/>
          <w:color w:val="000000"/>
          <w:sz w:val="20"/>
          <w:szCs w:val="20"/>
        </w:rPr>
        <w:t xml:space="preserve"> were excluded</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w:t>
      </w:r>
      <w:r>
        <w:rPr>
          <w:rFonts w:ascii="Times New Roman" w:hAnsi="Times New Roman" w:cs="Times New Roman"/>
          <w:color w:val="000000"/>
          <w:sz w:val="20"/>
          <w:szCs w:val="20"/>
        </w:rPr>
        <w:t>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P2/3 are put into the proceeded category</w:t>
      </w:r>
      <w:r w:rsidRPr="009E2F32">
        <w:rPr>
          <w:sz w:val="20"/>
          <w:szCs w:val="20"/>
        </w:rPr>
        <w:t xml:space="preserve"> automatically. </w:t>
      </w:r>
      <w:r w:rsidRPr="009E2F32">
        <w:rPr>
          <w:sz w:val="20"/>
          <w:szCs w:val="20"/>
        </w:rPr>
        <w:t xml:space="preserve">If the P2 trial was terminated with no data or an </w:t>
      </w:r>
      <w:r w:rsidRPr="009E2F32">
        <w:rPr>
          <w:sz w:val="20"/>
          <w:szCs w:val="20"/>
        </w:rPr>
        <w:t>extension</w:t>
      </w:r>
      <w:r w:rsidRPr="009E2F32">
        <w:rPr>
          <w:sz w:val="20"/>
          <w:szCs w:val="20"/>
        </w:rPr>
        <w:t xml:space="preserve"> study, it is not counted as prior evidence</w:t>
      </w:r>
      <w:r w:rsidRPr="009E2F32">
        <w:rPr>
          <w:sz w:val="20"/>
          <w:szCs w:val="20"/>
        </w:rPr>
        <w:t xml:space="preserv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 xml:space="preserve">If </w:t>
      </w:r>
      <w:r w:rsidRPr="009E2F32">
        <w:rPr>
          <w:rFonts w:eastAsiaTheme="minorHAnsi"/>
          <w:sz w:val="20"/>
          <w:szCs w:val="20"/>
          <w:lang w:val="en-CA"/>
        </w:rPr>
        <w:t>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w:t>
      </w:r>
      <w:r w:rsidR="00F45C90" w:rsidRPr="009E2F32">
        <w:rPr>
          <w:rFonts w:ascii="Times New Roman" w:hAnsi="Times New Roman" w:cs="Times New Roman"/>
          <w:sz w:val="20"/>
          <w:szCs w:val="20"/>
          <w:lang w:val="en-US"/>
        </w:rPr>
        <w:t>ed</w:t>
      </w:r>
      <w:r w:rsidR="00F45C90" w:rsidRPr="009E2F32">
        <w:rPr>
          <w:rFonts w:ascii="Times New Roman" w:hAnsi="Times New Roman" w:cs="Times New Roman"/>
          <w:sz w:val="20"/>
          <w:szCs w:val="20"/>
          <w:lang w:val="en-US"/>
        </w:rPr>
        <w:t xml:space="preserve"> any P2 trial in the same BROAD disease area count as an earlier phase 2 trial for the phase 3 trials in our sample. Our broad disease areas are Alzheimer’s</w:t>
      </w:r>
      <w:r w:rsidR="00F45C90" w:rsidRPr="009E2F32">
        <w:rPr>
          <w:rFonts w:ascii="Times New Roman" w:hAnsi="Times New Roman" w:cs="Times New Roman"/>
          <w:sz w:val="20"/>
          <w:szCs w:val="20"/>
          <w:lang w:val="en-US"/>
        </w:rPr>
        <w:t xml:space="preserve">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1"/>
      <w:commentRangeStart w:id="2"/>
      <w:commentRangeEnd w:id="2"/>
      <w:r w:rsidR="005678C8" w:rsidRPr="009E2F32">
        <w:rPr>
          <w:rStyle w:val="CommentReference"/>
          <w:rFonts w:ascii="Times New Roman" w:hAnsi="Times New Roman" w:cs="Times New Roman"/>
          <w:sz w:val="20"/>
          <w:szCs w:val="20"/>
        </w:rPr>
        <w:commentReference w:id="2"/>
      </w:r>
      <w:commentRangeEnd w:id="1"/>
      <w:r w:rsidR="005678C8" w:rsidRPr="009E2F32">
        <w:rPr>
          <w:rStyle w:val="CommentReference"/>
          <w:rFonts w:ascii="Times New Roman" w:hAnsi="Times New Roman" w:cs="Times New Roman"/>
          <w:sz w:val="20"/>
          <w:szCs w:val="20"/>
        </w:rPr>
        <w:commentReference w:id="1"/>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3"/>
      <w:r w:rsidRPr="00241A16">
        <w:rPr>
          <w:b/>
          <w:bCs/>
          <w:sz w:val="20"/>
          <w:szCs w:val="20"/>
        </w:rPr>
        <w:t>ambiguous</w:t>
      </w:r>
      <w:commentRangeEnd w:id="3"/>
      <w:r w:rsidR="00241A16">
        <w:rPr>
          <w:rStyle w:val="CommentReference"/>
          <w:rFonts w:asciiTheme="minorHAnsi" w:eastAsiaTheme="minorHAnsi" w:hAnsiTheme="minorHAnsi" w:cstheme="minorBidi"/>
          <w:lang w:val="en-CA"/>
        </w:rPr>
        <w:commentReference w:id="3"/>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77777777"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4"/>
      <w:r w:rsidR="00D77DC9" w:rsidRPr="00D03516">
        <w:rPr>
          <w:sz w:val="20"/>
          <w:szCs w:val="20"/>
        </w:rPr>
        <w:t>positive</w:t>
      </w:r>
      <w:commentRangeEnd w:id="4"/>
      <w:r w:rsidR="00B866F6">
        <w:rPr>
          <w:rStyle w:val="CommentReference"/>
        </w:rPr>
        <w:commentReference w:id="4"/>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64E305C6" w14:textId="2DF30B86" w:rsidR="001D484E"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lastRenderedPageBreak/>
        <w:t>P</w:t>
      </w:r>
      <w:r w:rsidRPr="009627DA">
        <w:rPr>
          <w:rFonts w:ascii="Times New Roman" w:hAnsi="Times New Roman" w:cs="Times New Roman"/>
          <w:color w:val="1D1C1D"/>
          <w:sz w:val="20"/>
          <w:szCs w:val="20"/>
          <w:shd w:val="clear" w:color="auto" w:fill="F8F8F8"/>
        </w:rPr>
        <w:t>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2"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3"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4"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14F9EA83" w15:done="0"/>
  <w15:commentEx w15:paraId="6224AD2E" w15:paraIdParent="14F9EA83" w15:done="0"/>
  <w15:commentEx w15:paraId="2EF25C0E" w15:done="0"/>
  <w15:commentEx w15:paraId="370FA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14F9EA83" w16cid:durableId="2731AD8B"/>
  <w16cid:commentId w16cid:paraId="6224AD2E" w16cid:durableId="2731ADC1"/>
  <w16cid:commentId w16cid:paraId="2EF25C0E" w16cid:durableId="27712C25"/>
  <w16cid:commentId w16cid:paraId="370FAF16" w16cid:durableId="277132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6331"/>
    <w:multiLevelType w:val="hybridMultilevel"/>
    <w:tmpl w:val="3504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71460679">
    <w:abstractNumId w:val="7"/>
  </w:num>
  <w:num w:numId="2" w16cid:durableId="2139953559">
    <w:abstractNumId w:val="2"/>
  </w:num>
  <w:num w:numId="3" w16cid:durableId="1913082645">
    <w:abstractNumId w:val="5"/>
  </w:num>
  <w:num w:numId="4" w16cid:durableId="1688602409">
    <w:abstractNumId w:val="6"/>
  </w:num>
  <w:num w:numId="5" w16cid:durableId="485707739">
    <w:abstractNumId w:val="0"/>
  </w:num>
  <w:num w:numId="6" w16cid:durableId="421100020">
    <w:abstractNumId w:val="4"/>
  </w:num>
  <w:num w:numId="7" w16cid:durableId="1408068164">
    <w:abstractNumId w:val="1"/>
  </w:num>
  <w:num w:numId="8" w16cid:durableId="1404331513">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46D34"/>
    <w:rsid w:val="001502BD"/>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3424"/>
    <w:rsid w:val="00357828"/>
    <w:rsid w:val="0036000B"/>
    <w:rsid w:val="0037305F"/>
    <w:rsid w:val="00393B0F"/>
    <w:rsid w:val="003A06EF"/>
    <w:rsid w:val="003A2457"/>
    <w:rsid w:val="003A2573"/>
    <w:rsid w:val="003B6C36"/>
    <w:rsid w:val="003B7174"/>
    <w:rsid w:val="003C77FD"/>
    <w:rsid w:val="003D4FC7"/>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8F13AB"/>
    <w:rsid w:val="00932A08"/>
    <w:rsid w:val="00935DE3"/>
    <w:rsid w:val="009524C7"/>
    <w:rsid w:val="009627DA"/>
    <w:rsid w:val="00963238"/>
    <w:rsid w:val="00964769"/>
    <w:rsid w:val="00984B92"/>
    <w:rsid w:val="00991BC0"/>
    <w:rsid w:val="009A7489"/>
    <w:rsid w:val="009C6DF8"/>
    <w:rsid w:val="009D53CD"/>
    <w:rsid w:val="009E05C5"/>
    <w:rsid w:val="009E2F32"/>
    <w:rsid w:val="009F3E3D"/>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3323F"/>
    <w:rsid w:val="00B5510E"/>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4C19"/>
    <w:rsid w:val="00D32DDB"/>
    <w:rsid w:val="00D40CF2"/>
    <w:rsid w:val="00D47792"/>
    <w:rsid w:val="00D51875"/>
    <w:rsid w:val="00D57EF8"/>
    <w:rsid w:val="00D652B9"/>
    <w:rsid w:val="00D77DC9"/>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30</cp:revision>
  <dcterms:created xsi:type="dcterms:W3CDTF">2022-12-10T20:00:00Z</dcterms:created>
  <dcterms:modified xsi:type="dcterms:W3CDTF">2023-01-17T19:59:00Z</dcterms:modified>
</cp:coreProperties>
</file>