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Alzheimer Dementias</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Dementia of the Alzheimer's type</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w:t>
      </w:r>
      <w:r w:rsidR="00677504" w:rsidRPr="009866A4">
        <w:rPr>
          <w:rFonts w:ascii="Times New Roman" w:hAnsi="Times New Roman" w:cs="Times New Roman"/>
          <w:sz w:val="20"/>
          <w:szCs w:val="20"/>
        </w:rPr>
        <w:t xml:space="preserv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Type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Senile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Syndrome</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Parkinson</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Primary Parkinsonism</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Paralysis Agitans</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Gehrig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Motor neurone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Charcot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Huntington's chorea</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OR Disseminated sclerosis</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Migraine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Cephalalgia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Head pain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Pain in head</w:t>
      </w:r>
      <w:r w:rsidR="009866A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Cephalgia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OR epileptics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seizure disorders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traumas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Traumatic encephalopathy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injuries traumatic</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traumatic 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injury brain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Cerebrovascular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Apoplexy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attack</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4756E8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surgery/behavioral/device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77777777"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C8F77A"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could b</w:t>
      </w:r>
      <w:r w:rsidR="00CF781A" w:rsidRPr="00D57EF8">
        <w:rPr>
          <w:rFonts w:ascii="Times New Roman" w:hAnsi="Times New Roman" w:cs="Times New Roman"/>
          <w:color w:val="000000"/>
          <w:sz w:val="20"/>
          <w:szCs w:val="20"/>
        </w:rPr>
        <w:t xml:space="preserve"> be evidence 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347C1301" w:rsidR="009D7DDC" w:rsidRP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18D42AAA" w14:textId="77777777" w:rsidR="009D7DDC"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Trials without a primary efficacy endpoint were excluded</w:t>
      </w:r>
    </w:p>
    <w:p w14:paraId="4F940645" w14:textId="0B28C9FC" w:rsidR="009D7DDC" w:rsidRPr="009D7DDC" w:rsidRDefault="009D7DDC" w:rsidP="009D7DDC">
      <w:pPr>
        <w:pStyle w:val="ListParagraph"/>
        <w:numPr>
          <w:ilvl w:val="0"/>
          <w:numId w:val="2"/>
        </w:numPr>
        <w:ind w:left="1080"/>
        <w:rPr>
          <w:rFonts w:ascii="Times New Roman" w:hAnsi="Times New Roman" w:cs="Times New Roman"/>
          <w:color w:val="000000"/>
          <w:sz w:val="20"/>
          <w:szCs w:val="20"/>
        </w:rPr>
      </w:pPr>
      <w:r w:rsidRPr="009D7DDC">
        <w:rPr>
          <w:sz w:val="20"/>
          <w:szCs w:val="20"/>
        </w:rPr>
        <w:t xml:space="preserve">treating a symptom of our condition that is not used as </w:t>
      </w:r>
      <w:r w:rsidRPr="009D7DDC">
        <w:rPr>
          <w:sz w:val="20"/>
          <w:szCs w:val="20"/>
          <w:lang w:val="en-US"/>
        </w:rPr>
        <w:t xml:space="preserve">a measure of disease modification </w:t>
      </w:r>
      <w:r w:rsidRPr="009D7DDC">
        <w:rPr>
          <w:sz w:val="20"/>
          <w:szCs w:val="20"/>
        </w:rPr>
        <w:t xml:space="preserve">(pseudo-symptoms) </w:t>
      </w:r>
    </w:p>
    <w:p w14:paraId="52A9644D" w14:textId="3976695A" w:rsidR="003B7174" w:rsidRPr="00D57EF8"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lastRenderedPageBreak/>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1"/>
      <w:commentRangeStart w:id="2"/>
      <w:commentRangeEnd w:id="1"/>
      <w:r w:rsidR="005678C8" w:rsidRPr="009E2F32">
        <w:rPr>
          <w:rStyle w:val="CommentReference"/>
          <w:rFonts w:ascii="Times New Roman" w:hAnsi="Times New Roman" w:cs="Times New Roman"/>
          <w:sz w:val="20"/>
          <w:szCs w:val="20"/>
        </w:rPr>
        <w:commentReference w:id="1"/>
      </w:r>
      <w:commentRangeEnd w:id="2"/>
      <w:r w:rsidR="005678C8" w:rsidRPr="009E2F32">
        <w:rPr>
          <w:rStyle w:val="CommentReference"/>
          <w:rFonts w:ascii="Times New Roman" w:hAnsi="Times New Roman" w:cs="Times New Roman"/>
          <w:sz w:val="20"/>
          <w:szCs w:val="20"/>
        </w:rPr>
        <w:commentReference w:id="2"/>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633E01FF" w14:textId="30480EC3" w:rsidR="009E2F32" w:rsidRDefault="009627DA" w:rsidP="009E2F32">
      <w:pPr>
        <w:rPr>
          <w:sz w:val="20"/>
          <w:szCs w:val="20"/>
        </w:rPr>
      </w:pPr>
      <w:r>
        <w:rPr>
          <w:sz w:val="20"/>
          <w:szCs w:val="20"/>
        </w:rPr>
        <w:t>Positivity of</w:t>
      </w:r>
      <w:r w:rsidR="009E2F32">
        <w:rPr>
          <w:sz w:val="20"/>
          <w:szCs w:val="20"/>
        </w:rPr>
        <w:t xml:space="preserve"> P2 matches </w:t>
      </w:r>
    </w:p>
    <w:p w14:paraId="4231CE4B" w14:textId="7DE77240" w:rsidR="009627DA" w:rsidRDefault="009627DA" w:rsidP="009627DA">
      <w:pPr>
        <w:rPr>
          <w:sz w:val="20"/>
          <w:szCs w:val="20"/>
        </w:rPr>
      </w:pPr>
      <w:r w:rsidRPr="009627DA">
        <w:rPr>
          <w:sz w:val="20"/>
          <w:szCs w:val="20"/>
        </w:rPr>
        <w:t xml:space="preserve">To be deemed </w:t>
      </w:r>
      <w:r w:rsidRPr="00241A16">
        <w:rPr>
          <w:b/>
          <w:bCs/>
          <w:sz w:val="20"/>
          <w:szCs w:val="20"/>
        </w:rPr>
        <w:t>positive</w:t>
      </w:r>
      <w:r w:rsidRPr="009627DA">
        <w:rPr>
          <w:sz w:val="20"/>
          <w:szCs w:val="20"/>
        </w:rPr>
        <w:t xml:space="preserve">, P2 trials must have a primary clinical efficacy endpoint and be positive on that endpoint based on what was pre-specified in the trial. </w:t>
      </w:r>
      <w:r w:rsidR="00241A16">
        <w:rPr>
          <w:sz w:val="20"/>
          <w:szCs w:val="20"/>
        </w:rPr>
        <w:t>If positivity was not defined in the publication and there were two groups investigated where one was positive and the other was not, we marked these as positive because they did receive a positive clinical signal.</w:t>
      </w:r>
      <w:r w:rsidR="003E6FFF">
        <w:rPr>
          <w:sz w:val="20"/>
          <w:szCs w:val="20"/>
        </w:rPr>
        <w:t xml:space="preserve"> If there were two P2 trials with conflicting results (one positive and one nonpositive) the P3 trial was put into this group.</w:t>
      </w:r>
    </w:p>
    <w:p w14:paraId="41B77B5E" w14:textId="77777777" w:rsidR="00241A16" w:rsidRDefault="00241A16" w:rsidP="009627DA">
      <w:pPr>
        <w:rPr>
          <w:sz w:val="20"/>
          <w:szCs w:val="20"/>
        </w:rPr>
      </w:pPr>
    </w:p>
    <w:p w14:paraId="0A126EA3" w14:textId="335B0A3B" w:rsidR="00241A16" w:rsidRPr="009627DA" w:rsidRDefault="009627DA" w:rsidP="009627DA">
      <w:pPr>
        <w:rPr>
          <w:sz w:val="20"/>
          <w:szCs w:val="20"/>
        </w:rPr>
      </w:pPr>
      <w:r>
        <w:rPr>
          <w:sz w:val="20"/>
          <w:szCs w:val="20"/>
        </w:rPr>
        <w:t xml:space="preserve">If a matched P2 trial did not have a positive primary clinical efficacy endpoint, it was called </w:t>
      </w:r>
      <w:commentRangeStart w:id="3"/>
      <w:r w:rsidRPr="00241A16">
        <w:rPr>
          <w:b/>
          <w:bCs/>
          <w:sz w:val="20"/>
          <w:szCs w:val="20"/>
        </w:rPr>
        <w:t>ambiguous</w:t>
      </w:r>
      <w:commentRangeEnd w:id="3"/>
      <w:r w:rsidR="00241A16">
        <w:rPr>
          <w:rStyle w:val="CommentReference"/>
          <w:rFonts w:asciiTheme="minorHAnsi" w:eastAsiaTheme="minorHAnsi" w:hAnsiTheme="minorHAnsi" w:cstheme="minorBidi"/>
          <w:lang w:val="en-CA"/>
        </w:rPr>
        <w:commentReference w:id="3"/>
      </w:r>
      <w:r>
        <w:rPr>
          <w:sz w:val="20"/>
          <w:szCs w:val="20"/>
        </w:rPr>
        <w:t>.</w:t>
      </w:r>
      <w:r w:rsidR="00241A16">
        <w:rPr>
          <w:sz w:val="20"/>
          <w:szCs w:val="20"/>
        </w:rPr>
        <w:t xml:space="preserve"> This group included trials that were nonpositive on their primary clinical efficacy endpoint, or had </w:t>
      </w:r>
      <w:r>
        <w:rPr>
          <w:sz w:val="20"/>
          <w:szCs w:val="20"/>
        </w:rPr>
        <w:t xml:space="preserve">a primary endpoint investigating biomarkers, safety, etc. Often times, these phase 2 trials had secondary efficacy endpoints that provided some efficacy data. </w:t>
      </w:r>
      <w:r w:rsidR="003E6FFF">
        <w:rPr>
          <w:sz w:val="20"/>
          <w:szCs w:val="20"/>
        </w:rPr>
        <w:t>Trials labeled as “futility trials” were put into this group.</w:t>
      </w:r>
      <w:r w:rsidR="00241A16" w:rsidRPr="00123E68">
        <w:rPr>
          <w:sz w:val="20"/>
          <w:szCs w:val="20"/>
          <w:highlight w:val="yellow"/>
        </w:rPr>
        <w:t xml:space="preserve"> </w:t>
      </w:r>
    </w:p>
    <w:p w14:paraId="5CC3A3D2" w14:textId="73791CAE" w:rsidR="00241A16" w:rsidRDefault="00241A16" w:rsidP="00241A16">
      <w:pPr>
        <w:rPr>
          <w:sz w:val="20"/>
          <w:szCs w:val="20"/>
        </w:rPr>
      </w:pPr>
    </w:p>
    <w:p w14:paraId="3B2ACC99" w14:textId="4A6BB333" w:rsidR="00123E68" w:rsidRDefault="00241A16" w:rsidP="00123E68">
      <w:pPr>
        <w:rPr>
          <w:sz w:val="20"/>
          <w:szCs w:val="20"/>
        </w:rPr>
      </w:pPr>
      <w:r>
        <w:rPr>
          <w:sz w:val="20"/>
          <w:szCs w:val="20"/>
        </w:rPr>
        <w:t xml:space="preserve">P3 </w:t>
      </w:r>
      <w:r w:rsidR="00123E68">
        <w:rPr>
          <w:sz w:val="20"/>
          <w:szCs w:val="20"/>
        </w:rPr>
        <w:t>T</w:t>
      </w:r>
      <w:r>
        <w:rPr>
          <w:sz w:val="20"/>
          <w:szCs w:val="20"/>
        </w:rPr>
        <w:t>rial</w:t>
      </w:r>
      <w:r w:rsidR="00123E68">
        <w:rPr>
          <w:sz w:val="20"/>
          <w:szCs w:val="20"/>
        </w:rPr>
        <w:t>s</w:t>
      </w:r>
    </w:p>
    <w:p w14:paraId="37FD2B7A" w14:textId="26202B53" w:rsidR="00241A16" w:rsidRPr="00123E68" w:rsidRDefault="00123E68" w:rsidP="00123E68">
      <w:pPr>
        <w:rPr>
          <w:sz w:val="20"/>
          <w:szCs w:val="20"/>
        </w:rPr>
      </w:pPr>
      <w:r w:rsidRPr="00123E68">
        <w:rPr>
          <w:sz w:val="20"/>
          <w:szCs w:val="20"/>
        </w:rPr>
        <w:t xml:space="preserve">Classification: </w:t>
      </w:r>
      <w:r w:rsidR="00241A16" w:rsidRPr="00123E68">
        <w:rPr>
          <w:sz w:val="20"/>
          <w:szCs w:val="20"/>
        </w:rPr>
        <w:t>Each P3 trial was classified into one of the following groups based on its prior evidence:</w:t>
      </w:r>
    </w:p>
    <w:p w14:paraId="16CD67B9" w14:textId="5D708F4D"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True bypass: No phase 2 trial in the drug and indication</w:t>
      </w:r>
      <w:r w:rsidR="00241A16">
        <w:rPr>
          <w:rFonts w:ascii="Times New Roman" w:hAnsi="Times New Roman" w:cs="Times New Roman"/>
          <w:sz w:val="20"/>
          <w:szCs w:val="20"/>
        </w:rPr>
        <w:t xml:space="preserve"> (no match)</w:t>
      </w:r>
    </w:p>
    <w:p w14:paraId="6110D55C" w14:textId="179C4924"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 xml:space="preserve">Ambiguous </w:t>
      </w:r>
      <w:r w:rsidR="00241A16">
        <w:rPr>
          <w:rFonts w:ascii="Times New Roman" w:hAnsi="Times New Roman" w:cs="Times New Roman"/>
          <w:sz w:val="20"/>
          <w:szCs w:val="20"/>
        </w:rPr>
        <w:t xml:space="preserve">P2 </w:t>
      </w:r>
      <w:r w:rsidRPr="009627DA">
        <w:rPr>
          <w:rFonts w:ascii="Times New Roman" w:hAnsi="Times New Roman" w:cs="Times New Roman"/>
          <w:sz w:val="20"/>
          <w:szCs w:val="20"/>
        </w:rPr>
        <w:t>evidence</w:t>
      </w:r>
    </w:p>
    <w:p w14:paraId="20F5FF37" w14:textId="77777777" w:rsidR="00123E68"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Proceeded by positive P2 trial</w:t>
      </w:r>
    </w:p>
    <w:p w14:paraId="5D086B85" w14:textId="20C69B79" w:rsidR="00123E68" w:rsidRPr="00123E68" w:rsidRDefault="00123E68" w:rsidP="00123E68">
      <w:pPr>
        <w:rPr>
          <w:rFonts w:eastAsiaTheme="minorHAnsi"/>
          <w:sz w:val="20"/>
          <w:szCs w:val="20"/>
        </w:rPr>
      </w:pPr>
      <w:r w:rsidRPr="00123E68">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4"/>
      <w:r w:rsidR="00D77DC9" w:rsidRPr="00D03516">
        <w:rPr>
          <w:sz w:val="20"/>
          <w:szCs w:val="20"/>
        </w:rPr>
        <w:t>positive</w:t>
      </w:r>
      <w:commentRangeEnd w:id="4"/>
      <w:r w:rsidR="00B866F6">
        <w:rPr>
          <w:rStyle w:val="CommentReference"/>
        </w:rPr>
        <w:commentReference w:id="4"/>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lastRenderedPageBreak/>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3E76775B" w14:textId="77777777" w:rsidR="00EA08C4" w:rsidRDefault="00BA6892" w:rsidP="00EA08C4">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r w:rsidRPr="00EA08C4">
        <w:rPr>
          <w:rFonts w:ascii="Times New Roman" w:hAnsi="Times New Roman" w:cs="Times New Roman"/>
          <w:sz w:val="20"/>
          <w:szCs w:val="20"/>
        </w:rPr>
        <w:t>)</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p>
    <w:p w14:paraId="12CC30C9" w14:textId="77777777"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 xml:space="preserve">HD: Unified Huntington's Disease Rating Scale Total Motor Scale (UHDRS-TMS) </w:t>
      </w:r>
    </w:p>
    <w:p w14:paraId="3E783F16"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The total motor score was extracted as this was the only UHDRS subscale reported consistently across publications in our full-text sample.</w:t>
      </w:r>
    </w:p>
    <w:p w14:paraId="261909B2" w14:textId="77777777"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 xml:space="preserve">ALS: ALS Functional Rating Scale (ALSFRS) </w:t>
      </w:r>
    </w:p>
    <w:p w14:paraId="1C2D9993" w14:textId="6A0A93CF"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Both the original ALSFRS and revised ALSFRS-R scales were accepted and meta-analyzed with SMD.</w:t>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2"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3" w:author="Hannah Marie Moyer, Ms" w:date="2023-01-17T14:16:00Z" w:initials="HM">
    <w:p w14:paraId="0CF5641E" w14:textId="77777777" w:rsidR="00241A16" w:rsidRDefault="00241A16" w:rsidP="00D17AEB">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2EF25C0E" w14:textId="77777777" w:rsidR="00241A16" w:rsidRDefault="00241A16" w:rsidP="00D17AEB">
      <w:r>
        <w:rPr>
          <w:rFonts w:asciiTheme="minorHAnsi" w:eastAsiaTheme="minorHAnsi" w:hAnsiTheme="minorHAnsi" w:cstheme="minorBidi"/>
          <w:sz w:val="20"/>
          <w:szCs w:val="20"/>
          <w:lang w:val="en-CA"/>
        </w:rPr>
        <w:t>it does as of now</w:t>
      </w:r>
    </w:p>
  </w:comment>
  <w:comment w:id="4"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14F9EA83" w15:done="0"/>
  <w15:commentEx w15:paraId="6224AD2E" w15:paraIdParent="14F9EA83" w15:done="0"/>
  <w15:commentEx w15:paraId="2EF25C0E" w15:done="0"/>
  <w15:commentEx w15:paraId="370FA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31AD8B" w16cex:dateUtc="2022-11-30T15:23:00Z"/>
  <w16cex:commentExtensible w16cex:durableId="2731ADC1" w16cex:dateUtc="2022-11-30T15:24:00Z"/>
  <w16cex:commentExtensible w16cex:durableId="27712C25" w16cex:dateUtc="2023-01-17T19:16:00Z"/>
  <w16cex:commentExtensible w16cex:durableId="2771326D" w16cex:dateUtc="2023-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14F9EA83" w16cid:durableId="2731AD8B"/>
  <w16cid:commentId w16cid:paraId="6224AD2E" w16cid:durableId="2731ADC1"/>
  <w16cid:commentId w16cid:paraId="2EF25C0E" w16cid:durableId="27712C25"/>
  <w16cid:commentId w16cid:paraId="370FAF16" w16cid:durableId="277132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8"/>
  </w:num>
  <w:num w:numId="2" w16cid:durableId="2139953559">
    <w:abstractNumId w:val="3"/>
  </w:num>
  <w:num w:numId="3" w16cid:durableId="1913082645">
    <w:abstractNumId w:val="6"/>
  </w:num>
  <w:num w:numId="4" w16cid:durableId="1688602409">
    <w:abstractNumId w:val="7"/>
  </w:num>
  <w:num w:numId="5" w16cid:durableId="485707739">
    <w:abstractNumId w:val="0"/>
  </w:num>
  <w:num w:numId="6" w16cid:durableId="421100020">
    <w:abstractNumId w:val="5"/>
  </w:num>
  <w:num w:numId="7" w16cid:durableId="1408068164">
    <w:abstractNumId w:val="1"/>
  </w:num>
  <w:num w:numId="8" w16cid:durableId="1404331513">
    <w:abstractNumId w:val="4"/>
  </w:num>
  <w:num w:numId="9" w16cid:durableId="437526639">
    <w:abstractNumId w:val="9"/>
  </w:num>
  <w:num w:numId="10" w16cid:durableId="1948808762">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55E07"/>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46D34"/>
    <w:rsid w:val="001502BD"/>
    <w:rsid w:val="0015082A"/>
    <w:rsid w:val="00156A3E"/>
    <w:rsid w:val="001616CA"/>
    <w:rsid w:val="00170808"/>
    <w:rsid w:val="00172B42"/>
    <w:rsid w:val="00173973"/>
    <w:rsid w:val="00187F19"/>
    <w:rsid w:val="00191712"/>
    <w:rsid w:val="00192043"/>
    <w:rsid w:val="00192D44"/>
    <w:rsid w:val="001A0579"/>
    <w:rsid w:val="001B3C7B"/>
    <w:rsid w:val="001B52CF"/>
    <w:rsid w:val="001B5FD4"/>
    <w:rsid w:val="001B62DF"/>
    <w:rsid w:val="001B66D9"/>
    <w:rsid w:val="001D2E5D"/>
    <w:rsid w:val="001D484E"/>
    <w:rsid w:val="001D4A6E"/>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93B0F"/>
    <w:rsid w:val="003A06EF"/>
    <w:rsid w:val="003A2457"/>
    <w:rsid w:val="003A2573"/>
    <w:rsid w:val="003B6C36"/>
    <w:rsid w:val="003B7174"/>
    <w:rsid w:val="003C77FD"/>
    <w:rsid w:val="003D4FC7"/>
    <w:rsid w:val="003E2378"/>
    <w:rsid w:val="003E4EE3"/>
    <w:rsid w:val="003E69E8"/>
    <w:rsid w:val="003E6FFF"/>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77504"/>
    <w:rsid w:val="00691490"/>
    <w:rsid w:val="006945B8"/>
    <w:rsid w:val="00695C41"/>
    <w:rsid w:val="006A2DDB"/>
    <w:rsid w:val="006B2F70"/>
    <w:rsid w:val="006B79DB"/>
    <w:rsid w:val="006C5DC9"/>
    <w:rsid w:val="006D34C9"/>
    <w:rsid w:val="006E5E5F"/>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8F13AB"/>
    <w:rsid w:val="00924457"/>
    <w:rsid w:val="00932A08"/>
    <w:rsid w:val="00935DE3"/>
    <w:rsid w:val="009524C7"/>
    <w:rsid w:val="00957A83"/>
    <w:rsid w:val="009627DA"/>
    <w:rsid w:val="00963238"/>
    <w:rsid w:val="00964769"/>
    <w:rsid w:val="00984B92"/>
    <w:rsid w:val="009866A4"/>
    <w:rsid w:val="00991BC0"/>
    <w:rsid w:val="009A7489"/>
    <w:rsid w:val="009C6DF8"/>
    <w:rsid w:val="009D53CD"/>
    <w:rsid w:val="009D7DDC"/>
    <w:rsid w:val="009E05C5"/>
    <w:rsid w:val="009E2F32"/>
    <w:rsid w:val="009F3E3D"/>
    <w:rsid w:val="009F664D"/>
    <w:rsid w:val="009F6EB4"/>
    <w:rsid w:val="00A002D7"/>
    <w:rsid w:val="00A06117"/>
    <w:rsid w:val="00A06C42"/>
    <w:rsid w:val="00A07EE3"/>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5510E"/>
    <w:rsid w:val="00B55CA3"/>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13</cp:revision>
  <dcterms:created xsi:type="dcterms:W3CDTF">2023-01-17T20:00:00Z</dcterms:created>
  <dcterms:modified xsi:type="dcterms:W3CDTF">2023-01-30T18:43:00Z</dcterms:modified>
</cp:coreProperties>
</file>