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32646818"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5C30CA12"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 xml:space="preserve">ad a P2 trial that had a primary endpoint investigating 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proofErr w:type="gramStart"/>
      <w:r w:rsidR="0064051B">
        <w:rPr>
          <w:rFonts w:ascii="Times New Roman" w:hAnsi="Times New Roman" w:cs="Times New Roman"/>
          <w:sz w:val="20"/>
          <w:szCs w:val="20"/>
        </w:rPr>
        <w:t>If</w:t>
      </w:r>
      <w:proofErr w:type="gramEnd"/>
      <w:r w:rsidR="0064051B">
        <w:rPr>
          <w:rFonts w:ascii="Times New Roman" w:hAnsi="Times New Roman" w:cs="Times New Roman"/>
          <w:sz w:val="20"/>
          <w:szCs w:val="20"/>
        </w:rPr>
        <w:t xml:space="preserve">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66374613" w:rsidR="00D03516" w:rsidRDefault="00D03516" w:rsidP="00D03516">
      <w:pPr>
        <w:rPr>
          <w:sz w:val="20"/>
          <w:szCs w:val="20"/>
        </w:rPr>
      </w:pPr>
    </w:p>
    <w:p w14:paraId="5E9302BD" w14:textId="77777777" w:rsidR="00F62160" w:rsidRPr="00D03516" w:rsidRDefault="00F62160" w:rsidP="00D03516">
      <w:pPr>
        <w:rPr>
          <w:sz w:val="20"/>
          <w:szCs w:val="20"/>
        </w:rPr>
      </w:pPr>
    </w:p>
    <w:sectPr w:rsidR="00F62160"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1"/>
  </w:num>
  <w:num w:numId="2" w16cid:durableId="2139953559">
    <w:abstractNumId w:val="4"/>
  </w:num>
  <w:num w:numId="3" w16cid:durableId="1913082645">
    <w:abstractNumId w:val="8"/>
  </w:num>
  <w:num w:numId="4" w16cid:durableId="1688602409">
    <w:abstractNumId w:val="9"/>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3"/>
  </w:num>
  <w:num w:numId="10" w16cid:durableId="1948808762">
    <w:abstractNumId w:val="3"/>
  </w:num>
  <w:num w:numId="11" w16cid:durableId="65417885">
    <w:abstractNumId w:val="10"/>
  </w:num>
  <w:num w:numId="12" w16cid:durableId="149950283">
    <w:abstractNumId w:val="2"/>
  </w:num>
  <w:num w:numId="13" w16cid:durableId="690029904">
    <w:abstractNumId w:val="7"/>
  </w:num>
  <w:num w:numId="14" w16cid:durableId="1061060062">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11D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78</cp:revision>
  <dcterms:created xsi:type="dcterms:W3CDTF">2023-01-17T20:00:00Z</dcterms:created>
  <dcterms:modified xsi:type="dcterms:W3CDTF">2023-03-03T20:22:00Z</dcterms:modified>
</cp:coreProperties>
</file>