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3E1DEF1A"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Alzheimer Dementias</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Dementia of the Alzheimer's type</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 xml:space="preserve">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 xml:space="preserve">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w:t>
      </w:r>
      <w:r w:rsidR="00677504" w:rsidRPr="009866A4">
        <w:rPr>
          <w:rFonts w:ascii="Times New Roman" w:hAnsi="Times New Roman" w:cs="Times New Roman"/>
          <w:sz w:val="20"/>
          <w:szCs w:val="20"/>
        </w:rPr>
        <w:t xml:space="preserv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Alzheimer Type Dementia</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Senile Dementia</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Alzheimer Syndrome</w:t>
      </w:r>
      <w:r w:rsidR="0067750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Parkinson</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Primary Parkinsonism</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Paralysis Agitans</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Gehrig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Motor neurone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Charcot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Huntington's chorea</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OR Disseminated sclerosis</w:t>
      </w:r>
      <w:r w:rsidR="00677504"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Migraine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Cephalalgia</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Head pain</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Pain in head</w:t>
      </w:r>
      <w:r w:rsidR="009866A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Cephalgia</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OR epileptics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seizure disorders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traumas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Traumatic encephalopathy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injuries traumatic</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traumatic brain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Brain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injury brain</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Cerebrovascular accident</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vascular accident</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Apoplexy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attack</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24E1C15A"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Pr="00957A83">
        <w:rPr>
          <w:sz w:val="20"/>
          <w:szCs w:val="20"/>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Pr="00957A83">
        <w:rPr>
          <w:sz w:val="20"/>
          <w:szCs w:val="20"/>
          <w:vertAlign w:val="superscript"/>
        </w:rPr>
        <w:t>21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Excluded, *unless* trial had an “Actual” overall completion date;</w:t>
      </w:r>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“Non-randomized” in randomization field;</w:t>
      </w:r>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“Single group assignment” in “Model” field;</w:t>
      </w:r>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field;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Diagnostic;</w:t>
      </w:r>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Screening</w:t>
      </w:r>
      <w:r>
        <w:rPr>
          <w:rFonts w:ascii="Times New Roman" w:hAnsi="Times New Roman" w:cs="Times New Roman"/>
          <w:sz w:val="20"/>
          <w:szCs w:val="20"/>
        </w:rPr>
        <w:t>;</w:t>
      </w:r>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Included healthy volunteers;</w:t>
      </w:r>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20A69E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 xml:space="preserve">/conditioning of stem cells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r w:rsidR="00C2390E">
        <w:rPr>
          <w:rFonts w:ascii="Times New Roman" w:hAnsi="Times New Roman" w:cs="Times New Roman"/>
          <w:sz w:val="20"/>
          <w:szCs w:val="20"/>
        </w:rPr>
        <w:t>(immune responses to vaccines)</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Indication-Must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176784CA"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 Parkinson disease, Amyotrophic lateral sclerosis, Huntington's disease, Multiple sclerosis (RRMS and PMS), Migraine, Headache, Epilepsy, TBI and Stroke recurrence</w:t>
      </w:r>
      <w:r w:rsidR="003E6FFF">
        <w:rPr>
          <w:rFonts w:ascii="Times New Roman" w:hAnsi="Times New Roman" w:cs="Times New Roman"/>
          <w:color w:val="000000"/>
          <w:sz w:val="20"/>
          <w:szCs w:val="20"/>
        </w:rPr>
        <w:t>.</w:t>
      </w:r>
    </w:p>
    <w:p w14:paraId="02FA3AD9" w14:textId="17487D11"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 xml:space="preserve">Must be the first phase 3 trial for the treatment/indication pair registered on clinicaltrials.gov (unless there are phase 3 trials that are started within a year of each other and not completed).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18A1AB06" w14:textId="57AA3511" w:rsid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37C2B70D" w14:textId="2102EDA5" w:rsidR="00D87236" w:rsidRPr="0016339D" w:rsidRDefault="00B7786F"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separate</w:t>
      </w:r>
      <w:r w:rsidR="00D87236" w:rsidRPr="00CC2B19">
        <w:rPr>
          <w:rFonts w:ascii="Times New Roman" w:hAnsi="Times New Roman" w:cs="Times New Roman"/>
          <w:color w:val="000000"/>
          <w:sz w:val="20"/>
          <w:szCs w:val="20"/>
        </w:rPr>
        <w:t xml:space="preserve"> RRMS and PMS</w:t>
      </w:r>
      <w:r w:rsidR="00D87236" w:rsidRPr="00CC2B19">
        <w:rPr>
          <w:rFonts w:ascii="Times New Roman" w:hAnsi="Times New Roman" w:cs="Times New Roman"/>
          <w:color w:val="000000"/>
          <w:sz w:val="20"/>
          <w:szCs w:val="20"/>
        </w:rPr>
        <w:t xml:space="preserve"> in the categories</w:t>
      </w:r>
    </w:p>
    <w:p w14:paraId="737DB097" w14:textId="062AAFA1" w:rsidR="0016339D" w:rsidRPr="009D7DDC" w:rsidRDefault="0016339D"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we did not check for the status of the previous trial. In one case, a phase 2/3 trial in our sample noted that it did not progress to a phase 3 and instead moved to a</w:t>
      </w:r>
      <w:r w:rsidR="00A10C46">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 </w:t>
      </w:r>
    </w:p>
    <w:p w14:paraId="3800BE08" w14:textId="1BC4FD3D" w:rsidR="003D522E" w:rsidRPr="003D522E"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w:t>
      </w:r>
      <w:r w:rsidR="003D522E">
        <w:rPr>
          <w:rFonts w:ascii="Times New Roman" w:hAnsi="Times New Roman" w:cs="Times New Roman"/>
          <w:color w:val="000000"/>
          <w:sz w:val="20"/>
          <w:szCs w:val="20"/>
        </w:rPr>
        <w:t>included if they had a primary endpoint that was clinical</w:t>
      </w:r>
      <w:r w:rsidR="00F27FB1">
        <w:rPr>
          <w:rFonts w:ascii="Times New Roman" w:hAnsi="Times New Roman" w:cs="Times New Roman"/>
          <w:color w:val="000000"/>
          <w:sz w:val="20"/>
          <w:szCs w:val="20"/>
        </w:rPr>
        <w:t xml:space="preserve"> </w:t>
      </w:r>
      <w:r w:rsidR="006824CB">
        <w:rPr>
          <w:rFonts w:ascii="Times New Roman" w:hAnsi="Times New Roman" w:cs="Times New Roman"/>
          <w:color w:val="000000"/>
          <w:sz w:val="20"/>
          <w:szCs w:val="20"/>
        </w:rPr>
        <w:t xml:space="preserve">primary efficacy endpoint </w:t>
      </w:r>
      <w:r w:rsidR="00F27FB1">
        <w:rPr>
          <w:rFonts w:ascii="Times New Roman" w:hAnsi="Times New Roman" w:cs="Times New Roman"/>
          <w:color w:val="000000"/>
          <w:sz w:val="20"/>
          <w:szCs w:val="20"/>
        </w:rPr>
        <w:t>(including trials looking at</w:t>
      </w:r>
      <w:r w:rsidR="003D522E">
        <w:rPr>
          <w:rFonts w:ascii="Times New Roman" w:hAnsi="Times New Roman" w:cs="Times New Roman"/>
          <w:color w:val="000000"/>
          <w:sz w:val="20"/>
          <w:szCs w:val="20"/>
        </w:rPr>
        <w:t xml:space="preserve"> a symptom used as </w:t>
      </w:r>
      <w:r w:rsidR="003D522E" w:rsidRPr="009D7DDC">
        <w:rPr>
          <w:sz w:val="20"/>
          <w:szCs w:val="20"/>
          <w:lang w:val="en-US"/>
        </w:rPr>
        <w:t>measure of disease modification</w:t>
      </w:r>
      <w:r w:rsidR="00F27FB1">
        <w:rPr>
          <w:sz w:val="20"/>
          <w:szCs w:val="20"/>
          <w:lang w:val="en-US"/>
        </w:rPr>
        <w:t>)</w:t>
      </w:r>
      <w:r w:rsidR="003D522E">
        <w:rPr>
          <w:sz w:val="20"/>
          <w:szCs w:val="20"/>
          <w:lang w:val="en-US"/>
        </w:rPr>
        <w:t xml:space="preserve"> </w:t>
      </w:r>
    </w:p>
    <w:p w14:paraId="18D42AAA" w14:textId="74999FA9" w:rsidR="009D7DDC" w:rsidRDefault="003D522E" w:rsidP="003D522E">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were </w:t>
      </w:r>
      <w:r w:rsidR="00B46FE1">
        <w:rPr>
          <w:rFonts w:ascii="Times New Roman" w:hAnsi="Times New Roman" w:cs="Times New Roman"/>
          <w:color w:val="000000"/>
          <w:sz w:val="20"/>
          <w:szCs w:val="20"/>
        </w:rPr>
        <w:t>excluded if they only had primary safety</w:t>
      </w:r>
      <w:r w:rsidR="005341F9">
        <w:rPr>
          <w:rFonts w:ascii="Times New Roman" w:hAnsi="Times New Roman" w:cs="Times New Roman"/>
          <w:color w:val="000000"/>
          <w:sz w:val="20"/>
          <w:szCs w:val="20"/>
        </w:rPr>
        <w:t xml:space="preserve">, </w:t>
      </w:r>
      <w:r w:rsidR="00E52086">
        <w:rPr>
          <w:rFonts w:ascii="Times New Roman" w:hAnsi="Times New Roman" w:cs="Times New Roman"/>
          <w:color w:val="000000"/>
          <w:sz w:val="20"/>
          <w:szCs w:val="20"/>
        </w:rPr>
        <w:t>tolerability</w:t>
      </w:r>
      <w:r w:rsidR="005341F9">
        <w:rPr>
          <w:rFonts w:ascii="Times New Roman" w:hAnsi="Times New Roman" w:cs="Times New Roman"/>
          <w:color w:val="000000"/>
          <w:sz w:val="20"/>
          <w:szCs w:val="20"/>
        </w:rPr>
        <w:t xml:space="preserve"> or surrogate</w:t>
      </w:r>
      <w:r w:rsidR="00E52086">
        <w:rPr>
          <w:rFonts w:ascii="Times New Roman" w:hAnsi="Times New Roman" w:cs="Times New Roman"/>
          <w:color w:val="000000"/>
          <w:sz w:val="20"/>
          <w:szCs w:val="20"/>
        </w:rPr>
        <w:t xml:space="preserve"> </w:t>
      </w:r>
      <w:r w:rsidR="00905AD2">
        <w:rPr>
          <w:rFonts w:ascii="Times New Roman" w:hAnsi="Times New Roman" w:cs="Times New Roman"/>
          <w:color w:val="000000"/>
          <w:sz w:val="20"/>
          <w:szCs w:val="20"/>
        </w:rPr>
        <w:t xml:space="preserve">primary </w:t>
      </w:r>
      <w:r w:rsidR="00B46FE1">
        <w:rPr>
          <w:rFonts w:ascii="Times New Roman" w:hAnsi="Times New Roman" w:cs="Times New Roman"/>
          <w:color w:val="000000"/>
          <w:sz w:val="20"/>
          <w:szCs w:val="20"/>
        </w:rPr>
        <w:t xml:space="preserve">endpoints or primary </w:t>
      </w:r>
      <w:commentRangeStart w:id="1"/>
      <w:commentRangeStart w:id="2"/>
      <w:commentRangeStart w:id="3"/>
      <w:r w:rsidR="00B46FE1">
        <w:rPr>
          <w:rFonts w:ascii="Times New Roman" w:hAnsi="Times New Roman" w:cs="Times New Roman"/>
          <w:color w:val="000000"/>
          <w:sz w:val="20"/>
          <w:szCs w:val="20"/>
        </w:rPr>
        <w:t xml:space="preserve">endpoints </w:t>
      </w:r>
      <w:commentRangeEnd w:id="1"/>
      <w:r w:rsidR="00E52086">
        <w:rPr>
          <w:rStyle w:val="CommentReference"/>
        </w:rPr>
        <w:commentReference w:id="1"/>
      </w:r>
      <w:commentRangeEnd w:id="2"/>
      <w:r w:rsidR="00E52086">
        <w:rPr>
          <w:rStyle w:val="CommentReference"/>
        </w:rPr>
        <w:commentReference w:id="2"/>
      </w:r>
      <w:commentRangeEnd w:id="3"/>
      <w:r w:rsidR="00E52086">
        <w:rPr>
          <w:rStyle w:val="CommentReference"/>
        </w:rPr>
        <w:commentReference w:id="3"/>
      </w:r>
      <w:r w:rsidR="00B46FE1">
        <w:rPr>
          <w:rFonts w:ascii="Times New Roman" w:hAnsi="Times New Roman" w:cs="Times New Roman"/>
          <w:color w:val="000000"/>
          <w:sz w:val="20"/>
          <w:szCs w:val="20"/>
        </w:rPr>
        <w:t xml:space="preserve">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9D7DDC">
        <w:rPr>
          <w:sz w:val="20"/>
          <w:szCs w:val="20"/>
        </w:rPr>
        <w:t xml:space="preserve">that is not used as </w:t>
      </w:r>
      <w:r w:rsidR="00B46FE1" w:rsidRPr="009D7DDC">
        <w:rPr>
          <w:sz w:val="20"/>
          <w:szCs w:val="20"/>
          <w:lang w:val="en-US"/>
        </w:rPr>
        <w:t>a measure of disease modification</w:t>
      </w:r>
      <w:r w:rsidR="00B46FE1">
        <w:rPr>
          <w:sz w:val="20"/>
          <w:szCs w:val="20"/>
          <w:lang w:val="en-US"/>
        </w:rPr>
        <w:t xml:space="preserve"> </w:t>
      </w:r>
      <w:r w:rsidR="00B46FE1" w:rsidRPr="009D7DDC">
        <w:rPr>
          <w:sz w:val="20"/>
          <w:szCs w:val="20"/>
        </w:rPr>
        <w:t>(pseudo-symptoms)</w:t>
      </w:r>
    </w:p>
    <w:p w14:paraId="31E98E58" w14:textId="253578D6" w:rsidR="003D713E" w:rsidRPr="009D7DDC" w:rsidRDefault="003D713E" w:rsidP="003D713E">
      <w:pPr>
        <w:pStyle w:val="ListParagraph"/>
        <w:numPr>
          <w:ilvl w:val="3"/>
          <w:numId w:val="2"/>
        </w:numPr>
        <w:rPr>
          <w:rFonts w:ascii="Times New Roman" w:hAnsi="Times New Roman" w:cs="Times New Roman"/>
          <w:color w:val="000000"/>
          <w:sz w:val="20"/>
          <w:szCs w:val="20"/>
        </w:rPr>
      </w:pPr>
      <w:r>
        <w:rPr>
          <w:sz w:val="20"/>
          <w:szCs w:val="20"/>
        </w:rPr>
        <w:lastRenderedPageBreak/>
        <w:t>Put list here</w:t>
      </w:r>
    </w:p>
    <w:p w14:paraId="52A9644D" w14:textId="764CEF07"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Phase 2/3 trials that did not progress to the P3 portion were exclude</w:t>
      </w:r>
      <w:r w:rsidR="008F13AB">
        <w:rPr>
          <w:rFonts w:ascii="Times New Roman" w:hAnsi="Times New Roman" w:cs="Times New Roman"/>
          <w:color w:val="000000"/>
          <w:sz w:val="20"/>
          <w:szCs w:val="20"/>
        </w:rPr>
        <w:t>d</w:t>
      </w:r>
    </w:p>
    <w:p w14:paraId="6F33B805" w14:textId="66561176" w:rsidR="00066E1F" w:rsidRDefault="00A10C46" w:rsidP="00066E1F">
      <w:pPr>
        <w:pStyle w:val="ListParagraph"/>
        <w:numPr>
          <w:ilvl w:val="3"/>
          <w:numId w:val="2"/>
        </w:numPr>
        <w:rPr>
          <w:rFonts w:ascii="Times New Roman" w:hAnsi="Times New Roman" w:cs="Times New Roman"/>
          <w:color w:val="000000"/>
          <w:sz w:val="20"/>
          <w:szCs w:val="20"/>
        </w:rPr>
      </w:pPr>
      <w:r w:rsidRPr="00CC2B19">
        <w:rPr>
          <w:rFonts w:ascii="Times New Roman" w:hAnsi="Times New Roman" w:cs="Times New Roman"/>
          <w:color w:val="000000"/>
          <w:sz w:val="20"/>
          <w:szCs w:val="20"/>
        </w:rPr>
        <w:t>In one case, a phase 2/3 trial in our sample noted that it did not progress to a phase 3 and instead moved to a</w:t>
      </w:r>
      <w:r>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w:t>
      </w:r>
      <w:r>
        <w:rPr>
          <w:rFonts w:ascii="Times New Roman" w:hAnsi="Times New Roman" w:cs="Times New Roman"/>
          <w:color w:val="000000"/>
          <w:sz w:val="20"/>
          <w:szCs w:val="20"/>
        </w:rPr>
        <w:t>?????</w:t>
      </w:r>
    </w:p>
    <w:p w14:paraId="10E30EAE" w14:textId="78F82D3F" w:rsidR="00066E1F" w:rsidRDefault="00066E1F" w:rsidP="00066E1F">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No phase 3 results </w:t>
      </w:r>
    </w:p>
    <w:p w14:paraId="0F003B72" w14:textId="0F24078F" w:rsidR="00066E1F" w:rsidRDefault="00066E1F" w:rsidP="00066E1F">
      <w:pPr>
        <w:pStyle w:val="ListParagraph"/>
        <w:numPr>
          <w:ilvl w:val="3"/>
          <w:numId w:val="2"/>
        </w:numPr>
        <w:rPr>
          <w:color w:val="000000"/>
          <w:sz w:val="20"/>
          <w:szCs w:val="20"/>
        </w:rPr>
      </w:pPr>
      <w:r w:rsidRPr="00066E1F">
        <w:rPr>
          <w:color w:val="000000"/>
          <w:sz w:val="20"/>
          <w:szCs w:val="20"/>
        </w:rPr>
        <w:t xml:space="preserve">The Google Scholar search used NCT ID, Title (top-line &amp; official), varying combinations of drug names, indication, and sponsor &amp; investigator last name. The OVID search using MEDLINE and EMBASE used a combination of the search terms: drug names from the experimental arm (any synonym of the drug mentioned in ClinicalTrials.gov should be included), and indication as listed in </w:t>
      </w:r>
      <w:proofErr w:type="gramStart"/>
      <w:r w:rsidRPr="00066E1F">
        <w:rPr>
          <w:color w:val="000000"/>
          <w:sz w:val="20"/>
          <w:szCs w:val="20"/>
        </w:rPr>
        <w:t>ClinicalTrials.gov ,</w:t>
      </w:r>
      <w:proofErr w:type="gramEnd"/>
      <w:r w:rsidRPr="00066E1F">
        <w:rPr>
          <w:color w:val="000000"/>
          <w:sz w:val="20"/>
          <w:szCs w:val="20"/>
        </w:rPr>
        <w:t xml:space="preserve"> and “Clinical trial”, and “Phase 3”.</w:t>
      </w:r>
    </w:p>
    <w:p w14:paraId="7442BF9B" w14:textId="42DD412B" w:rsidR="00627BF4" w:rsidRPr="00066E1F" w:rsidRDefault="00627BF4" w:rsidP="00066E1F">
      <w:pPr>
        <w:pStyle w:val="ListParagraph"/>
        <w:numPr>
          <w:ilvl w:val="3"/>
          <w:numId w:val="2"/>
        </w:numPr>
        <w:rPr>
          <w:color w:val="000000"/>
          <w:sz w:val="20"/>
          <w:szCs w:val="20"/>
        </w:rPr>
      </w:pPr>
      <w:r>
        <w:rPr>
          <w:color w:val="000000"/>
          <w:sz w:val="20"/>
          <w:szCs w:val="20"/>
        </w:rPr>
        <w:t xml:space="preserve">Primary results are defined as reporting the results on at least one primary outcome with a significance test performed. </w:t>
      </w:r>
    </w:p>
    <w:p w14:paraId="58C1D9B3" w14:textId="061A55BF" w:rsidR="00066E1F" w:rsidRPr="0092786F" w:rsidRDefault="00066E1F" w:rsidP="0092786F">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If this did not turn up </w:t>
      </w:r>
      <w:r w:rsidR="0092786F">
        <w:rPr>
          <w:rFonts w:ascii="Times New Roman" w:hAnsi="Times New Roman" w:cs="Times New Roman"/>
          <w:color w:val="000000"/>
          <w:sz w:val="20"/>
          <w:szCs w:val="20"/>
        </w:rPr>
        <w:t xml:space="preserve">primary </w:t>
      </w:r>
      <w:r w:rsidR="00B77A8B">
        <w:rPr>
          <w:rFonts w:ascii="Times New Roman" w:hAnsi="Times New Roman" w:cs="Times New Roman"/>
          <w:color w:val="000000"/>
          <w:sz w:val="20"/>
          <w:szCs w:val="20"/>
        </w:rPr>
        <w:t xml:space="preserve">publications of </w:t>
      </w:r>
      <w:r w:rsidR="0092786F">
        <w:rPr>
          <w:rFonts w:ascii="Times New Roman" w:hAnsi="Times New Roman" w:cs="Times New Roman"/>
          <w:color w:val="000000"/>
          <w:sz w:val="20"/>
          <w:szCs w:val="20"/>
        </w:rPr>
        <w:t>results</w:t>
      </w:r>
      <w:r w:rsidR="006E74A9">
        <w:rPr>
          <w:color w:val="000000"/>
          <w:sz w:val="20"/>
          <w:szCs w:val="20"/>
        </w:rPr>
        <w:t>:</w:t>
      </w:r>
    </w:p>
    <w:p w14:paraId="0D1ACA1A" w14:textId="37274AD8" w:rsidR="0092786F" w:rsidRPr="006E74A9" w:rsidRDefault="0092786F" w:rsidP="0092786F">
      <w:pPr>
        <w:pStyle w:val="ListParagraph"/>
        <w:numPr>
          <w:ilvl w:val="4"/>
          <w:numId w:val="2"/>
        </w:numPr>
        <w:rPr>
          <w:rFonts w:ascii="Times New Roman" w:hAnsi="Times New Roman" w:cs="Times New Roman"/>
          <w:color w:val="000000"/>
          <w:sz w:val="20"/>
          <w:szCs w:val="20"/>
        </w:rPr>
      </w:pPr>
      <w:r>
        <w:rPr>
          <w:color w:val="000000"/>
          <w:sz w:val="20"/>
          <w:szCs w:val="20"/>
        </w:rPr>
        <w:t>W</w:t>
      </w:r>
      <w:r w:rsidRPr="0092786F">
        <w:rPr>
          <w:color w:val="000000"/>
          <w:sz w:val="20"/>
          <w:szCs w:val="20"/>
        </w:rPr>
        <w:t>e will use primary Ct.gov results</w:t>
      </w:r>
      <w:r>
        <w:rPr>
          <w:color w:val="000000"/>
          <w:sz w:val="20"/>
          <w:szCs w:val="20"/>
        </w:rPr>
        <w:t>.</w:t>
      </w:r>
      <w:r>
        <w:rPr>
          <w:color w:val="000000"/>
          <w:sz w:val="20"/>
          <w:szCs w:val="20"/>
        </w:rPr>
        <w:t xml:space="preserve"> </w:t>
      </w:r>
      <w:r w:rsidR="00066E1F" w:rsidRPr="0092786F">
        <w:rPr>
          <w:color w:val="000000"/>
          <w:sz w:val="20"/>
          <w:szCs w:val="20"/>
        </w:rPr>
        <w:t>If there are no</w:t>
      </w:r>
      <w:r w:rsidRPr="0092786F">
        <w:rPr>
          <w:color w:val="000000"/>
          <w:sz w:val="20"/>
          <w:szCs w:val="20"/>
        </w:rPr>
        <w:t xml:space="preserve"> primary</w:t>
      </w:r>
      <w:r w:rsidR="00066E1F" w:rsidRPr="0092786F">
        <w:rPr>
          <w:color w:val="000000"/>
          <w:sz w:val="20"/>
          <w:szCs w:val="20"/>
        </w:rPr>
        <w:t xml:space="preserve"> ct.gov re</w:t>
      </w:r>
      <w:r w:rsidRPr="0092786F">
        <w:rPr>
          <w:color w:val="000000"/>
          <w:sz w:val="20"/>
          <w:szCs w:val="20"/>
        </w:rPr>
        <w:t>sults</w:t>
      </w:r>
      <w:r w:rsidR="006E74A9">
        <w:rPr>
          <w:color w:val="000000"/>
          <w:sz w:val="20"/>
          <w:szCs w:val="20"/>
        </w:rPr>
        <w:t>:</w:t>
      </w:r>
    </w:p>
    <w:p w14:paraId="6A45E32D" w14:textId="05A7783E" w:rsidR="006E74A9" w:rsidRPr="0092786F" w:rsidRDefault="006E74A9" w:rsidP="006E74A9">
      <w:pPr>
        <w:pStyle w:val="ListParagraph"/>
        <w:numPr>
          <w:ilvl w:val="5"/>
          <w:numId w:val="2"/>
        </w:numPr>
        <w:rPr>
          <w:rFonts w:ascii="Times New Roman" w:hAnsi="Times New Roman" w:cs="Times New Roman"/>
          <w:color w:val="000000"/>
          <w:sz w:val="20"/>
          <w:szCs w:val="20"/>
        </w:rPr>
      </w:pPr>
      <w:r>
        <w:rPr>
          <w:color w:val="000000"/>
          <w:sz w:val="20"/>
          <w:szCs w:val="20"/>
        </w:rPr>
        <w:t xml:space="preserve">We will use abstracts reporting primary results. If none are available: </w:t>
      </w:r>
    </w:p>
    <w:p w14:paraId="21EF9C38" w14:textId="555A0928" w:rsidR="0092786F" w:rsidRDefault="0092786F"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We will use abstracts </w:t>
      </w:r>
      <w:r>
        <w:rPr>
          <w:rFonts w:ascii="Times New Roman" w:hAnsi="Times New Roman" w:cs="Times New Roman"/>
          <w:color w:val="000000"/>
          <w:sz w:val="20"/>
          <w:szCs w:val="20"/>
        </w:rPr>
        <w:t>reporting interim results</w:t>
      </w:r>
      <w:r>
        <w:rPr>
          <w:rFonts w:ascii="Times New Roman" w:hAnsi="Times New Roman" w:cs="Times New Roman"/>
          <w:color w:val="000000"/>
          <w:sz w:val="20"/>
          <w:szCs w:val="20"/>
        </w:rPr>
        <w:t xml:space="preserve"> </w:t>
      </w:r>
      <w:r w:rsidR="006E74A9">
        <w:rPr>
          <w:rFonts w:ascii="Times New Roman" w:hAnsi="Times New Roman" w:cs="Times New Roman"/>
          <w:color w:val="000000"/>
          <w:sz w:val="20"/>
          <w:szCs w:val="20"/>
        </w:rPr>
        <w:t xml:space="preserve">but </w:t>
      </w:r>
      <w:r>
        <w:rPr>
          <w:rFonts w:ascii="Times New Roman" w:hAnsi="Times New Roman" w:cs="Times New Roman"/>
          <w:color w:val="000000"/>
          <w:sz w:val="20"/>
          <w:szCs w:val="20"/>
        </w:rPr>
        <w:t>only if the trial was terminated</w:t>
      </w:r>
    </w:p>
    <w:p w14:paraId="7461ED84" w14:textId="713B9AC9" w:rsidR="0092786F" w:rsidRDefault="0092786F"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We will exclude all trials</w:t>
      </w:r>
    </w:p>
    <w:p w14:paraId="16AE162C" w14:textId="78F69FF5" w:rsidR="0092786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not terminated and did not have primary results</w:t>
      </w:r>
    </w:p>
    <w:p w14:paraId="6CCD018D" w14:textId="7A21F18D" w:rsidR="00066E1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terminated and did not have interim results</w:t>
      </w:r>
    </w:p>
    <w:p w14:paraId="033CB94B" w14:textId="6A2EA805" w:rsidR="001A5821" w:rsidRPr="0092786F" w:rsidRDefault="001A5821"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Preprints are not taken.</w:t>
      </w:r>
    </w:p>
    <w:p w14:paraId="5CEBB30E" w14:textId="5C636AA0" w:rsidR="00B20D31" w:rsidRPr="009E2F32" w:rsidRDefault="00B20D31"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0937108D" w:rsidR="00BC0104" w:rsidRPr="009E2F32" w:rsidRDefault="009E2F32" w:rsidP="00BC0104">
      <w:pPr>
        <w:rPr>
          <w:sz w:val="20"/>
          <w:szCs w:val="20"/>
        </w:rPr>
      </w:pPr>
      <w:r w:rsidRPr="009E2F32">
        <w:rPr>
          <w:sz w:val="20"/>
          <w:szCs w:val="20"/>
        </w:rPr>
        <w:t xml:space="preserve">P2/3 are put into the proceeded category automatically. If the P2 trial was terminated with no data or an extension study, it is not counted as prior evidence.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If the date that the P2 trial started is unclear, publication within/before the year that the P3 trial started is accepted.</w:t>
      </w:r>
      <w:r w:rsidRPr="009E2F32">
        <w:rPr>
          <w:sz w:val="20"/>
          <w:szCs w:val="20"/>
        </w:rPr>
        <w:t xml:space="preserve"> 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03479BFD" w:rsidR="00BC0104" w:rsidRPr="009E2F32"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 xml:space="preserve">To ensure our approach for matching phase 2 and 3 trials was standardized and reproducible, we allowed any P2 trial in the same BROAD disease area count as an earlier phase 2 trial for the phase 3 trials in our sample. Our broad disease areas are Alzheimer’s </w:t>
      </w:r>
      <w:r w:rsidR="00F45C90" w:rsidRPr="009E2F32">
        <w:rPr>
          <w:rFonts w:ascii="Times New Roman" w:hAnsi="Times New Roman" w:cs="Times New Roman"/>
          <w:sz w:val="20"/>
          <w:szCs w:val="20"/>
        </w:rPr>
        <w:t>disease, Parkinson’s disease, ALS, Huntington’s disease, Multiple sclerosis (RRMS &amp; PMS separately), Migraine, Headache, Epilepsy, TBI and Stroke recurrence.</w:t>
      </w:r>
      <w:commentRangeStart w:id="4"/>
      <w:commentRangeStart w:id="5"/>
      <w:commentRangeEnd w:id="4"/>
      <w:r w:rsidR="005678C8" w:rsidRPr="009E2F32">
        <w:rPr>
          <w:rStyle w:val="CommentReference"/>
          <w:rFonts w:ascii="Times New Roman" w:hAnsi="Times New Roman" w:cs="Times New Roman"/>
          <w:sz w:val="20"/>
          <w:szCs w:val="20"/>
        </w:rPr>
        <w:commentReference w:id="4"/>
      </w:r>
      <w:commentRangeEnd w:id="5"/>
      <w:r w:rsidR="005678C8" w:rsidRPr="009E2F32">
        <w:rPr>
          <w:rStyle w:val="CommentReference"/>
          <w:rFonts w:ascii="Times New Roman" w:hAnsi="Times New Roman" w:cs="Times New Roman"/>
          <w:sz w:val="20"/>
          <w:szCs w:val="20"/>
        </w:rPr>
        <w:commentReference w:id="5"/>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5579B527" w14:textId="1421DBE9" w:rsidR="004D7397" w:rsidRDefault="009627DA" w:rsidP="00123E68">
      <w:pPr>
        <w:rPr>
          <w:sz w:val="20"/>
          <w:szCs w:val="20"/>
        </w:rPr>
      </w:pPr>
      <w:r>
        <w:rPr>
          <w:sz w:val="20"/>
          <w:szCs w:val="20"/>
        </w:rPr>
        <w:t>Positivity of</w:t>
      </w:r>
      <w:r w:rsidR="009E2F32">
        <w:rPr>
          <w:sz w:val="20"/>
          <w:szCs w:val="20"/>
        </w:rPr>
        <w:t xml:space="preserve"> P2 matches</w:t>
      </w:r>
    </w:p>
    <w:p w14:paraId="5F2EB57E" w14:textId="01764CF2" w:rsidR="004D7397" w:rsidRPr="004D7397" w:rsidRDefault="00CC6731" w:rsidP="004D7397">
      <w:pPr>
        <w:rPr>
          <w:sz w:val="20"/>
          <w:szCs w:val="20"/>
        </w:rPr>
      </w:pPr>
      <w:r>
        <w:rPr>
          <w:sz w:val="20"/>
          <w:szCs w:val="20"/>
        </w:rPr>
        <w:t xml:space="preserve">We used the definition of positivity provided by the trial. </w:t>
      </w:r>
      <w:r w:rsidR="004D7397" w:rsidRPr="004D7397">
        <w:rPr>
          <w:sz w:val="20"/>
          <w:szCs w:val="20"/>
        </w:rPr>
        <w:t>When there were two primary analyses where one was positive and the other was not (inconsistent results), we used the following rules:</w:t>
      </w:r>
    </w:p>
    <w:p w14:paraId="1DF5998A" w14:textId="77777777" w:rsidR="004D7397" w:rsidRPr="004D7397" w:rsidRDefault="004D7397" w:rsidP="004D7397">
      <w:pPr>
        <w:numPr>
          <w:ilvl w:val="0"/>
          <w:numId w:val="12"/>
        </w:numPr>
        <w:rPr>
          <w:sz w:val="20"/>
          <w:szCs w:val="20"/>
        </w:rPr>
      </w:pPr>
      <w:r w:rsidRPr="004D7397">
        <w:rPr>
          <w:sz w:val="20"/>
          <w:szCs w:val="20"/>
        </w:rPr>
        <w:t xml:space="preserve">Co-primaries: When they stated that all primaries had to be positive for the trial to be positive, we called inconsistent results nonpositive </w:t>
      </w:r>
    </w:p>
    <w:p w14:paraId="720FF2C9" w14:textId="77777777" w:rsidR="004D7397" w:rsidRPr="004D7397" w:rsidRDefault="004D7397" w:rsidP="004D7397">
      <w:pPr>
        <w:numPr>
          <w:ilvl w:val="0"/>
          <w:numId w:val="12"/>
        </w:numPr>
        <w:rPr>
          <w:sz w:val="20"/>
          <w:szCs w:val="20"/>
        </w:rPr>
      </w:pPr>
      <w:r w:rsidRPr="004D7397">
        <w:rPr>
          <w:sz w:val="20"/>
          <w:szCs w:val="20"/>
        </w:rPr>
        <w:lastRenderedPageBreak/>
        <w:t>Multiple primaries: In this case, each primary endpoint is tested at a significant level determined by the method for multiplicity adjustment or simply by the partition of the alpha levels. we called inconsistent results positive</w:t>
      </w:r>
    </w:p>
    <w:p w14:paraId="68E1F6F0" w14:textId="77777777" w:rsidR="004D7397" w:rsidRPr="004D7397" w:rsidRDefault="004D7397" w:rsidP="004D7397">
      <w:pPr>
        <w:numPr>
          <w:ilvl w:val="0"/>
          <w:numId w:val="12"/>
        </w:numPr>
        <w:rPr>
          <w:sz w:val="20"/>
          <w:szCs w:val="20"/>
        </w:rPr>
      </w:pPr>
      <w:r w:rsidRPr="004D7397">
        <w:rPr>
          <w:sz w:val="20"/>
          <w:szCs w:val="20"/>
        </w:rPr>
        <w:t>In cases where there were 2 dose groups are both considered primary analysis groups, we called inconsistent results positive</w:t>
      </w:r>
    </w:p>
    <w:p w14:paraId="3868916D" w14:textId="77777777" w:rsidR="004D7397" w:rsidRDefault="004D7397" w:rsidP="00123E68">
      <w:pPr>
        <w:rPr>
          <w:sz w:val="20"/>
          <w:szCs w:val="20"/>
        </w:rPr>
      </w:pPr>
    </w:p>
    <w:p w14:paraId="4FA86D69" w14:textId="6D9F71DD" w:rsidR="00F27FB1" w:rsidRDefault="004D7397" w:rsidP="00123E68">
      <w:pPr>
        <w:rPr>
          <w:sz w:val="20"/>
          <w:szCs w:val="20"/>
        </w:rPr>
      </w:pPr>
      <w:r>
        <w:rPr>
          <w:sz w:val="20"/>
          <w:szCs w:val="20"/>
        </w:rPr>
        <w:t>C</w:t>
      </w:r>
      <w:r w:rsidR="00F27FB1">
        <w:rPr>
          <w:sz w:val="20"/>
          <w:szCs w:val="20"/>
        </w:rPr>
        <w:t>lassification</w:t>
      </w:r>
    </w:p>
    <w:p w14:paraId="37FD2B7A" w14:textId="0B7A3D4C" w:rsidR="00241A16" w:rsidRPr="00123E68" w:rsidRDefault="00241A16" w:rsidP="00123E68">
      <w:pPr>
        <w:rPr>
          <w:sz w:val="20"/>
          <w:szCs w:val="20"/>
        </w:rPr>
      </w:pPr>
      <w:r w:rsidRPr="00123E68">
        <w:rPr>
          <w:sz w:val="20"/>
          <w:szCs w:val="20"/>
        </w:rPr>
        <w:t>Each P3 trial was classified into one of the following groups based on its prior evidence:</w:t>
      </w:r>
    </w:p>
    <w:p w14:paraId="4E8E1DD7" w14:textId="77777777" w:rsidR="00F27FB1" w:rsidRPr="00F27FB1" w:rsidRDefault="00F27FB1" w:rsidP="00F27FB1">
      <w:pPr>
        <w:numPr>
          <w:ilvl w:val="1"/>
          <w:numId w:val="11"/>
        </w:numPr>
        <w:rPr>
          <w:rFonts w:eastAsiaTheme="minorHAnsi"/>
          <w:sz w:val="20"/>
          <w:szCs w:val="20"/>
        </w:rPr>
      </w:pPr>
      <w:r w:rsidRPr="00F27FB1">
        <w:rPr>
          <w:rFonts w:eastAsiaTheme="minorHAnsi"/>
          <w:sz w:val="20"/>
          <w:szCs w:val="20"/>
        </w:rPr>
        <w:t xml:space="preserve">To be put into the preceded group </w:t>
      </w:r>
    </w:p>
    <w:p w14:paraId="3D1BA523" w14:textId="7777777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clinical primary endpoint that was positive as defined in the trial</w:t>
      </w:r>
    </w:p>
    <w:p w14:paraId="689AF5FF" w14:textId="54751E5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neurologist-approved primary surrogate endpoint that was positive as defined in the trial. Surrogate endpoint will only be included in this group if</w:t>
      </w:r>
    </w:p>
    <w:p w14:paraId="1BDC2004" w14:textId="2C19D7AF" w:rsidR="00F27FB1" w:rsidRPr="00F27FB1" w:rsidRDefault="00F27FB1" w:rsidP="00F27FB1">
      <w:pPr>
        <w:numPr>
          <w:ilvl w:val="3"/>
          <w:numId w:val="11"/>
        </w:numPr>
        <w:rPr>
          <w:rFonts w:eastAsiaTheme="minorHAnsi"/>
          <w:sz w:val="20"/>
          <w:szCs w:val="20"/>
        </w:rPr>
      </w:pPr>
      <w:r w:rsidRPr="00F27FB1">
        <w:rPr>
          <w:rFonts w:eastAsiaTheme="minorHAnsi"/>
          <w:sz w:val="20"/>
          <w:szCs w:val="20"/>
        </w:rPr>
        <w:t>They are reasonably validated</w:t>
      </w:r>
    </w:p>
    <w:p w14:paraId="66C4EDE7" w14:textId="247B1085" w:rsidR="00F27FB1" w:rsidRPr="00F27FB1" w:rsidRDefault="00F27FB1" w:rsidP="00F27FB1">
      <w:pPr>
        <w:numPr>
          <w:ilvl w:val="3"/>
          <w:numId w:val="11"/>
        </w:numPr>
        <w:rPr>
          <w:rFonts w:eastAsiaTheme="minorHAnsi"/>
          <w:sz w:val="20"/>
          <w:szCs w:val="20"/>
        </w:rPr>
      </w:pPr>
      <w:r w:rsidRPr="00F27FB1">
        <w:rPr>
          <w:rFonts w:eastAsiaTheme="minorHAnsi"/>
          <w:sz w:val="20"/>
          <w:szCs w:val="20"/>
        </w:rPr>
        <w:t xml:space="preserve">And </w:t>
      </w:r>
      <w:r w:rsidRPr="00F27FB1">
        <w:rPr>
          <w:rFonts w:eastAsiaTheme="minorHAnsi"/>
          <w:sz w:val="20"/>
          <w:szCs w:val="20"/>
        </w:rPr>
        <w:t>they are commonly used in phase 2 trials in that indication because of time constraints</w:t>
      </w:r>
    </w:p>
    <w:p w14:paraId="6E83AA51" w14:textId="3E0B2B06" w:rsidR="00F27FB1" w:rsidRPr="00F27FB1" w:rsidRDefault="00F27FB1" w:rsidP="00F27FB1">
      <w:pPr>
        <w:numPr>
          <w:ilvl w:val="1"/>
          <w:numId w:val="11"/>
        </w:numPr>
        <w:rPr>
          <w:rFonts w:eastAsiaTheme="minorHAnsi"/>
          <w:sz w:val="20"/>
          <w:szCs w:val="20"/>
        </w:rPr>
      </w:pPr>
      <w:r w:rsidRPr="00F27FB1">
        <w:rPr>
          <w:rFonts w:eastAsiaTheme="minorHAnsi"/>
          <w:sz w:val="20"/>
          <w:szCs w:val="20"/>
        </w:rPr>
        <w:t>To be put into the ambiguous group: every</w:t>
      </w:r>
      <w:r>
        <w:rPr>
          <w:rFonts w:eastAsiaTheme="minorHAnsi"/>
          <w:sz w:val="20"/>
          <w:szCs w:val="20"/>
        </w:rPr>
        <w:t xml:space="preserve"> other trial with a matched P2 trial</w:t>
      </w:r>
    </w:p>
    <w:p w14:paraId="690D167D" w14:textId="710C7CC6" w:rsidR="00F27FB1" w:rsidRPr="00F27FB1" w:rsidRDefault="00F27FB1" w:rsidP="00F27FB1">
      <w:pPr>
        <w:numPr>
          <w:ilvl w:val="2"/>
          <w:numId w:val="11"/>
        </w:numPr>
        <w:rPr>
          <w:sz w:val="20"/>
          <w:szCs w:val="20"/>
        </w:rPr>
      </w:pPr>
      <w:r w:rsidRPr="00F27FB1">
        <w:rPr>
          <w:rFonts w:eastAsiaTheme="minorHAnsi"/>
          <w:sz w:val="20"/>
          <w:szCs w:val="20"/>
        </w:rPr>
        <w:t xml:space="preserve">Had a P2 trial that was nonpositive on their primary clinical efficacy endpoint, </w:t>
      </w:r>
      <w:r>
        <w:rPr>
          <w:sz w:val="20"/>
          <w:szCs w:val="20"/>
        </w:rPr>
        <w:t>h</w:t>
      </w:r>
      <w:r w:rsidRPr="00F27FB1">
        <w:rPr>
          <w:sz w:val="20"/>
          <w:szCs w:val="20"/>
        </w:rPr>
        <w:t>ad a P2 trial that had a primary endpoint investigating biomarker</w:t>
      </w:r>
      <w:r>
        <w:rPr>
          <w:sz w:val="20"/>
          <w:szCs w:val="20"/>
        </w:rPr>
        <w:t xml:space="preserve"> </w:t>
      </w:r>
      <w:r w:rsidRPr="00F27FB1">
        <w:rPr>
          <w:sz w:val="20"/>
          <w:szCs w:val="20"/>
        </w:rPr>
        <w:t xml:space="preserve">surrogate endpoints (not approved), </w:t>
      </w:r>
      <w:r>
        <w:rPr>
          <w:sz w:val="20"/>
          <w:szCs w:val="20"/>
        </w:rPr>
        <w:t xml:space="preserve">or investigating </w:t>
      </w:r>
      <w:r w:rsidRPr="00F27FB1">
        <w:rPr>
          <w:sz w:val="20"/>
          <w:szCs w:val="20"/>
        </w:rPr>
        <w:t>safety</w:t>
      </w:r>
      <w:r>
        <w:rPr>
          <w:sz w:val="20"/>
          <w:szCs w:val="20"/>
        </w:rPr>
        <w:t>/tolerability et</w:t>
      </w:r>
      <w:r w:rsidRPr="00F27FB1">
        <w:rPr>
          <w:sz w:val="20"/>
          <w:szCs w:val="20"/>
        </w:rPr>
        <w:t xml:space="preserve">c. </w:t>
      </w:r>
    </w:p>
    <w:p w14:paraId="25195CF3" w14:textId="071B9CB6" w:rsidR="00F27FB1" w:rsidRDefault="00F27FB1" w:rsidP="00F27FB1">
      <w:pPr>
        <w:numPr>
          <w:ilvl w:val="1"/>
          <w:numId w:val="11"/>
        </w:numPr>
        <w:rPr>
          <w:rFonts w:eastAsiaTheme="minorHAnsi"/>
          <w:sz w:val="20"/>
          <w:szCs w:val="20"/>
        </w:rPr>
      </w:pPr>
      <w:r>
        <w:rPr>
          <w:rFonts w:eastAsiaTheme="minorHAnsi"/>
          <w:sz w:val="20"/>
          <w:szCs w:val="20"/>
        </w:rPr>
        <w:t xml:space="preserve">To be put in the bypass group </w:t>
      </w:r>
    </w:p>
    <w:p w14:paraId="6AF08AC6" w14:textId="4683C031" w:rsidR="004D7397" w:rsidRPr="00F27FB1" w:rsidRDefault="00F27FB1" w:rsidP="004D7397">
      <w:pPr>
        <w:numPr>
          <w:ilvl w:val="2"/>
          <w:numId w:val="11"/>
        </w:numPr>
        <w:rPr>
          <w:rFonts w:eastAsiaTheme="minorHAnsi"/>
          <w:sz w:val="20"/>
          <w:szCs w:val="20"/>
        </w:rPr>
      </w:pPr>
      <w:r>
        <w:rPr>
          <w:rFonts w:eastAsiaTheme="minorHAnsi"/>
          <w:sz w:val="20"/>
          <w:szCs w:val="20"/>
        </w:rPr>
        <w:t>No matched P2 trial</w:t>
      </w:r>
    </w:p>
    <w:p w14:paraId="674899CC" w14:textId="674114A7" w:rsidR="00F27FB1" w:rsidRPr="00123E68" w:rsidRDefault="00F27FB1" w:rsidP="00F27FB1">
      <w:pPr>
        <w:rPr>
          <w:rFonts w:eastAsiaTheme="minorHAnsi"/>
          <w:sz w:val="20"/>
          <w:szCs w:val="20"/>
        </w:rPr>
      </w:pPr>
      <w:r>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08396E92"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6"/>
      <w:r w:rsidR="00D77DC9" w:rsidRPr="00D03516">
        <w:rPr>
          <w:sz w:val="20"/>
          <w:szCs w:val="20"/>
        </w:rPr>
        <w:t>positive</w:t>
      </w:r>
      <w:commentRangeEnd w:id="6"/>
      <w:r w:rsidR="00B866F6">
        <w:rPr>
          <w:rStyle w:val="CommentReference"/>
        </w:rPr>
        <w:commentReference w:id="6"/>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7DBD5380"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p>
    <w:p w14:paraId="63395C5E" w14:textId="227DD16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0D3A7345" w14:textId="2E76295E" w:rsidR="009F5C48" w:rsidRPr="009F5C48" w:rsidRDefault="00BA6892" w:rsidP="009F5C48">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3077DAA4" w14:textId="61CDC023"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AD: Alzheimer's Disease Assessment Scale cognitive subscale (ADAS-cog)</w:t>
      </w:r>
    </w:p>
    <w:p w14:paraId="3A0EB41E"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Variations of ADAS-cog (11, 12, 13, 14, 15) will be meta-analyzed using the standardized mean difference (SMD</w:t>
      </w:r>
      <w:r w:rsidRPr="00EA08C4">
        <w:rPr>
          <w:rFonts w:ascii="Times New Roman" w:hAnsi="Times New Roman" w:cs="Times New Roman"/>
          <w:sz w:val="20"/>
          <w:szCs w:val="20"/>
        </w:rPr>
        <w:t>)</w:t>
      </w:r>
    </w:p>
    <w:p w14:paraId="32A56370" w14:textId="6120A489" w:rsidR="00EA08C4" w:rsidRPr="00EA08C4" w:rsidRDefault="00EA08C4" w:rsidP="00EA08C4">
      <w:pPr>
        <w:pStyle w:val="ListParagraph"/>
        <w:numPr>
          <w:ilvl w:val="2"/>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 xml:space="preserve">PD: Unified Parkinson's Disease Rating Scale (UPDRS) </w:t>
      </w:r>
    </w:p>
    <w:p w14:paraId="0DE484ED"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commentRangeStart w:id="7"/>
      <w:r w:rsidRPr="00EA08C4">
        <w:rPr>
          <w:rFonts w:ascii="Times New Roman" w:hAnsi="Times New Roman" w:cs="Times New Roman"/>
          <w:sz w:val="20"/>
          <w:szCs w:val="20"/>
        </w:rPr>
        <w:t>UPDRS total scores (from subscales I-III or I-IV) extracted if available. Otherwise, combined UPDRS II+III or UPDRS III scores were extracted. UPDRS “off” scores (measurements recorded while dopaminergic therapies are not affecting patient symptoms) were extracted in trials of patients experiencing motor fluctuations where UPDRS data was reported in both the “on” and “off” states. UPRS data will be meta-analyzed with SMD.</w:t>
      </w:r>
      <w:commentRangeEnd w:id="7"/>
      <w:r w:rsidR="009F5C48">
        <w:rPr>
          <w:rStyle w:val="CommentReference"/>
        </w:rPr>
        <w:commentReference w:id="7"/>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718DE26B" w:rsidR="00F969C6" w:rsidRPr="00BA6892"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lastRenderedPageBreak/>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4082162D" w14:textId="6F22AB88" w:rsidR="00D03516"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670E9598"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73EA5ECF"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industry funded</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r w:rsidRPr="00D03516">
        <w:rPr>
          <w:rFonts w:ascii="Times New Roman" w:hAnsi="Times New Roman" w:cs="Times New Roman"/>
          <w:sz w:val="20"/>
          <w:szCs w:val="20"/>
        </w:rPr>
        <w:t>pubmed</w:t>
      </w:r>
      <w:proofErr w:type="spellEnd"/>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2AA1946A" w:rsid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65FE5A3D" w14:textId="68FA9038" w:rsidR="00D23A4F" w:rsidRPr="00D23A4F" w:rsidRDefault="00D23A4F" w:rsidP="00D23A4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3C775C9" w14:textId="7B27B923" w:rsidR="00D23A4F" w:rsidRDefault="00D23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Moral econ-did not use neg used nonpositive</w:t>
      </w:r>
    </w:p>
    <w:p w14:paraId="3DF662FC" w14:textId="10ABAF1A" w:rsidR="00D23A4F" w:rsidRPr="00D23A4F" w:rsidRDefault="00D23A4F" w:rsidP="00D23A4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Did all trials not </w:t>
      </w:r>
      <w:r w:rsidRPr="00296EE7">
        <w:rPr>
          <w:rFonts w:cs="Segoe UI"/>
          <w:color w:val="000000"/>
          <w:shd w:val="clear" w:color="auto" w:fill="FFFFFF"/>
        </w:rPr>
        <w:t>Within the five disease areas with the largest number of trials in our sample,</w:t>
      </w:r>
    </w:p>
    <w:p w14:paraId="02793787" w14:textId="374DACAC" w:rsidR="00D23A4F" w:rsidRPr="00D23A4F" w:rsidRDefault="00D23A4F" w:rsidP="00D23A4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129B54D" w14:textId="6216B763" w:rsidR="00B55CA3" w:rsidRPr="00B55CA3" w:rsidRDefault="00B55CA3" w:rsidP="00B55CA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available </w:t>
      </w:r>
    </w:p>
    <w:p w14:paraId="1613C34E" w14:textId="77777777" w:rsidR="00D03516" w:rsidRPr="00D03516" w:rsidRDefault="00D03516" w:rsidP="00D03516">
      <w:pPr>
        <w:rPr>
          <w:sz w:val="20"/>
          <w:szCs w:val="20"/>
        </w:rPr>
      </w:pPr>
    </w:p>
    <w:sectPr w:rsidR="00D03516"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1" w:author="Hannah Marie Moyer, Ms" w:date="2023-01-30T16:15:00Z" w:initials="HM">
    <w:p w14:paraId="3F51C75B" w14:textId="77777777" w:rsidR="00E52086" w:rsidRDefault="00E52086" w:rsidP="00F37399">
      <w:r>
        <w:rPr>
          <w:rStyle w:val="CommentReference"/>
        </w:rPr>
        <w:annotationRef/>
      </w:r>
      <w:r>
        <w:rPr>
          <w:rFonts w:asciiTheme="minorHAnsi" w:eastAsiaTheme="minorHAnsi" w:hAnsiTheme="minorHAnsi" w:cstheme="minorBidi"/>
          <w:sz w:val="20"/>
          <w:szCs w:val="20"/>
          <w:lang w:val="en-CA"/>
        </w:rPr>
        <w:t>pharmacological endpoints?</w:t>
      </w:r>
    </w:p>
    <w:p w14:paraId="6B1F47C9" w14:textId="77777777" w:rsidR="00E52086" w:rsidRDefault="00E52086" w:rsidP="00F37399"/>
  </w:comment>
  <w:comment w:id="2" w:author="Hannah Marie Moyer, Ms" w:date="2023-01-30T16:17:00Z" w:initials="HM">
    <w:p w14:paraId="10791EC9" w14:textId="77777777" w:rsidR="00E52086" w:rsidRDefault="00E52086" w:rsidP="00792E39">
      <w:r>
        <w:rPr>
          <w:rStyle w:val="CommentReference"/>
        </w:rPr>
        <w:annotationRef/>
      </w:r>
      <w:r>
        <w:rPr>
          <w:rFonts w:asciiTheme="minorHAnsi" w:eastAsiaTheme="minorHAnsi" w:hAnsiTheme="minorHAnsi" w:cstheme="minorBidi"/>
          <w:sz w:val="20"/>
          <w:szCs w:val="20"/>
          <w:lang w:val="en-CA"/>
        </w:rPr>
        <w:t xml:space="preserve">and surrogate endpoints are ok </w:t>
      </w:r>
    </w:p>
  </w:comment>
  <w:comment w:id="3" w:author="Hannah Marie Moyer, Ms" w:date="2023-01-30T16:17:00Z" w:initials="HM">
    <w:p w14:paraId="3E810487" w14:textId="77777777" w:rsidR="00E52086" w:rsidRDefault="00E52086" w:rsidP="004535E6">
      <w:r>
        <w:rPr>
          <w:rStyle w:val="CommentReference"/>
        </w:rPr>
        <w:annotationRef/>
      </w:r>
      <w:r>
        <w:rPr>
          <w:rFonts w:asciiTheme="minorHAnsi" w:eastAsiaTheme="minorHAnsi" w:hAnsiTheme="minorHAnsi" w:cstheme="minorBidi"/>
          <w:sz w:val="20"/>
          <w:szCs w:val="20"/>
          <w:lang w:val="en-CA"/>
        </w:rPr>
        <w:t>check the final ones excluded for this reason</w:t>
      </w:r>
    </w:p>
  </w:comment>
  <w:comment w:id="4" w:author="Hannah Marie Moyer, Ms" w:date="2022-11-30T10:23:00Z" w:initials="HMMM">
    <w:p w14:paraId="14F9EA83" w14:textId="3E388706"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5"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6"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 w:id="7" w:author="Hannah Marie Moyer, Ms" w:date="2023-01-30T13:54:00Z" w:initials="HM">
    <w:p w14:paraId="09E21B6E" w14:textId="77777777" w:rsidR="009F5C48" w:rsidRDefault="009F5C48" w:rsidP="00982273">
      <w:r>
        <w:rPr>
          <w:rStyle w:val="CommentReference"/>
        </w:rPr>
        <w:annotationRef/>
      </w:r>
      <w:r>
        <w:rPr>
          <w:rFonts w:asciiTheme="minorHAnsi" w:eastAsiaTheme="minorHAnsi" w:hAnsiTheme="minorHAnsi" w:cstheme="minorBidi"/>
          <w:sz w:val="20"/>
          <w:szCs w:val="20"/>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6B1F47C9" w15:done="0"/>
  <w15:commentEx w15:paraId="10791EC9" w15:paraIdParent="6B1F47C9" w15:done="0"/>
  <w15:commentEx w15:paraId="3E810487" w15:paraIdParent="6B1F47C9" w15:done="0"/>
  <w15:commentEx w15:paraId="14F9EA83" w15:done="0"/>
  <w15:commentEx w15:paraId="6224AD2E" w15:paraIdParent="14F9EA83" w15:done="0"/>
  <w15:commentEx w15:paraId="370FAF16" w15:done="0"/>
  <w15:commentEx w15:paraId="09E21B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826B95" w16cex:dateUtc="2023-01-30T21:15:00Z"/>
  <w16cex:commentExtensible w16cex:durableId="27826C15" w16cex:dateUtc="2023-01-30T21:17:00Z"/>
  <w16cex:commentExtensible w16cex:durableId="27826C1F" w16cex:dateUtc="2023-01-30T21:17:00Z"/>
  <w16cex:commentExtensible w16cex:durableId="2731AD8B" w16cex:dateUtc="2022-11-30T15:23:00Z"/>
  <w16cex:commentExtensible w16cex:durableId="2731ADC1" w16cex:dateUtc="2022-11-30T15:24:00Z"/>
  <w16cex:commentExtensible w16cex:durableId="2771326D" w16cex:dateUtc="2023-01-17T19:42:00Z"/>
  <w16cex:commentExtensible w16cex:durableId="27824A7A" w16cex:dateUtc="2023-01-30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6B1F47C9" w16cid:durableId="27826B95"/>
  <w16cid:commentId w16cid:paraId="10791EC9" w16cid:durableId="27826C15"/>
  <w16cid:commentId w16cid:paraId="3E810487" w16cid:durableId="27826C1F"/>
  <w16cid:commentId w16cid:paraId="14F9EA83" w16cid:durableId="2731AD8B"/>
  <w16cid:commentId w16cid:paraId="6224AD2E" w16cid:durableId="2731ADC1"/>
  <w16cid:commentId w16cid:paraId="370FAF16" w16cid:durableId="2771326D"/>
  <w16cid:commentId w16cid:paraId="09E21B6E" w16cid:durableId="27824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71460679">
    <w:abstractNumId w:val="10"/>
  </w:num>
  <w:num w:numId="2" w16cid:durableId="2139953559">
    <w:abstractNumId w:val="4"/>
  </w:num>
  <w:num w:numId="3" w16cid:durableId="1913082645">
    <w:abstractNumId w:val="7"/>
  </w:num>
  <w:num w:numId="4" w16cid:durableId="1688602409">
    <w:abstractNumId w:val="8"/>
  </w:num>
  <w:num w:numId="5" w16cid:durableId="485707739">
    <w:abstractNumId w:val="0"/>
  </w:num>
  <w:num w:numId="6" w16cid:durableId="421100020">
    <w:abstractNumId w:val="6"/>
  </w:num>
  <w:num w:numId="7" w16cid:durableId="1408068164">
    <w:abstractNumId w:val="1"/>
  </w:num>
  <w:num w:numId="8" w16cid:durableId="1404331513">
    <w:abstractNumId w:val="5"/>
  </w:num>
  <w:num w:numId="9" w16cid:durableId="437526639">
    <w:abstractNumId w:val="11"/>
  </w:num>
  <w:num w:numId="10" w16cid:durableId="1948808762">
    <w:abstractNumId w:val="3"/>
  </w:num>
  <w:num w:numId="11" w16cid:durableId="65417885">
    <w:abstractNumId w:val="9"/>
  </w:num>
  <w:num w:numId="12" w16cid:durableId="149950283">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1BE3"/>
    <w:rsid w:val="00005A73"/>
    <w:rsid w:val="00026045"/>
    <w:rsid w:val="00041573"/>
    <w:rsid w:val="00044C93"/>
    <w:rsid w:val="00055E07"/>
    <w:rsid w:val="0006659B"/>
    <w:rsid w:val="00066E1F"/>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116AD2"/>
    <w:rsid w:val="00123E68"/>
    <w:rsid w:val="00133F23"/>
    <w:rsid w:val="0013426C"/>
    <w:rsid w:val="0013770F"/>
    <w:rsid w:val="00146D34"/>
    <w:rsid w:val="00146D3C"/>
    <w:rsid w:val="001502BD"/>
    <w:rsid w:val="0015082A"/>
    <w:rsid w:val="00156A3E"/>
    <w:rsid w:val="001616CA"/>
    <w:rsid w:val="0016339D"/>
    <w:rsid w:val="00170808"/>
    <w:rsid w:val="00172B42"/>
    <w:rsid w:val="00173973"/>
    <w:rsid w:val="00187F19"/>
    <w:rsid w:val="00191712"/>
    <w:rsid w:val="00192043"/>
    <w:rsid w:val="00192D44"/>
    <w:rsid w:val="001A0579"/>
    <w:rsid w:val="001A5821"/>
    <w:rsid w:val="001B3C7B"/>
    <w:rsid w:val="001B52CF"/>
    <w:rsid w:val="001B5FD4"/>
    <w:rsid w:val="001B62DF"/>
    <w:rsid w:val="001B66D9"/>
    <w:rsid w:val="001D2E5D"/>
    <w:rsid w:val="001D484E"/>
    <w:rsid w:val="001D4A6E"/>
    <w:rsid w:val="001F3532"/>
    <w:rsid w:val="001F5863"/>
    <w:rsid w:val="00203A89"/>
    <w:rsid w:val="00206AD1"/>
    <w:rsid w:val="00222532"/>
    <w:rsid w:val="0022789A"/>
    <w:rsid w:val="00241A16"/>
    <w:rsid w:val="002432F4"/>
    <w:rsid w:val="0025298F"/>
    <w:rsid w:val="00255230"/>
    <w:rsid w:val="002655FC"/>
    <w:rsid w:val="002769D1"/>
    <w:rsid w:val="00277EE1"/>
    <w:rsid w:val="00295750"/>
    <w:rsid w:val="002A0BBE"/>
    <w:rsid w:val="002C2169"/>
    <w:rsid w:val="002D01F6"/>
    <w:rsid w:val="002D7552"/>
    <w:rsid w:val="002E0DFB"/>
    <w:rsid w:val="00303C34"/>
    <w:rsid w:val="003068BA"/>
    <w:rsid w:val="00306E07"/>
    <w:rsid w:val="003102CA"/>
    <w:rsid w:val="003141E5"/>
    <w:rsid w:val="00314853"/>
    <w:rsid w:val="003161CB"/>
    <w:rsid w:val="00320B4E"/>
    <w:rsid w:val="00326657"/>
    <w:rsid w:val="00333458"/>
    <w:rsid w:val="00334904"/>
    <w:rsid w:val="003410FC"/>
    <w:rsid w:val="00343914"/>
    <w:rsid w:val="00346985"/>
    <w:rsid w:val="00347373"/>
    <w:rsid w:val="00353424"/>
    <w:rsid w:val="00357828"/>
    <w:rsid w:val="0036000B"/>
    <w:rsid w:val="0037305F"/>
    <w:rsid w:val="003876E0"/>
    <w:rsid w:val="00393B0F"/>
    <w:rsid w:val="003A06EF"/>
    <w:rsid w:val="003A2457"/>
    <w:rsid w:val="003A2573"/>
    <w:rsid w:val="003B6C36"/>
    <w:rsid w:val="003B7174"/>
    <w:rsid w:val="003C77FD"/>
    <w:rsid w:val="003D4FC7"/>
    <w:rsid w:val="003D522E"/>
    <w:rsid w:val="003D713E"/>
    <w:rsid w:val="003E2378"/>
    <w:rsid w:val="003E4EE3"/>
    <w:rsid w:val="003E69E8"/>
    <w:rsid w:val="003E6FFF"/>
    <w:rsid w:val="003F044E"/>
    <w:rsid w:val="003F323B"/>
    <w:rsid w:val="003F4161"/>
    <w:rsid w:val="003F597E"/>
    <w:rsid w:val="0040401F"/>
    <w:rsid w:val="00404F24"/>
    <w:rsid w:val="00410D63"/>
    <w:rsid w:val="00411A51"/>
    <w:rsid w:val="00411EEC"/>
    <w:rsid w:val="00415FE4"/>
    <w:rsid w:val="004171BA"/>
    <w:rsid w:val="00424D76"/>
    <w:rsid w:val="00443F24"/>
    <w:rsid w:val="0045023F"/>
    <w:rsid w:val="0046100D"/>
    <w:rsid w:val="004624EE"/>
    <w:rsid w:val="0047174D"/>
    <w:rsid w:val="0047462A"/>
    <w:rsid w:val="00476F69"/>
    <w:rsid w:val="004850C8"/>
    <w:rsid w:val="004B368F"/>
    <w:rsid w:val="004C7B2D"/>
    <w:rsid w:val="004D4F8F"/>
    <w:rsid w:val="004D50E7"/>
    <w:rsid w:val="004D5FA6"/>
    <w:rsid w:val="004D7397"/>
    <w:rsid w:val="004E31D4"/>
    <w:rsid w:val="004F43A3"/>
    <w:rsid w:val="004F63C1"/>
    <w:rsid w:val="0050400E"/>
    <w:rsid w:val="00504CA0"/>
    <w:rsid w:val="00507791"/>
    <w:rsid w:val="005237C2"/>
    <w:rsid w:val="005327A2"/>
    <w:rsid w:val="005341F9"/>
    <w:rsid w:val="0054690D"/>
    <w:rsid w:val="005514BB"/>
    <w:rsid w:val="00562983"/>
    <w:rsid w:val="005640D7"/>
    <w:rsid w:val="005678C8"/>
    <w:rsid w:val="00572D75"/>
    <w:rsid w:val="00582126"/>
    <w:rsid w:val="0059108D"/>
    <w:rsid w:val="005B6E94"/>
    <w:rsid w:val="005C27D0"/>
    <w:rsid w:val="005D6AC2"/>
    <w:rsid w:val="00601F96"/>
    <w:rsid w:val="006060BD"/>
    <w:rsid w:val="00612623"/>
    <w:rsid w:val="00613FD7"/>
    <w:rsid w:val="00616A55"/>
    <w:rsid w:val="00616CB4"/>
    <w:rsid w:val="00617A2A"/>
    <w:rsid w:val="0062045C"/>
    <w:rsid w:val="00625272"/>
    <w:rsid w:val="00627BF4"/>
    <w:rsid w:val="006321FE"/>
    <w:rsid w:val="006367E3"/>
    <w:rsid w:val="006466EC"/>
    <w:rsid w:val="00652DD1"/>
    <w:rsid w:val="00652DFA"/>
    <w:rsid w:val="00656F9E"/>
    <w:rsid w:val="00660526"/>
    <w:rsid w:val="0066364D"/>
    <w:rsid w:val="0066441B"/>
    <w:rsid w:val="00673C0C"/>
    <w:rsid w:val="00676A04"/>
    <w:rsid w:val="00676A5D"/>
    <w:rsid w:val="00677504"/>
    <w:rsid w:val="006824CB"/>
    <w:rsid w:val="00691490"/>
    <w:rsid w:val="006945B8"/>
    <w:rsid w:val="00695C41"/>
    <w:rsid w:val="006A2DDB"/>
    <w:rsid w:val="006B2F70"/>
    <w:rsid w:val="006B79DB"/>
    <w:rsid w:val="006C5DC9"/>
    <w:rsid w:val="006D34C9"/>
    <w:rsid w:val="006E5E5F"/>
    <w:rsid w:val="006E74A9"/>
    <w:rsid w:val="006E7C38"/>
    <w:rsid w:val="006F11EE"/>
    <w:rsid w:val="0071040D"/>
    <w:rsid w:val="00714661"/>
    <w:rsid w:val="007147DE"/>
    <w:rsid w:val="00731F5C"/>
    <w:rsid w:val="007347CD"/>
    <w:rsid w:val="00735937"/>
    <w:rsid w:val="00745AA8"/>
    <w:rsid w:val="00745EAC"/>
    <w:rsid w:val="00745EDB"/>
    <w:rsid w:val="0074751D"/>
    <w:rsid w:val="0075232F"/>
    <w:rsid w:val="00760E5F"/>
    <w:rsid w:val="00760EEE"/>
    <w:rsid w:val="00775325"/>
    <w:rsid w:val="00776C71"/>
    <w:rsid w:val="00777043"/>
    <w:rsid w:val="00791F41"/>
    <w:rsid w:val="007A3289"/>
    <w:rsid w:val="007A6027"/>
    <w:rsid w:val="007B6E1E"/>
    <w:rsid w:val="007C28EF"/>
    <w:rsid w:val="007C46F3"/>
    <w:rsid w:val="007D2ADD"/>
    <w:rsid w:val="007E4333"/>
    <w:rsid w:val="007E5927"/>
    <w:rsid w:val="007E6527"/>
    <w:rsid w:val="007E78AB"/>
    <w:rsid w:val="007F79D4"/>
    <w:rsid w:val="008024C5"/>
    <w:rsid w:val="00813363"/>
    <w:rsid w:val="00817A85"/>
    <w:rsid w:val="008364D9"/>
    <w:rsid w:val="00842B6F"/>
    <w:rsid w:val="00842E2D"/>
    <w:rsid w:val="00844D90"/>
    <w:rsid w:val="00853055"/>
    <w:rsid w:val="008537AC"/>
    <w:rsid w:val="0085606A"/>
    <w:rsid w:val="0086420A"/>
    <w:rsid w:val="00864FAC"/>
    <w:rsid w:val="008717FD"/>
    <w:rsid w:val="0087267B"/>
    <w:rsid w:val="00892AAE"/>
    <w:rsid w:val="008A2B2C"/>
    <w:rsid w:val="008A6F63"/>
    <w:rsid w:val="008B382C"/>
    <w:rsid w:val="008B50BD"/>
    <w:rsid w:val="008C0326"/>
    <w:rsid w:val="008C1E7F"/>
    <w:rsid w:val="008C5A2A"/>
    <w:rsid w:val="008D0734"/>
    <w:rsid w:val="008D6BB4"/>
    <w:rsid w:val="008E2F9A"/>
    <w:rsid w:val="008E4BF0"/>
    <w:rsid w:val="008E5633"/>
    <w:rsid w:val="008F13AB"/>
    <w:rsid w:val="00905AD2"/>
    <w:rsid w:val="0092092A"/>
    <w:rsid w:val="00924457"/>
    <w:rsid w:val="0092786F"/>
    <w:rsid w:val="00932A08"/>
    <w:rsid w:val="00933FFE"/>
    <w:rsid w:val="00935DE3"/>
    <w:rsid w:val="009524C7"/>
    <w:rsid w:val="00957A83"/>
    <w:rsid w:val="009627DA"/>
    <w:rsid w:val="00963238"/>
    <w:rsid w:val="00964769"/>
    <w:rsid w:val="00984B92"/>
    <w:rsid w:val="009866A4"/>
    <w:rsid w:val="00991BC0"/>
    <w:rsid w:val="00991F4A"/>
    <w:rsid w:val="009A7489"/>
    <w:rsid w:val="009C6DF8"/>
    <w:rsid w:val="009D53CD"/>
    <w:rsid w:val="009D7DDC"/>
    <w:rsid w:val="009E05C5"/>
    <w:rsid w:val="009E2F32"/>
    <w:rsid w:val="009E38FF"/>
    <w:rsid w:val="009F3E3D"/>
    <w:rsid w:val="009F5C48"/>
    <w:rsid w:val="009F664D"/>
    <w:rsid w:val="009F6EB4"/>
    <w:rsid w:val="00A002D7"/>
    <w:rsid w:val="00A06117"/>
    <w:rsid w:val="00A06C42"/>
    <w:rsid w:val="00A07EE3"/>
    <w:rsid w:val="00A10C46"/>
    <w:rsid w:val="00A235B0"/>
    <w:rsid w:val="00A25313"/>
    <w:rsid w:val="00A25EFA"/>
    <w:rsid w:val="00A26E9E"/>
    <w:rsid w:val="00A26FFF"/>
    <w:rsid w:val="00A3759D"/>
    <w:rsid w:val="00A54562"/>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3F3F"/>
    <w:rsid w:val="00B01DB2"/>
    <w:rsid w:val="00B152ED"/>
    <w:rsid w:val="00B15910"/>
    <w:rsid w:val="00B15A42"/>
    <w:rsid w:val="00B16268"/>
    <w:rsid w:val="00B20D31"/>
    <w:rsid w:val="00B218EF"/>
    <w:rsid w:val="00B3323F"/>
    <w:rsid w:val="00B46FE1"/>
    <w:rsid w:val="00B53D6A"/>
    <w:rsid w:val="00B5510E"/>
    <w:rsid w:val="00B55CA3"/>
    <w:rsid w:val="00B56D1E"/>
    <w:rsid w:val="00B60D23"/>
    <w:rsid w:val="00B62AD0"/>
    <w:rsid w:val="00B63991"/>
    <w:rsid w:val="00B72083"/>
    <w:rsid w:val="00B73EB7"/>
    <w:rsid w:val="00B7786F"/>
    <w:rsid w:val="00B77A8B"/>
    <w:rsid w:val="00B8136D"/>
    <w:rsid w:val="00B85F0B"/>
    <w:rsid w:val="00B866F6"/>
    <w:rsid w:val="00B92A54"/>
    <w:rsid w:val="00BA41BD"/>
    <w:rsid w:val="00BA682E"/>
    <w:rsid w:val="00BA6892"/>
    <w:rsid w:val="00BB0D04"/>
    <w:rsid w:val="00BC0104"/>
    <w:rsid w:val="00BC2FA4"/>
    <w:rsid w:val="00BC52FD"/>
    <w:rsid w:val="00BC5CFA"/>
    <w:rsid w:val="00BD3A63"/>
    <w:rsid w:val="00BD5E3E"/>
    <w:rsid w:val="00BE107E"/>
    <w:rsid w:val="00BF401D"/>
    <w:rsid w:val="00C10828"/>
    <w:rsid w:val="00C1458C"/>
    <w:rsid w:val="00C14B6D"/>
    <w:rsid w:val="00C22438"/>
    <w:rsid w:val="00C2390E"/>
    <w:rsid w:val="00C4605C"/>
    <w:rsid w:val="00C51F92"/>
    <w:rsid w:val="00C54FD4"/>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C2B19"/>
    <w:rsid w:val="00CC6731"/>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40CF2"/>
    <w:rsid w:val="00D47792"/>
    <w:rsid w:val="00D51875"/>
    <w:rsid w:val="00D57EF8"/>
    <w:rsid w:val="00D652B9"/>
    <w:rsid w:val="00D77DC9"/>
    <w:rsid w:val="00D87236"/>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32B2"/>
    <w:rsid w:val="00E0343E"/>
    <w:rsid w:val="00E05A80"/>
    <w:rsid w:val="00E37914"/>
    <w:rsid w:val="00E432B5"/>
    <w:rsid w:val="00E505A2"/>
    <w:rsid w:val="00E52086"/>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E2EA5"/>
    <w:rsid w:val="00EE5EFF"/>
    <w:rsid w:val="00EE6AFC"/>
    <w:rsid w:val="00EF66B2"/>
    <w:rsid w:val="00F10246"/>
    <w:rsid w:val="00F169B2"/>
    <w:rsid w:val="00F25AA1"/>
    <w:rsid w:val="00F27FB1"/>
    <w:rsid w:val="00F333FF"/>
    <w:rsid w:val="00F45C90"/>
    <w:rsid w:val="00F54A90"/>
    <w:rsid w:val="00F564DC"/>
    <w:rsid w:val="00F642C7"/>
    <w:rsid w:val="00F71BCB"/>
    <w:rsid w:val="00F76EFF"/>
    <w:rsid w:val="00F8416E"/>
    <w:rsid w:val="00F903FC"/>
    <w:rsid w:val="00F91195"/>
    <w:rsid w:val="00F9269C"/>
    <w:rsid w:val="00F93BB0"/>
    <w:rsid w:val="00F943EA"/>
    <w:rsid w:val="00F95054"/>
    <w:rsid w:val="00F969C6"/>
    <w:rsid w:val="00FA487C"/>
    <w:rsid w:val="00FA5E0D"/>
    <w:rsid w:val="00FA6BB3"/>
    <w:rsid w:val="00FC1941"/>
    <w:rsid w:val="00FC2D25"/>
    <w:rsid w:val="00FC3816"/>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5</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46</cp:revision>
  <dcterms:created xsi:type="dcterms:W3CDTF">2023-01-17T20:00:00Z</dcterms:created>
  <dcterms:modified xsi:type="dcterms:W3CDTF">2023-02-07T21:33:00Z</dcterms:modified>
</cp:coreProperties>
</file>