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69E05E79"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007A5240">
        <w:rPr>
          <w:sz w:val="20"/>
          <w:szCs w:val="20"/>
        </w:rPr>
        <w:instrText xml:space="preserve"> ADDIN ZOTERO_ITEM CSL_CITATION {"citationID":"Bz8MxFRj","properties":{"formattedCitation":"\\super 1\\nosupersub{}","plainCitation":"1","noteIndex":0},"citationItems":[{"id":1525,"uris":["http://zotero.org/users/5374610/items/PWRYMV3F"],"itemData":{"id":1525,"type":"webpage","language":"en","title":"FDAAA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007A5240" w:rsidRPr="007A5240">
        <w:rPr>
          <w:sz w:val="20"/>
          <w:vertAlign w:val="superscript"/>
        </w:rPr>
        <w:t>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Headaches are broken into types (Migraines and other headache types could not be used as prior evidence for the other.</w:t>
      </w:r>
    </w:p>
    <w:p w14:paraId="737DB097" w14:textId="4153B520"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we did not check for the status of the previous trial. </w:t>
      </w:r>
    </w:p>
    <w:p w14:paraId="3800BE08" w14:textId="32646818"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675CA8E8" w:rsidR="0092786F" w:rsidRDefault="0075363B"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Trials without results are included in the primary but not in the positivity analysis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6EEEF831" w14:textId="0E1870C2" w:rsidR="00110939" w:rsidRPr="00F078BE" w:rsidRDefault="00110939" w:rsidP="00DA1038">
      <w:pPr>
        <w:rPr>
          <w:rFonts w:eastAsiaTheme="minorHAnsi"/>
          <w:color w:val="000000"/>
          <w:sz w:val="20"/>
          <w:szCs w:val="20"/>
          <w:lang w:val="en-CA"/>
        </w:rPr>
      </w:pPr>
      <w:r w:rsidRPr="00F078BE">
        <w:rPr>
          <w:rFonts w:eastAsiaTheme="minorHAnsi"/>
          <w:b/>
          <w:bCs/>
          <w:color w:val="000000"/>
          <w:sz w:val="20"/>
          <w:szCs w:val="20"/>
          <w:lang w:val="en-CA"/>
        </w:rPr>
        <w:t xml:space="preserve">Phase </w:t>
      </w:r>
      <w:r w:rsidR="00414C74" w:rsidRPr="00F078BE">
        <w:rPr>
          <w:rFonts w:eastAsiaTheme="minorHAnsi"/>
          <w:b/>
          <w:bCs/>
          <w:color w:val="000000"/>
          <w:sz w:val="20"/>
          <w:szCs w:val="20"/>
          <w:lang w:val="en-CA"/>
        </w:rPr>
        <w:t>determination</w:t>
      </w:r>
      <w:r w:rsidRPr="00F078BE">
        <w:rPr>
          <w:rFonts w:eastAsiaTheme="minorHAnsi"/>
          <w:b/>
          <w:bCs/>
          <w:color w:val="000000"/>
          <w:sz w:val="20"/>
          <w:szCs w:val="20"/>
          <w:lang w:val="en-CA"/>
        </w:rPr>
        <w:t>:</w:t>
      </w:r>
      <w:r w:rsidR="00414C74" w:rsidRPr="00F078BE">
        <w:rPr>
          <w:rFonts w:eastAsiaTheme="minorHAnsi"/>
          <w:color w:val="000000"/>
          <w:sz w:val="20"/>
          <w:szCs w:val="20"/>
          <w:lang w:val="en-CA"/>
        </w:rPr>
        <w:t xml:space="preserve"> We use </w:t>
      </w:r>
      <w:r w:rsidR="002E5131" w:rsidRPr="00F078BE">
        <w:rPr>
          <w:rFonts w:eastAsiaTheme="minorHAnsi"/>
          <w:color w:val="000000"/>
          <w:sz w:val="20"/>
          <w:szCs w:val="20"/>
          <w:lang w:val="en-CA"/>
        </w:rPr>
        <w:t>how it is defined on ct.gov in the phase category unless they call themselves something else in the publication or the ct.gov record</w:t>
      </w:r>
      <w:r w:rsidR="008A4702" w:rsidRPr="00F078BE">
        <w:rPr>
          <w:rFonts w:eastAsiaTheme="minorHAnsi"/>
          <w:color w:val="000000"/>
          <w:sz w:val="20"/>
          <w:szCs w:val="20"/>
          <w:lang w:val="en-CA"/>
        </w:rPr>
        <w:t>. If still not defined, we used the following rules.</w:t>
      </w:r>
      <w:r w:rsidRPr="00F078BE">
        <w:rPr>
          <w:rFonts w:eastAsiaTheme="minorHAnsi"/>
          <w:color w:val="000000"/>
          <w:sz w:val="20"/>
          <w:szCs w:val="20"/>
          <w:lang w:val="en-CA"/>
        </w:rPr>
        <w:t xml:space="preserve"> </w:t>
      </w:r>
    </w:p>
    <w:p w14:paraId="53CF0763"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P1-Not controlled and no efficacy endpoint </w:t>
      </w:r>
    </w:p>
    <w:p w14:paraId="485B54A7"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03A6A188" w14:textId="77777777" w:rsidR="00471564" w:rsidRDefault="00F078BE" w:rsidP="00471564">
      <w:pPr>
        <w:pStyle w:val="ListParagraph"/>
        <w:numPr>
          <w:ilvl w:val="0"/>
          <w:numId w:val="14"/>
        </w:numPr>
        <w:rPr>
          <w:color w:val="000000"/>
          <w:sz w:val="20"/>
          <w:szCs w:val="20"/>
        </w:rPr>
      </w:pPr>
      <w:r w:rsidRPr="00F078BE">
        <w:rPr>
          <w:color w:val="000000"/>
          <w:sz w:val="20"/>
          <w:szCs w:val="20"/>
        </w:rPr>
        <w:t>P3- Controlled and have primary efficacy endpoints and large* number of patients</w:t>
      </w:r>
    </w:p>
    <w:p w14:paraId="027682E6" w14:textId="2A8F8BAA" w:rsidR="00F078BE" w:rsidRPr="00471564" w:rsidRDefault="00F078BE" w:rsidP="00471564">
      <w:pPr>
        <w:rPr>
          <w:color w:val="000000"/>
          <w:sz w:val="20"/>
          <w:szCs w:val="20"/>
        </w:rPr>
      </w:pPr>
      <w:r w:rsidRPr="00471564">
        <w:rPr>
          <w:color w:val="000000"/>
          <w:sz w:val="20"/>
          <w:szCs w:val="20"/>
        </w:rPr>
        <w:t>*Dependent on indication: for now: 300</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016F94FC" w:rsidR="004D7397" w:rsidRPr="004D7397" w:rsidRDefault="004D7397" w:rsidP="004D7397">
      <w:pPr>
        <w:numPr>
          <w:ilvl w:val="0"/>
          <w:numId w:val="12"/>
        </w:numPr>
        <w:rPr>
          <w:sz w:val="20"/>
          <w:szCs w:val="20"/>
        </w:rPr>
      </w:pPr>
      <w:r w:rsidRPr="004D7397">
        <w:rPr>
          <w:sz w:val="20"/>
          <w:szCs w:val="20"/>
        </w:rPr>
        <w:t>Co-primaries: When they stated that all primaries had to be positive for the trial to be positive, we called inconsistent results nonpositive</w:t>
      </w:r>
      <w:r w:rsidR="00574E7A">
        <w:rPr>
          <w:sz w:val="20"/>
          <w:szCs w:val="20"/>
        </w:rPr>
        <w:t>. When they don’t change the sig level</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proved primary surrogate endpoint that was positive as defined in the trial. Surrogate endpoint will only be included in this group if</w:t>
      </w:r>
    </w:p>
    <w:p w14:paraId="1BDC2004" w14:textId="7426C5CA"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r w:rsidR="007A5240">
        <w:rPr>
          <w:rFonts w:eastAsiaTheme="minorHAnsi"/>
          <w:sz w:val="20"/>
          <w:szCs w:val="20"/>
        </w:rPr>
        <w:t xml:space="preserve"> “biomarkers of disease pathophysiology”</w:t>
      </w:r>
      <w:r w:rsidR="00BF47B2">
        <w:rPr>
          <w:rFonts w:eastAsiaTheme="minorHAnsi"/>
          <w:sz w:val="20"/>
          <w:szCs w:val="20"/>
        </w:rPr>
        <w:fldChar w:fldCharType="begin"/>
      </w:r>
      <w:r w:rsidR="00BF47B2">
        <w:rPr>
          <w:rFonts w:eastAsiaTheme="minorHAnsi"/>
          <w:sz w:val="20"/>
          <w:szCs w:val="20"/>
        </w:rPr>
        <w:instrText xml:space="preserve"> ADDIN ZOTERO_ITEM CSL_CITATION {"citationID":"SjXjQZeL","properties":{"formattedCitation":"\\super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F47B2">
        <w:rPr>
          <w:rFonts w:eastAsiaTheme="minorHAnsi"/>
          <w:sz w:val="20"/>
          <w:szCs w:val="20"/>
        </w:rPr>
        <w:fldChar w:fldCharType="separate"/>
      </w:r>
      <w:r w:rsidR="00BF47B2" w:rsidRPr="00BF47B2">
        <w:rPr>
          <w:sz w:val="20"/>
          <w:vertAlign w:val="superscript"/>
        </w:rPr>
        <w:t>2</w:t>
      </w:r>
      <w:r w:rsidR="00BF47B2">
        <w:rPr>
          <w:rFonts w:eastAsiaTheme="minorHAnsi"/>
          <w:sz w:val="20"/>
          <w:szCs w:val="20"/>
        </w:rPr>
        <w:fldChar w:fldCharType="end"/>
      </w:r>
      <w:r w:rsidR="00BF47B2">
        <w:rPr>
          <w:rFonts w:eastAsiaTheme="minorHAnsi"/>
          <w:sz w:val="20"/>
          <w:szCs w:val="20"/>
        </w:rPr>
        <w:t xml:space="preserve"> type 2 biomarkers</w:t>
      </w:r>
      <w:r w:rsidR="000F6C34">
        <w:rPr>
          <w:rFonts w:eastAsiaTheme="minorHAnsi"/>
          <w:sz w:val="20"/>
          <w:szCs w:val="20"/>
        </w:rPr>
        <w:fldChar w:fldCharType="begin"/>
      </w:r>
      <w:r w:rsidR="000F6C34">
        <w:rPr>
          <w:rFonts w:eastAsiaTheme="minorHAnsi"/>
          <w:sz w:val="20"/>
          <w:szCs w:val="20"/>
        </w:rPr>
        <w:instrText xml:space="preserve"> ADDIN ZOTERO_ITEM CSL_CITATION {"citationID":"FFSYxdlB","properties":{"formattedCitation":"\\super 3\\nosupersub{}","plainCitation":"3","noteIndex":0},"citationItems":[{"id":3295,"uris":["http://zotero.org/users/5374610/items/VTDIIG5J"],"itemData":{"id":3295,"type":"article-journal","container-title":"Clinical Pharmacology and Therapeutics","DOI":"10.1067/mcp.2001.113989","ISSN":"0009-9236","issue":"3","journalAbbreviation":"Clin Pharmacol Ther","language":"eng","note":"PMID: 11240971","page":"89-95","source":"PubMed","title":"Biomarkers and surrogate endpoints: preferred definitions and conceptual framework","title-short":"Biomarkers and surrogate endpoints","volume":"69","author":[{"literal":"Biomarkers Definitions Working Group."}],"issued":{"date-parts":[["2001",3]]}}}],"schema":"https://github.com/citation-style-language/schema/raw/master/csl-citation.json"} </w:instrText>
      </w:r>
      <w:r w:rsidR="000F6C34">
        <w:rPr>
          <w:rFonts w:eastAsiaTheme="minorHAnsi"/>
          <w:sz w:val="20"/>
          <w:szCs w:val="20"/>
        </w:rPr>
        <w:fldChar w:fldCharType="separate"/>
      </w:r>
      <w:r w:rsidR="000F6C34" w:rsidRPr="000F6C34">
        <w:rPr>
          <w:sz w:val="20"/>
          <w:vertAlign w:val="superscript"/>
        </w:rPr>
        <w:t>3</w:t>
      </w:r>
      <w:r w:rsidR="000F6C34">
        <w:rPr>
          <w:rFonts w:eastAsiaTheme="minorHAnsi"/>
          <w:sz w:val="20"/>
          <w:szCs w:val="20"/>
        </w:rPr>
        <w:fldChar w:fldCharType="end"/>
      </w:r>
      <w:r w:rsidR="000F6C34">
        <w:rPr>
          <w:rFonts w:eastAsiaTheme="minorHAnsi"/>
          <w:sz w:val="20"/>
          <w:szCs w:val="20"/>
        </w:rPr>
        <w:t xml:space="preserve"> This was also discussed with a neurologist. No AD surrogates were accepted.</w:t>
      </w:r>
    </w:p>
    <w:p w14:paraId="1843A360" w14:textId="5663DC60" w:rsidR="00715B88" w:rsidRPr="00BF47B2" w:rsidRDefault="007A5240" w:rsidP="00BF47B2">
      <w:pPr>
        <w:numPr>
          <w:ilvl w:val="4"/>
          <w:numId w:val="11"/>
        </w:numPr>
        <w:rPr>
          <w:rFonts w:eastAsiaTheme="minorHAnsi"/>
          <w:sz w:val="20"/>
          <w:szCs w:val="20"/>
        </w:rPr>
      </w:pPr>
      <w:r>
        <w:rPr>
          <w:rFonts w:eastAsiaTheme="minorHAnsi"/>
          <w:sz w:val="20"/>
          <w:szCs w:val="20"/>
        </w:rPr>
        <w:fldChar w:fldCharType="begin"/>
      </w:r>
      <w:r>
        <w:rPr>
          <w:rFonts w:eastAsiaTheme="minorHAnsi"/>
          <w:sz w:val="20"/>
          <w:szCs w:val="20"/>
        </w:rPr>
        <w:instrText xml:space="preserve"> ADDIN ZOTERO_ITEM CSL_CITATION {"citationID":"aMnmM8hd","properties":{"formattedCitation":"\\super 2\\nosupersub{}","plainCitation":"2","noteIndex":0},"citationItems":[{"id":3158,"uris":["http://zotero.org/users/5374610/items/GGBWT5YB"],"itemData":{"id":3158,"type":"chapter","abstract":"This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Pr>
          <w:rFonts w:eastAsiaTheme="minorHAnsi"/>
          <w:sz w:val="20"/>
          <w:szCs w:val="20"/>
        </w:rPr>
        <w:fldChar w:fldCharType="separate"/>
      </w:r>
      <w:r w:rsidRPr="007A5240">
        <w:rPr>
          <w:sz w:val="20"/>
          <w:vertAlign w:val="superscript"/>
        </w:rPr>
        <w:t>2</w:t>
      </w:r>
      <w:r>
        <w:rPr>
          <w:rFonts w:eastAsiaTheme="minorHAnsi"/>
          <w:sz w:val="20"/>
          <w:szCs w:val="20"/>
        </w:rPr>
        <w:fldChar w:fldCharType="end"/>
      </w:r>
      <w:r w:rsidR="00715B88">
        <w:rPr>
          <w:rFonts w:eastAsiaTheme="minorHAnsi"/>
          <w:sz w:val="20"/>
          <w:szCs w:val="20"/>
        </w:rPr>
        <w:t>T</w:t>
      </w:r>
      <w:r w:rsidR="00F27FB1" w:rsidRPr="00F27FB1">
        <w:rPr>
          <w:rFonts w:eastAsiaTheme="minorHAnsi"/>
          <w:sz w:val="20"/>
          <w:szCs w:val="20"/>
        </w:rPr>
        <w:t>hey are commonly used in phase 2 trials in that indication because of time constraints</w:t>
      </w:r>
      <w:r w:rsidR="00BF47B2">
        <w:rPr>
          <w:rFonts w:eastAsiaTheme="minorHAnsi"/>
          <w:sz w:val="20"/>
          <w:szCs w:val="20"/>
        </w:rPr>
        <w:t xml:space="preserve"> and </w:t>
      </w:r>
      <w:r w:rsidR="000F6C34">
        <w:rPr>
          <w:rFonts w:eastAsiaTheme="minorHAnsi"/>
          <w:sz w:val="20"/>
          <w:szCs w:val="20"/>
        </w:rPr>
        <w:t>m</w:t>
      </w:r>
      <w:r w:rsidR="00715B88" w:rsidRPr="00BF47B2">
        <w:rPr>
          <w:rFonts w:eastAsiaTheme="minorHAnsi"/>
          <w:sz w:val="20"/>
          <w:szCs w:val="20"/>
        </w:rPr>
        <w:t xml:space="preserve">akes sense mechanistically and </w:t>
      </w:r>
      <w:r w:rsidR="000F6C34">
        <w:rPr>
          <w:rFonts w:eastAsiaTheme="minorHAnsi"/>
          <w:sz w:val="20"/>
          <w:szCs w:val="20"/>
        </w:rPr>
        <w:t>have</w:t>
      </w:r>
      <w:r w:rsidR="00715B88" w:rsidRPr="00BF47B2">
        <w:rPr>
          <w:rFonts w:eastAsiaTheme="minorHAnsi"/>
          <w:sz w:val="20"/>
          <w:szCs w:val="20"/>
        </w:rPr>
        <w:t xml:space="preserve"> been validated in a P3 trial of a similar drug showing</w:t>
      </w:r>
      <w:r w:rsidR="000F6C34">
        <w:rPr>
          <w:rFonts w:eastAsiaTheme="minorHAnsi"/>
          <w:sz w:val="20"/>
          <w:szCs w:val="20"/>
        </w:rPr>
        <w:t xml:space="preserve"> clinical</w:t>
      </w:r>
      <w:r w:rsidR="00715B88" w:rsidRPr="00BF47B2">
        <w:rPr>
          <w:rFonts w:eastAsiaTheme="minorHAnsi"/>
          <w:sz w:val="20"/>
          <w:szCs w:val="20"/>
        </w:rPr>
        <w:t xml:space="preserve"> efficacy is associated with it</w:t>
      </w:r>
    </w:p>
    <w:p w14:paraId="018B859D" w14:textId="1D54E02E" w:rsidR="00715B88" w:rsidRDefault="00715B88" w:rsidP="00715B88">
      <w:pPr>
        <w:numPr>
          <w:ilvl w:val="4"/>
          <w:numId w:val="11"/>
        </w:numPr>
        <w:rPr>
          <w:rFonts w:eastAsiaTheme="minorHAnsi"/>
          <w:sz w:val="20"/>
          <w:szCs w:val="20"/>
        </w:rPr>
      </w:pPr>
      <w:r>
        <w:rPr>
          <w:rFonts w:eastAsiaTheme="minorHAnsi"/>
          <w:sz w:val="20"/>
          <w:szCs w:val="20"/>
        </w:rPr>
        <w:t>Allowed</w:t>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95% peripheral CD19+ B-cell depletion from baseline within</w:t>
      </w:r>
      <w:commentRangeStart w:id="6"/>
      <w:commentRangeStart w:id="7"/>
      <w:r w:rsidRPr="004A5619">
        <w:rPr>
          <w:color w:val="000000"/>
          <w:sz w:val="22"/>
          <w:szCs w:val="22"/>
          <w:lang w:val="en-CA"/>
        </w:rPr>
        <w:t xml:space="preserve"> 2weeks</w:t>
      </w:r>
      <w:r w:rsidRPr="004A5619">
        <w:rPr>
          <w:color w:val="000000"/>
          <w:sz w:val="22"/>
          <w:szCs w:val="22"/>
          <w:bdr w:val="none" w:sz="0" w:space="0" w:color="auto" w:frame="1"/>
          <w:shd w:val="clear" w:color="auto" w:fill="FFFFFF"/>
        </w:rPr>
        <w:t xml:space="preserve"> </w:t>
      </w:r>
      <w:commentRangeEnd w:id="6"/>
      <w:r>
        <w:rPr>
          <w:rStyle w:val="CommentReference"/>
        </w:rPr>
        <w:commentReference w:id="6"/>
      </w:r>
      <w:commentRangeEnd w:id="7"/>
      <w:r>
        <w:rPr>
          <w:rStyle w:val="CommentReference"/>
        </w:rPr>
        <w:commentReference w:id="7"/>
      </w:r>
    </w:p>
    <w:p w14:paraId="08FED839" w14:textId="560FD079" w:rsidR="00715B88" w:rsidRPr="00715B88" w:rsidRDefault="00715B88" w:rsidP="00715B88">
      <w:pPr>
        <w:numPr>
          <w:ilvl w:val="5"/>
          <w:numId w:val="11"/>
        </w:numPr>
        <w:rPr>
          <w:rFonts w:eastAsiaTheme="minorHAnsi"/>
          <w:sz w:val="20"/>
          <w:szCs w:val="20"/>
        </w:rPr>
      </w:pPr>
      <w:r>
        <w:rPr>
          <w:rFonts w:eastAsiaTheme="minorHAnsi"/>
          <w:sz w:val="20"/>
          <w:szCs w:val="20"/>
        </w:rPr>
        <w:t xml:space="preserve">PD- </w:t>
      </w:r>
      <w:r w:rsidRPr="00715B88">
        <w:rPr>
          <w:color w:val="000000"/>
          <w:sz w:val="22"/>
          <w:szCs w:val="22"/>
          <w:bdr w:val="none" w:sz="0" w:space="0" w:color="auto" w:frame="1"/>
          <w:shd w:val="clear" w:color="auto" w:fill="FFFFFF"/>
        </w:rPr>
        <w:t xml:space="preserve">levodopa PK levels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5C30CA12"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 xml:space="preserve">ad a P2 trial that had a primary endpoint investigating 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8"/>
      <w:r w:rsidR="00D77DC9" w:rsidRPr="00D03516">
        <w:rPr>
          <w:sz w:val="20"/>
          <w:szCs w:val="20"/>
        </w:rPr>
        <w:t>positive</w:t>
      </w:r>
      <w:commentRangeEnd w:id="8"/>
      <w:r w:rsidR="00B866F6">
        <w:rPr>
          <w:rStyle w:val="CommentReference"/>
        </w:rPr>
        <w:commentReference w:id="8"/>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9"/>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9"/>
      <w:r w:rsidR="009F5C48">
        <w:rPr>
          <w:rStyle w:val="CommentReference"/>
        </w:rPr>
        <w:commentReference w:id="9"/>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401F0B61" w:rsidR="00F969C6" w:rsidRPr="00FC50DE"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02045AAA" w14:textId="3E1A6065" w:rsidR="00FC50DE" w:rsidRPr="00BA6892" w:rsidRDefault="00FC50DE">
      <w:pPr>
        <w:pStyle w:val="ListParagraph"/>
        <w:numPr>
          <w:ilvl w:val="2"/>
          <w:numId w:val="6"/>
        </w:numPr>
        <w:rPr>
          <w:rFonts w:ascii="Times New Roman" w:hAnsi="Times New Roman" w:cs="Times New Roman"/>
          <w:sz w:val="20"/>
          <w:szCs w:val="20"/>
        </w:rPr>
      </w:pPr>
      <w:r>
        <w:rPr>
          <w:sz w:val="20"/>
          <w:szCs w:val="20"/>
        </w:rPr>
        <w:t>Took from baseline randomization as denominator (earliest that was available</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7C2BF75C" w:rsidR="006C6D84"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3DBD891F" w14:textId="20B2F958" w:rsidR="00F53C91" w:rsidRPr="009627DA" w:rsidRDefault="00F53C91">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If the trial is looking at a new formulation for an old drug- the first formulation will be used for approval date</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What to do about when it was not </w:t>
      </w:r>
      <w:proofErr w:type="gramStart"/>
      <w:r>
        <w:rPr>
          <w:rFonts w:ascii="Times New Roman" w:hAnsi="Times New Roman" w:cs="Times New Roman"/>
          <w:sz w:val="20"/>
          <w:szCs w:val="20"/>
        </w:rPr>
        <w:t>pharma</w:t>
      </w:r>
      <w:proofErr w:type="gramEnd"/>
      <w:r>
        <w:rPr>
          <w:rFonts w:ascii="Times New Roman" w:hAnsi="Times New Roman" w:cs="Times New Roman"/>
          <w:sz w:val="20"/>
          <w:szCs w:val="20"/>
        </w:rPr>
        <w:t xml:space="preserve">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lastRenderedPageBreak/>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66374613" w:rsidR="00D03516" w:rsidRDefault="00D03516" w:rsidP="00D03516">
      <w:pPr>
        <w:rPr>
          <w:sz w:val="20"/>
          <w:szCs w:val="20"/>
        </w:rPr>
      </w:pPr>
    </w:p>
    <w:p w14:paraId="5E9302BD" w14:textId="77777777" w:rsidR="00F62160" w:rsidRPr="00D03516" w:rsidRDefault="00F62160" w:rsidP="00D03516">
      <w:pPr>
        <w:rPr>
          <w:sz w:val="20"/>
          <w:szCs w:val="20"/>
        </w:rPr>
      </w:pPr>
    </w:p>
    <w:sectPr w:rsidR="00F62160"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oyer" w:date="2023-03-03T15:52:00Z" w:initials="HM">
    <w:p w14:paraId="50DDC96C" w14:textId="77777777" w:rsidR="00715B88" w:rsidRDefault="00715B88" w:rsidP="00715B88">
      <w:r>
        <w:rPr>
          <w:rStyle w:val="CommentReference"/>
        </w:rPr>
        <w:annotationRef/>
      </w:r>
      <w:r>
        <w:rPr>
          <w:sz w:val="20"/>
          <w:szCs w:val="20"/>
        </w:rPr>
        <w:t>basically, the outcome is almost certainly not a clinical or even validated surrogate endpoint.</w:t>
      </w:r>
      <w:r>
        <w:rPr>
          <w:sz w:val="20"/>
          <w:szCs w:val="20"/>
        </w:rPr>
        <w:cr/>
        <w:t>but here is the thing. at the time this study started enrolling, its possible other anti-CD20 inhibitors had shown efficacy in RRMS (in particular, rituximab and ocrelizimab).</w:t>
      </w:r>
      <w:r>
        <w:rPr>
          <w:sz w:val="20"/>
          <w:szCs w:val="20"/>
        </w:rPr>
        <w:cr/>
        <w:t>what i would say is: if ocrelizumab had a positive phase 3 trial at the time this study was started, one might reasonably say their primary endpoint was a good read-out for clinical activity. if ocrelizumab (or other anti-CD20) had NOT given readouts on clinical endpoints, i’d say it is an inappropriate surrogate for activity.</w:t>
      </w:r>
    </w:p>
  </w:comment>
  <w:comment w:id="7" w:author="Hannah Moyer" w:date="2023-03-03T16:35:00Z" w:initials="HM">
    <w:p w14:paraId="67852659" w14:textId="77777777" w:rsidR="00715B88" w:rsidRDefault="00715B88" w:rsidP="00715B88">
      <w:r>
        <w:rPr>
          <w:rStyle w:val="CommentReference"/>
        </w:rPr>
        <w:annotationRef/>
      </w:r>
      <w:r>
        <w:rPr>
          <w:sz w:val="20"/>
          <w:szCs w:val="20"/>
        </w:rPr>
        <w:t>Ocrelizumab had a pos P3 trial at this time</w:t>
      </w:r>
    </w:p>
  </w:comment>
  <w:comment w:id="8"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9"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50DDC96C" w15:done="0"/>
  <w15:commentEx w15:paraId="67852659" w15:paraIdParent="50DDC96C"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AC9657" w16cex:dateUtc="2023-03-03T20:52:00Z"/>
  <w16cex:commentExtensible w16cex:durableId="27ACA068" w16cex:dateUtc="2023-03-03T21:35: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50DDC96C" w16cid:durableId="27AC9657"/>
  <w16cid:commentId w16cid:paraId="67852659" w16cid:durableId="27ACA068"/>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2"/>
  </w:num>
  <w:num w:numId="2" w16cid:durableId="2139953559">
    <w:abstractNumId w:val="5"/>
  </w:num>
  <w:num w:numId="3" w16cid:durableId="1913082645">
    <w:abstractNumId w:val="9"/>
  </w:num>
  <w:num w:numId="4" w16cid:durableId="1688602409">
    <w:abstractNumId w:val="10"/>
  </w:num>
  <w:num w:numId="5" w16cid:durableId="485707739">
    <w:abstractNumId w:val="0"/>
  </w:num>
  <w:num w:numId="6" w16cid:durableId="421100020">
    <w:abstractNumId w:val="7"/>
  </w:num>
  <w:num w:numId="7" w16cid:durableId="1408068164">
    <w:abstractNumId w:val="2"/>
  </w:num>
  <w:num w:numId="8" w16cid:durableId="1404331513">
    <w:abstractNumId w:val="6"/>
  </w:num>
  <w:num w:numId="9" w16cid:durableId="437526639">
    <w:abstractNumId w:val="14"/>
  </w:num>
  <w:num w:numId="10" w16cid:durableId="1948808762">
    <w:abstractNumId w:val="4"/>
  </w:num>
  <w:num w:numId="11" w16cid:durableId="65417885">
    <w:abstractNumId w:val="11"/>
  </w:num>
  <w:num w:numId="12" w16cid:durableId="149950283">
    <w:abstractNumId w:val="3"/>
  </w:num>
  <w:num w:numId="13" w16cid:durableId="690029904">
    <w:abstractNumId w:val="8"/>
  </w:num>
  <w:num w:numId="14" w16cid:durableId="1061060062">
    <w:abstractNumId w:val="13"/>
  </w:num>
  <w:num w:numId="15" w16cid:durableId="1099449414">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0F6C34"/>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08C9"/>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564"/>
    <w:rsid w:val="0047174D"/>
    <w:rsid w:val="0047462A"/>
    <w:rsid w:val="00476F69"/>
    <w:rsid w:val="004850C8"/>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74E7A"/>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15B88"/>
    <w:rsid w:val="007230F3"/>
    <w:rsid w:val="00731F5C"/>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5240"/>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11D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BF47B2"/>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078BE"/>
    <w:rsid w:val="00F10246"/>
    <w:rsid w:val="00F15A7C"/>
    <w:rsid w:val="00F169B2"/>
    <w:rsid w:val="00F22CDC"/>
    <w:rsid w:val="00F25AA1"/>
    <w:rsid w:val="00F27FB1"/>
    <w:rsid w:val="00F333FF"/>
    <w:rsid w:val="00F45C90"/>
    <w:rsid w:val="00F53C91"/>
    <w:rsid w:val="00F54A90"/>
    <w:rsid w:val="00F564DC"/>
    <w:rsid w:val="00F62160"/>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C50DE"/>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84</cp:revision>
  <dcterms:created xsi:type="dcterms:W3CDTF">2023-01-17T20:00:00Z</dcterms:created>
  <dcterms:modified xsi:type="dcterms:W3CDTF">2023-03-12T22:22:00Z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id="sGHGXeNP"/&gt;&lt;style id="http://www.zotero.org/styles/sage-vancouver" hasBibliography="1" bibliographyStyleHasBeenSet="0"/&gt;&lt;prefs&gt;&lt;pref name="fieldType" value="Field"/&gt;&lt;/prefs&gt;&lt;/data&gt;</vt:lpwstr>
  </property>
</Properties>
</file>