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Excluded, *unless* trial had an “Actual” overall completion </w:t>
      </w:r>
      <w:proofErr w:type="gramStart"/>
      <w:r w:rsidRPr="006C1CA1">
        <w:rPr>
          <w:rFonts w:ascii="Times New Roman" w:hAnsi="Times New Roman" w:cs="Times New Roman"/>
          <w:sz w:val="20"/>
          <w:szCs w:val="20"/>
        </w:rPr>
        <w:t>date;</w:t>
      </w:r>
      <w:proofErr w:type="gramEnd"/>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“Non-randomized” in randomization </w:t>
      </w:r>
      <w:proofErr w:type="gramStart"/>
      <w:r w:rsidRPr="006C1CA1">
        <w:rPr>
          <w:rFonts w:ascii="Times New Roman" w:hAnsi="Times New Roman" w:cs="Times New Roman"/>
          <w:sz w:val="20"/>
          <w:szCs w:val="20"/>
        </w:rPr>
        <w:t>field;</w:t>
      </w:r>
      <w:proofErr w:type="gramEnd"/>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“Single group assignment” in “Model” </w:t>
      </w:r>
      <w:proofErr w:type="gramStart"/>
      <w:r w:rsidRPr="006C1CA1">
        <w:rPr>
          <w:rFonts w:ascii="Times New Roman" w:hAnsi="Times New Roman" w:cs="Times New Roman"/>
          <w:sz w:val="20"/>
          <w:szCs w:val="20"/>
        </w:rPr>
        <w:t>field;</w:t>
      </w:r>
      <w:proofErr w:type="gramEnd"/>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w:t>
      </w:r>
      <w:proofErr w:type="gramStart"/>
      <w:r w:rsidRPr="006C1CA1">
        <w:rPr>
          <w:rFonts w:ascii="Times New Roman" w:hAnsi="Times New Roman" w:cs="Times New Roman"/>
          <w:sz w:val="20"/>
          <w:szCs w:val="20"/>
        </w:rPr>
        <w:t>field;</w:t>
      </w:r>
      <w:proofErr w:type="gramEnd"/>
      <w:r w:rsidRPr="006C1CA1">
        <w:rPr>
          <w:rFonts w:ascii="Times New Roman" w:hAnsi="Times New Roman" w:cs="Times New Roman"/>
          <w:sz w:val="20"/>
          <w:szCs w:val="20"/>
        </w:rPr>
        <w:t xml:space="preserve">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Diagnostic;</w:t>
      </w:r>
      <w:proofErr w:type="gramEnd"/>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proofErr w:type="gramStart"/>
      <w:r w:rsidRPr="006C1CA1">
        <w:rPr>
          <w:rFonts w:ascii="Times New Roman" w:hAnsi="Times New Roman" w:cs="Times New Roman"/>
          <w:sz w:val="20"/>
          <w:szCs w:val="20"/>
        </w:rPr>
        <w:t>Screening</w:t>
      </w:r>
      <w:r>
        <w:rPr>
          <w:rFonts w:ascii="Times New Roman" w:hAnsi="Times New Roman" w:cs="Times New Roman"/>
          <w:sz w:val="20"/>
          <w:szCs w:val="20"/>
        </w:rPr>
        <w:t>;</w:t>
      </w:r>
      <w:proofErr w:type="gramEnd"/>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Included healthy </w:t>
      </w:r>
      <w:proofErr w:type="gramStart"/>
      <w:r w:rsidRPr="006C1CA1">
        <w:rPr>
          <w:rFonts w:ascii="Times New Roman" w:hAnsi="Times New Roman" w:cs="Times New Roman"/>
          <w:sz w:val="20"/>
          <w:szCs w:val="20"/>
        </w:rPr>
        <w:t>volunteers;</w:t>
      </w:r>
      <w:proofErr w:type="gramEnd"/>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Headaches are broken into types (Migraines and other headache types could not be used as prior evidence for the other.</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32646818"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w:t>
      </w:r>
      <w:r w:rsidR="0005383C">
        <w:rPr>
          <w:rFonts w:ascii="Times New Roman" w:hAnsi="Times New Roman" w:cs="Times New Roman"/>
          <w:color w:val="000000"/>
          <w:sz w:val="20"/>
          <w:szCs w:val="20"/>
        </w:rPr>
        <w:t xml:space="preserve"> a</w:t>
      </w:r>
      <w:r w:rsidR="003D522E">
        <w:rPr>
          <w:rFonts w:ascii="Times New Roman" w:hAnsi="Times New Roman" w:cs="Times New Roman"/>
          <w:color w:val="000000"/>
          <w:sz w:val="20"/>
          <w:szCs w:val="20"/>
        </w:rPr>
        <w:t xml:space="preserve">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675CA8E8" w:rsidR="0092786F" w:rsidRDefault="0075363B"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Trials without results are included in the primary but not in the positivity analysis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6EEEF831" w14:textId="0E1870C2" w:rsidR="00110939" w:rsidRPr="00F078BE" w:rsidRDefault="00110939" w:rsidP="00DA1038">
      <w:pPr>
        <w:rPr>
          <w:rFonts w:eastAsiaTheme="minorHAnsi"/>
          <w:color w:val="000000"/>
          <w:sz w:val="20"/>
          <w:szCs w:val="20"/>
          <w:lang w:val="en-CA"/>
        </w:rPr>
      </w:pPr>
      <w:r w:rsidRPr="00F078BE">
        <w:rPr>
          <w:rFonts w:eastAsiaTheme="minorHAnsi"/>
          <w:b/>
          <w:bCs/>
          <w:color w:val="000000"/>
          <w:sz w:val="20"/>
          <w:szCs w:val="20"/>
          <w:lang w:val="en-CA"/>
        </w:rPr>
        <w:t xml:space="preserve">Phase </w:t>
      </w:r>
      <w:r w:rsidR="00414C74" w:rsidRPr="00F078BE">
        <w:rPr>
          <w:rFonts w:eastAsiaTheme="minorHAnsi"/>
          <w:b/>
          <w:bCs/>
          <w:color w:val="000000"/>
          <w:sz w:val="20"/>
          <w:szCs w:val="20"/>
          <w:lang w:val="en-CA"/>
        </w:rPr>
        <w:t>determination</w:t>
      </w:r>
      <w:r w:rsidRPr="00F078BE">
        <w:rPr>
          <w:rFonts w:eastAsiaTheme="minorHAnsi"/>
          <w:b/>
          <w:bCs/>
          <w:color w:val="000000"/>
          <w:sz w:val="20"/>
          <w:szCs w:val="20"/>
          <w:lang w:val="en-CA"/>
        </w:rPr>
        <w:t>:</w:t>
      </w:r>
      <w:r w:rsidR="00414C74" w:rsidRPr="00F078BE">
        <w:rPr>
          <w:rFonts w:eastAsiaTheme="minorHAnsi"/>
          <w:color w:val="000000"/>
          <w:sz w:val="20"/>
          <w:szCs w:val="20"/>
          <w:lang w:val="en-CA"/>
        </w:rPr>
        <w:t xml:space="preserve"> We use </w:t>
      </w:r>
      <w:r w:rsidR="002E5131" w:rsidRPr="00F078BE">
        <w:rPr>
          <w:rFonts w:eastAsiaTheme="minorHAnsi"/>
          <w:color w:val="000000"/>
          <w:sz w:val="20"/>
          <w:szCs w:val="20"/>
          <w:lang w:val="en-CA"/>
        </w:rPr>
        <w:t>how it is defined on ct.gov in the phase category unless they call themselves something else in the publication or the ct.gov record</w:t>
      </w:r>
      <w:r w:rsidR="008A4702" w:rsidRPr="00F078BE">
        <w:rPr>
          <w:rFonts w:eastAsiaTheme="minorHAnsi"/>
          <w:color w:val="000000"/>
          <w:sz w:val="20"/>
          <w:szCs w:val="20"/>
          <w:lang w:val="en-CA"/>
        </w:rPr>
        <w:t>. If still not defined, we used the following rules.</w:t>
      </w:r>
      <w:r w:rsidRPr="00F078BE">
        <w:rPr>
          <w:rFonts w:eastAsiaTheme="minorHAnsi"/>
          <w:color w:val="000000"/>
          <w:sz w:val="20"/>
          <w:szCs w:val="20"/>
          <w:lang w:val="en-CA"/>
        </w:rPr>
        <w:t xml:space="preserve"> </w:t>
      </w:r>
    </w:p>
    <w:p w14:paraId="53CF0763"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P1-Not controlled and no efficacy endpoint </w:t>
      </w:r>
    </w:p>
    <w:p w14:paraId="485B54A7" w14:textId="77777777" w:rsidR="00F078BE" w:rsidRPr="00F078BE" w:rsidRDefault="00F078BE" w:rsidP="00F078BE">
      <w:pPr>
        <w:pStyle w:val="ListParagraph"/>
        <w:numPr>
          <w:ilvl w:val="0"/>
          <w:numId w:val="14"/>
        </w:numPr>
        <w:rPr>
          <w:color w:val="000000"/>
          <w:sz w:val="20"/>
          <w:szCs w:val="20"/>
        </w:rPr>
      </w:pPr>
      <w:r w:rsidRPr="00F078BE">
        <w:rPr>
          <w:color w:val="000000"/>
          <w:sz w:val="20"/>
          <w:szCs w:val="20"/>
        </w:rPr>
        <w:t xml:space="preserve">P2-- Call itself dose-ranging, or proof of concept, </w:t>
      </w:r>
      <w:proofErr w:type="gramStart"/>
      <w:r w:rsidRPr="00F078BE">
        <w:rPr>
          <w:color w:val="000000"/>
          <w:sz w:val="20"/>
          <w:szCs w:val="20"/>
        </w:rPr>
        <w:t>All</w:t>
      </w:r>
      <w:proofErr w:type="gramEnd"/>
      <w:r w:rsidRPr="00F078BE">
        <w:rPr>
          <w:color w:val="000000"/>
          <w:sz w:val="20"/>
          <w:szCs w:val="20"/>
        </w:rPr>
        <w:t xml:space="preserve"> that does not fall into the other two categories (Can be controlled or not controlled, can have an efficacy endpoint, and has a small* number of patients)</w:t>
      </w:r>
    </w:p>
    <w:p w14:paraId="03A6A188" w14:textId="77777777" w:rsidR="00471564" w:rsidRDefault="00F078BE" w:rsidP="00471564">
      <w:pPr>
        <w:pStyle w:val="ListParagraph"/>
        <w:numPr>
          <w:ilvl w:val="0"/>
          <w:numId w:val="14"/>
        </w:numPr>
        <w:rPr>
          <w:color w:val="000000"/>
          <w:sz w:val="20"/>
          <w:szCs w:val="20"/>
        </w:rPr>
      </w:pPr>
      <w:r w:rsidRPr="00F078BE">
        <w:rPr>
          <w:color w:val="000000"/>
          <w:sz w:val="20"/>
          <w:szCs w:val="20"/>
        </w:rPr>
        <w:t>P3- Controlled and have primary efficacy endpoints and large* number of patients</w:t>
      </w:r>
    </w:p>
    <w:p w14:paraId="027682E6" w14:textId="2A8F8BAA" w:rsidR="00F078BE" w:rsidRPr="00471564" w:rsidRDefault="00F078BE" w:rsidP="00471564">
      <w:pPr>
        <w:rPr>
          <w:color w:val="000000"/>
          <w:sz w:val="20"/>
          <w:szCs w:val="20"/>
        </w:rPr>
      </w:pPr>
      <w:r w:rsidRPr="00471564">
        <w:rPr>
          <w:color w:val="000000"/>
          <w:sz w:val="20"/>
          <w:szCs w:val="20"/>
        </w:rPr>
        <w:t>*Dependent on indication: for now: 300</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lastRenderedPageBreak/>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09A7CF3A"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w:t>
      </w:r>
      <w:r w:rsidR="0005383C">
        <w:rPr>
          <w:rFonts w:eastAsiaTheme="minorHAnsi"/>
          <w:sz w:val="20"/>
          <w:szCs w:val="20"/>
        </w:rPr>
        <w:t>n ap</w:t>
      </w:r>
      <w:r w:rsidRPr="00F27FB1">
        <w:rPr>
          <w:rFonts w:eastAsiaTheme="minorHAnsi"/>
          <w:sz w:val="20"/>
          <w:szCs w:val="20"/>
        </w:rPr>
        <w:t>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322A3518" w:rsidR="00F27FB1" w:rsidRDefault="00715B88" w:rsidP="00715B88">
      <w:pPr>
        <w:numPr>
          <w:ilvl w:val="4"/>
          <w:numId w:val="11"/>
        </w:numPr>
        <w:rPr>
          <w:rFonts w:eastAsiaTheme="minorHAnsi"/>
          <w:sz w:val="20"/>
          <w:szCs w:val="20"/>
        </w:rPr>
      </w:pPr>
      <w:r>
        <w:rPr>
          <w:rFonts w:eastAsiaTheme="minorHAnsi"/>
          <w:sz w:val="20"/>
          <w:szCs w:val="20"/>
        </w:rPr>
        <w:t>T</w:t>
      </w:r>
      <w:r w:rsidR="00F27FB1" w:rsidRPr="00F27FB1">
        <w:rPr>
          <w:rFonts w:eastAsiaTheme="minorHAnsi"/>
          <w:sz w:val="20"/>
          <w:szCs w:val="20"/>
        </w:rPr>
        <w:t>hey are commonly used in phase 2 trials in that indication because of time constraints</w:t>
      </w:r>
    </w:p>
    <w:p w14:paraId="1843A360" w14:textId="6B40C206" w:rsidR="00715B88" w:rsidRDefault="00715B88" w:rsidP="00715B88">
      <w:pPr>
        <w:numPr>
          <w:ilvl w:val="4"/>
          <w:numId w:val="11"/>
        </w:numPr>
        <w:rPr>
          <w:rFonts w:eastAsiaTheme="minorHAnsi"/>
          <w:sz w:val="20"/>
          <w:szCs w:val="20"/>
        </w:rPr>
      </w:pPr>
      <w:r>
        <w:rPr>
          <w:rFonts w:eastAsiaTheme="minorHAnsi"/>
          <w:sz w:val="20"/>
          <w:szCs w:val="20"/>
        </w:rPr>
        <w:t>Makes sense mechanistically and has been validated in a P3 trial of a similar drug showing efficacy is associated with it</w:t>
      </w:r>
    </w:p>
    <w:p w14:paraId="018B859D" w14:textId="1D54E02E" w:rsidR="00715B88" w:rsidRDefault="00715B88" w:rsidP="00715B88">
      <w:pPr>
        <w:numPr>
          <w:ilvl w:val="4"/>
          <w:numId w:val="11"/>
        </w:numPr>
        <w:rPr>
          <w:rFonts w:eastAsiaTheme="minorHAnsi"/>
          <w:sz w:val="20"/>
          <w:szCs w:val="20"/>
        </w:rPr>
      </w:pPr>
      <w:r>
        <w:rPr>
          <w:rFonts w:eastAsiaTheme="minorHAnsi"/>
          <w:sz w:val="20"/>
          <w:szCs w:val="20"/>
        </w:rPr>
        <w:t>Allowed</w:t>
      </w:r>
    </w:p>
    <w:p w14:paraId="140DA285" w14:textId="6C26479F" w:rsidR="00715B88" w:rsidRDefault="00715B88" w:rsidP="00715B88">
      <w:pPr>
        <w:numPr>
          <w:ilvl w:val="5"/>
          <w:numId w:val="11"/>
        </w:numPr>
        <w:rPr>
          <w:rFonts w:eastAsiaTheme="minorHAnsi"/>
          <w:sz w:val="20"/>
          <w:szCs w:val="20"/>
        </w:rPr>
      </w:pPr>
      <w:r>
        <w:rPr>
          <w:rFonts w:eastAsiaTheme="minorHAnsi"/>
          <w:sz w:val="20"/>
          <w:szCs w:val="20"/>
        </w:rPr>
        <w:t xml:space="preserve">MS-Number of lesions </w:t>
      </w:r>
    </w:p>
    <w:p w14:paraId="5BF2B421" w14:textId="77777777" w:rsidR="00715B88" w:rsidRDefault="00715B88" w:rsidP="00715B88">
      <w:pPr>
        <w:numPr>
          <w:ilvl w:val="5"/>
          <w:numId w:val="11"/>
        </w:numPr>
        <w:rPr>
          <w:rFonts w:eastAsiaTheme="minorHAnsi"/>
          <w:sz w:val="20"/>
          <w:szCs w:val="20"/>
        </w:rPr>
      </w:pPr>
      <w:r>
        <w:rPr>
          <w:color w:val="000000"/>
          <w:sz w:val="22"/>
          <w:szCs w:val="22"/>
          <w:lang w:val="en-CA"/>
        </w:rPr>
        <w:t>MS-</w:t>
      </w:r>
      <w:r w:rsidRPr="004A5619">
        <w:rPr>
          <w:color w:val="000000"/>
          <w:sz w:val="22"/>
          <w:szCs w:val="22"/>
          <w:lang w:val="en-CA"/>
        </w:rPr>
        <w:t>responder rate, defined as the proportion of patients with </w:t>
      </w:r>
      <w:r w:rsidRPr="004A5619">
        <w:rPr>
          <w:rFonts w:ascii="Cambria Math" w:hAnsi="Cambria Math" w:cs="Cambria Math"/>
          <w:color w:val="000000"/>
          <w:sz w:val="22"/>
          <w:szCs w:val="22"/>
          <w:lang w:val="en-CA"/>
        </w:rPr>
        <w:t>⩾</w:t>
      </w:r>
      <w:r w:rsidRPr="004A5619">
        <w:rPr>
          <w:color w:val="000000"/>
          <w:sz w:val="22"/>
          <w:szCs w:val="22"/>
          <w:lang w:val="en-CA"/>
        </w:rPr>
        <w:t>95% peripheral CD19+ B-cell depletion from baseline within</w:t>
      </w:r>
      <w:commentRangeStart w:id="6"/>
      <w:commentRangeStart w:id="7"/>
      <w:r w:rsidRPr="004A5619">
        <w:rPr>
          <w:color w:val="000000"/>
          <w:sz w:val="22"/>
          <w:szCs w:val="22"/>
          <w:lang w:val="en-CA"/>
        </w:rPr>
        <w:t xml:space="preserve"> 2weeks</w:t>
      </w:r>
      <w:r w:rsidRPr="004A5619">
        <w:rPr>
          <w:color w:val="000000"/>
          <w:sz w:val="22"/>
          <w:szCs w:val="22"/>
          <w:bdr w:val="none" w:sz="0" w:space="0" w:color="auto" w:frame="1"/>
          <w:shd w:val="clear" w:color="auto" w:fill="FFFFFF"/>
        </w:rPr>
        <w:t xml:space="preserve"> </w:t>
      </w:r>
      <w:commentRangeEnd w:id="6"/>
      <w:r>
        <w:rPr>
          <w:rStyle w:val="CommentReference"/>
        </w:rPr>
        <w:commentReference w:id="6"/>
      </w:r>
      <w:commentRangeEnd w:id="7"/>
      <w:r>
        <w:rPr>
          <w:rStyle w:val="CommentReference"/>
        </w:rPr>
        <w:commentReference w:id="7"/>
      </w:r>
    </w:p>
    <w:p w14:paraId="08FED839" w14:textId="560FD079" w:rsidR="00715B88" w:rsidRPr="00715B88" w:rsidRDefault="00715B88" w:rsidP="00715B88">
      <w:pPr>
        <w:numPr>
          <w:ilvl w:val="5"/>
          <w:numId w:val="11"/>
        </w:numPr>
        <w:rPr>
          <w:rFonts w:eastAsiaTheme="minorHAnsi"/>
          <w:sz w:val="20"/>
          <w:szCs w:val="20"/>
        </w:rPr>
      </w:pPr>
      <w:r>
        <w:rPr>
          <w:rFonts w:eastAsiaTheme="minorHAnsi"/>
          <w:sz w:val="20"/>
          <w:szCs w:val="20"/>
        </w:rPr>
        <w:t xml:space="preserve">PD- </w:t>
      </w:r>
      <w:r w:rsidRPr="00715B88">
        <w:rPr>
          <w:color w:val="000000"/>
          <w:sz w:val="22"/>
          <w:szCs w:val="22"/>
          <w:bdr w:val="none" w:sz="0" w:space="0" w:color="auto" w:frame="1"/>
          <w:shd w:val="clear" w:color="auto" w:fill="FFFFFF"/>
        </w:rPr>
        <w:t xml:space="preserve">levodopa PK levels </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5C30CA12"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 xml:space="preserve">ad a P2 trial that had a primary endpoint investigating 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445FFD73"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318AEE6F" w14:textId="288FDB91" w:rsidR="004B024F" w:rsidRPr="009627DA" w:rsidRDefault="004B024F">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There were two that were terminated at interim and guessed it was futility—why we </w:t>
      </w:r>
      <w:proofErr w:type="spellStart"/>
      <w:proofErr w:type="gramStart"/>
      <w:r>
        <w:rPr>
          <w:rFonts w:ascii="Times New Roman" w:hAnsi="Times New Roman" w:cs="Times New Roman"/>
          <w:sz w:val="20"/>
          <w:szCs w:val="20"/>
        </w:rPr>
        <w:t>cant</w:t>
      </w:r>
      <w:proofErr w:type="spellEnd"/>
      <w:proofErr w:type="gramEnd"/>
      <w:r>
        <w:rPr>
          <w:rFonts w:ascii="Times New Roman" w:hAnsi="Times New Roman" w:cs="Times New Roman"/>
          <w:sz w:val="20"/>
          <w:szCs w:val="20"/>
        </w:rPr>
        <w:t xml:space="preserve"> separate futility and safety for termination</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8"/>
      <w:r w:rsidR="00D77DC9" w:rsidRPr="00D03516">
        <w:rPr>
          <w:sz w:val="20"/>
          <w:szCs w:val="20"/>
        </w:rPr>
        <w:t>positive</w:t>
      </w:r>
      <w:commentRangeEnd w:id="8"/>
      <w:r w:rsidR="00B866F6">
        <w:rPr>
          <w:rStyle w:val="CommentReference"/>
        </w:rPr>
        <w:commentReference w:id="8"/>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0CAEBCE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4B024F">
        <w:rPr>
          <w:rFonts w:ascii="Times New Roman" w:hAnsi="Times New Roman" w:cs="Times New Roman"/>
          <w:sz w:val="20"/>
          <w:szCs w:val="20"/>
        </w:rPr>
        <w:t xml:space="preserve"> </w:t>
      </w:r>
      <w:r w:rsidR="0064051B">
        <w:rPr>
          <w:rFonts w:ascii="Times New Roman" w:hAnsi="Times New Roman" w:cs="Times New Roman"/>
          <w:sz w:val="20"/>
          <w:szCs w:val="20"/>
        </w:rPr>
        <w:t>If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9"/>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9"/>
      <w:r w:rsidR="009F5C48">
        <w:rPr>
          <w:rStyle w:val="CommentReference"/>
        </w:rPr>
        <w:commentReference w:id="9"/>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In combination, if both are approved </w:t>
      </w:r>
      <w:proofErr w:type="gramStart"/>
      <w:r>
        <w:rPr>
          <w:rFonts w:ascii="Times New Roman" w:hAnsi="Times New Roman" w:cs="Times New Roman"/>
          <w:sz w:val="20"/>
          <w:szCs w:val="20"/>
        </w:rPr>
        <w:t>separately</w:t>
      </w:r>
      <w:proofErr w:type="gramEnd"/>
      <w:r>
        <w:rPr>
          <w:rFonts w:ascii="Times New Roman" w:hAnsi="Times New Roman" w:cs="Times New Roman"/>
          <w:sz w:val="20"/>
          <w:szCs w:val="20"/>
        </w:rPr>
        <w:t xml:space="preserve">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What to do about when it was not </w:t>
      </w:r>
      <w:proofErr w:type="gramStart"/>
      <w:r>
        <w:rPr>
          <w:rFonts w:ascii="Times New Roman" w:hAnsi="Times New Roman" w:cs="Times New Roman"/>
          <w:sz w:val="20"/>
          <w:szCs w:val="20"/>
        </w:rPr>
        <w:t>pharma</w:t>
      </w:r>
      <w:proofErr w:type="gramEnd"/>
      <w:r>
        <w:rPr>
          <w:rFonts w:ascii="Times New Roman" w:hAnsi="Times New Roman" w:cs="Times New Roman"/>
          <w:sz w:val="20"/>
          <w:szCs w:val="20"/>
        </w:rPr>
        <w:t xml:space="preserve">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66374613" w:rsidR="00D03516" w:rsidRDefault="00D03516" w:rsidP="00D03516">
      <w:pPr>
        <w:rPr>
          <w:sz w:val="20"/>
          <w:szCs w:val="20"/>
        </w:rPr>
      </w:pPr>
    </w:p>
    <w:p w14:paraId="5E9302BD" w14:textId="77777777" w:rsidR="00F62160" w:rsidRPr="00D03516" w:rsidRDefault="00F62160" w:rsidP="00D03516">
      <w:pPr>
        <w:rPr>
          <w:sz w:val="20"/>
          <w:szCs w:val="20"/>
        </w:rPr>
      </w:pPr>
    </w:p>
    <w:sectPr w:rsidR="00F62160"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oyer" w:date="2023-03-03T15:52:00Z" w:initials="HM">
    <w:p w14:paraId="50DDC96C" w14:textId="77777777" w:rsidR="00715B88" w:rsidRDefault="00715B88" w:rsidP="00715B88">
      <w:r>
        <w:rPr>
          <w:rStyle w:val="CommentReference"/>
        </w:rPr>
        <w:annotationRef/>
      </w:r>
      <w:r>
        <w:rPr>
          <w:sz w:val="20"/>
          <w:szCs w:val="20"/>
        </w:rPr>
        <w:t>basically, the outcome is almost certainly not a clinical or even validated surrogate endpoint.</w:t>
      </w:r>
      <w:r>
        <w:rPr>
          <w:sz w:val="20"/>
          <w:szCs w:val="20"/>
        </w:rPr>
        <w:cr/>
        <w:t>but here is the thing. at the time this study started enrolling, its possible other anti-CD20 inhibitors had shown efficacy in RRMS (in particular, rituximab and ocrelizimab).</w:t>
      </w:r>
      <w:r>
        <w:rPr>
          <w:sz w:val="20"/>
          <w:szCs w:val="20"/>
        </w:rPr>
        <w:cr/>
        <w:t>what i would say is: if ocrelizumab had a positive phase 3 trial at the time this study was started, one might reasonably say their primary endpoint was a good read-out for clinical activity. if ocrelizumab (or other anti-CD20) had NOT given readouts on clinical endpoints, i’d say it is an inappropriate surrogate for activity.</w:t>
      </w:r>
    </w:p>
  </w:comment>
  <w:comment w:id="7" w:author="Hannah Moyer" w:date="2023-03-03T16:35:00Z" w:initials="HM">
    <w:p w14:paraId="67852659" w14:textId="77777777" w:rsidR="00715B88" w:rsidRDefault="00715B88" w:rsidP="00715B88">
      <w:r>
        <w:rPr>
          <w:rStyle w:val="CommentReference"/>
        </w:rPr>
        <w:annotationRef/>
      </w:r>
      <w:r>
        <w:rPr>
          <w:sz w:val="20"/>
          <w:szCs w:val="20"/>
        </w:rPr>
        <w:t>Ocrelizumab had a pos P3 trial at this time</w:t>
      </w:r>
    </w:p>
  </w:comment>
  <w:comment w:id="8"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9"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50DDC96C" w15:done="0"/>
  <w15:commentEx w15:paraId="67852659" w15:paraIdParent="50DDC96C"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AC9657" w16cex:dateUtc="2023-03-03T20:52:00Z"/>
  <w16cex:commentExtensible w16cex:durableId="27ACA068" w16cex:dateUtc="2023-03-03T21:35: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50DDC96C" w16cid:durableId="27AC9657"/>
  <w16cid:commentId w16cid:paraId="67852659" w16cid:durableId="27ACA068"/>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2"/>
  </w:num>
  <w:num w:numId="2" w16cid:durableId="2139953559">
    <w:abstractNumId w:val="5"/>
  </w:num>
  <w:num w:numId="3" w16cid:durableId="1913082645">
    <w:abstractNumId w:val="9"/>
  </w:num>
  <w:num w:numId="4" w16cid:durableId="1688602409">
    <w:abstractNumId w:val="10"/>
  </w:num>
  <w:num w:numId="5" w16cid:durableId="485707739">
    <w:abstractNumId w:val="0"/>
  </w:num>
  <w:num w:numId="6" w16cid:durableId="421100020">
    <w:abstractNumId w:val="7"/>
  </w:num>
  <w:num w:numId="7" w16cid:durableId="1408068164">
    <w:abstractNumId w:val="2"/>
  </w:num>
  <w:num w:numId="8" w16cid:durableId="1404331513">
    <w:abstractNumId w:val="6"/>
  </w:num>
  <w:num w:numId="9" w16cid:durableId="437526639">
    <w:abstractNumId w:val="14"/>
  </w:num>
  <w:num w:numId="10" w16cid:durableId="1948808762">
    <w:abstractNumId w:val="4"/>
  </w:num>
  <w:num w:numId="11" w16cid:durableId="65417885">
    <w:abstractNumId w:val="11"/>
  </w:num>
  <w:num w:numId="12" w16cid:durableId="149950283">
    <w:abstractNumId w:val="3"/>
  </w:num>
  <w:num w:numId="13" w16cid:durableId="690029904">
    <w:abstractNumId w:val="8"/>
  </w:num>
  <w:num w:numId="14" w16cid:durableId="1061060062">
    <w:abstractNumId w:val="13"/>
  </w:num>
  <w:num w:numId="15" w16cid:durableId="1099449414">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3520C"/>
    <w:rsid w:val="00041573"/>
    <w:rsid w:val="00044C93"/>
    <w:rsid w:val="0005383C"/>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564"/>
    <w:rsid w:val="0047174D"/>
    <w:rsid w:val="0047462A"/>
    <w:rsid w:val="00476F69"/>
    <w:rsid w:val="004850C8"/>
    <w:rsid w:val="004B024F"/>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15B88"/>
    <w:rsid w:val="00731F5C"/>
    <w:rsid w:val="007347CD"/>
    <w:rsid w:val="00735937"/>
    <w:rsid w:val="00745AA8"/>
    <w:rsid w:val="00745EAC"/>
    <w:rsid w:val="00745EDB"/>
    <w:rsid w:val="0074751D"/>
    <w:rsid w:val="0075232F"/>
    <w:rsid w:val="0075363B"/>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329A"/>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11D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078BE"/>
    <w:rsid w:val="00F10246"/>
    <w:rsid w:val="00F15A7C"/>
    <w:rsid w:val="00F169B2"/>
    <w:rsid w:val="00F22CDC"/>
    <w:rsid w:val="00F25AA1"/>
    <w:rsid w:val="00F27FB1"/>
    <w:rsid w:val="00F333FF"/>
    <w:rsid w:val="00F45C90"/>
    <w:rsid w:val="00F54A90"/>
    <w:rsid w:val="00F564DC"/>
    <w:rsid w:val="00F62160"/>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6</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79</cp:revision>
  <dcterms:created xsi:type="dcterms:W3CDTF">2023-01-17T20:00:00Z</dcterms:created>
  <dcterms:modified xsi:type="dcterms:W3CDTF">2023-03-03T22:34:00Z</dcterms:modified>
</cp:coreProperties>
</file>