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32646818"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322A3518" w:rsidR="00F27FB1" w:rsidRDefault="00715B88" w:rsidP="00715B88">
      <w:pPr>
        <w:numPr>
          <w:ilvl w:val="4"/>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commonly used in phase 2 trials in that indication because of time constraints</w:t>
      </w:r>
    </w:p>
    <w:p w14:paraId="1843A360" w14:textId="6B40C206" w:rsidR="00715B88" w:rsidRDefault="00715B88" w:rsidP="00715B88">
      <w:pPr>
        <w:numPr>
          <w:ilvl w:val="4"/>
          <w:numId w:val="11"/>
        </w:numPr>
        <w:rPr>
          <w:rFonts w:eastAsiaTheme="minorHAnsi"/>
          <w:sz w:val="20"/>
          <w:szCs w:val="20"/>
        </w:rPr>
      </w:pPr>
      <w:r>
        <w:rPr>
          <w:rFonts w:eastAsiaTheme="minorHAnsi"/>
          <w:sz w:val="20"/>
          <w:szCs w:val="20"/>
        </w:rPr>
        <w:t>Makes sense mechanistically and has been validated in a P3 trial of a similar drug showing efficacy is associated with it</w:t>
      </w:r>
    </w:p>
    <w:p w14:paraId="018B859D" w14:textId="1D54E02E" w:rsidR="00715B88" w:rsidRDefault="00715B88" w:rsidP="00715B88">
      <w:pPr>
        <w:numPr>
          <w:ilvl w:val="4"/>
          <w:numId w:val="11"/>
        </w:numPr>
        <w:rPr>
          <w:rFonts w:eastAsiaTheme="minorHAnsi"/>
          <w:sz w:val="20"/>
          <w:szCs w:val="20"/>
        </w:rPr>
      </w:pPr>
      <w:r>
        <w:rPr>
          <w:rFonts w:eastAsiaTheme="minorHAnsi"/>
          <w:sz w:val="20"/>
          <w:szCs w:val="20"/>
        </w:rPr>
        <w:t>Allowed</w:t>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95% peripheral CD19+ B-cell depletion from baseline within</w:t>
      </w:r>
      <w:commentRangeStart w:id="6"/>
      <w:commentRangeStart w:id="7"/>
      <w:r w:rsidRPr="004A5619">
        <w:rPr>
          <w:color w:val="000000"/>
          <w:sz w:val="22"/>
          <w:szCs w:val="22"/>
          <w:lang w:val="en-CA"/>
        </w:rPr>
        <w:t xml:space="preserve"> 2weeks</w:t>
      </w:r>
      <w:r w:rsidRPr="004A5619">
        <w:rPr>
          <w:color w:val="000000"/>
          <w:sz w:val="22"/>
          <w:szCs w:val="22"/>
          <w:bdr w:val="none" w:sz="0" w:space="0" w:color="auto" w:frame="1"/>
          <w:shd w:val="clear" w:color="auto" w:fill="FFFFFF"/>
        </w:rPr>
        <w:t xml:space="preserve"> </w:t>
      </w:r>
      <w:commentRangeEnd w:id="6"/>
      <w:r>
        <w:rPr>
          <w:rStyle w:val="CommentReference"/>
        </w:rPr>
        <w:commentReference w:id="6"/>
      </w:r>
      <w:commentRangeEnd w:id="7"/>
      <w:r>
        <w:rPr>
          <w:rStyle w:val="CommentReference"/>
        </w:rPr>
        <w:commentReference w:id="7"/>
      </w:r>
    </w:p>
    <w:p w14:paraId="08FED839" w14:textId="560FD079" w:rsidR="00715B88" w:rsidRPr="00715B88" w:rsidRDefault="00715B88" w:rsidP="00715B88">
      <w:pPr>
        <w:numPr>
          <w:ilvl w:val="5"/>
          <w:numId w:val="11"/>
        </w:numPr>
        <w:rPr>
          <w:rFonts w:eastAsiaTheme="minorHAnsi"/>
          <w:sz w:val="20"/>
          <w:szCs w:val="20"/>
        </w:rPr>
      </w:pPr>
      <w:r>
        <w:rPr>
          <w:rFonts w:eastAsiaTheme="minorHAnsi"/>
          <w:sz w:val="20"/>
          <w:szCs w:val="20"/>
        </w:rPr>
        <w:t xml:space="preserve">PD- </w:t>
      </w:r>
      <w:r w:rsidRPr="00715B88">
        <w:rPr>
          <w:color w:val="000000"/>
          <w:sz w:val="22"/>
          <w:szCs w:val="22"/>
          <w:bdr w:val="none" w:sz="0" w:space="0" w:color="auto" w:frame="1"/>
          <w:shd w:val="clear" w:color="auto" w:fill="FFFFFF"/>
        </w:rPr>
        <w:t xml:space="preserve">levodopa PK levels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5C30CA12"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 xml:space="preserve">ad a P2 trial that had a primary endpoint investigating 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8"/>
      <w:r w:rsidR="00D77DC9" w:rsidRPr="00D03516">
        <w:rPr>
          <w:sz w:val="20"/>
          <w:szCs w:val="20"/>
        </w:rPr>
        <w:t>positive</w:t>
      </w:r>
      <w:commentRangeEnd w:id="8"/>
      <w:r w:rsidR="00B866F6">
        <w:rPr>
          <w:rStyle w:val="CommentReference"/>
        </w:rPr>
        <w:commentReference w:id="8"/>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9"/>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9"/>
      <w:r w:rsidR="009F5C48">
        <w:rPr>
          <w:rStyle w:val="CommentReference"/>
        </w:rPr>
        <w:commentReference w:id="9"/>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3E1A6065"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lastRenderedPageBreak/>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66374613" w:rsidR="00D03516" w:rsidRDefault="00D03516" w:rsidP="00D03516">
      <w:pPr>
        <w:rPr>
          <w:sz w:val="20"/>
          <w:szCs w:val="20"/>
        </w:rPr>
      </w:pPr>
    </w:p>
    <w:p w14:paraId="5E9302BD" w14:textId="77777777" w:rsidR="00F62160" w:rsidRPr="00D03516" w:rsidRDefault="00F62160" w:rsidP="00D03516">
      <w:pPr>
        <w:rPr>
          <w:sz w:val="20"/>
          <w:szCs w:val="20"/>
        </w:rPr>
      </w:pPr>
    </w:p>
    <w:sectPr w:rsidR="00F62160"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oyer" w:date="2023-03-03T15:52:00Z" w:initials="HM">
    <w:p w14:paraId="50DDC96C" w14:textId="77777777" w:rsidR="00715B88" w:rsidRDefault="00715B88" w:rsidP="00715B88">
      <w:r>
        <w:rPr>
          <w:rStyle w:val="CommentReference"/>
        </w:rPr>
        <w:annotationRef/>
      </w:r>
      <w:r>
        <w:rPr>
          <w:sz w:val="20"/>
          <w:szCs w:val="20"/>
        </w:rPr>
        <w:t>basically, the outcome is almost certainly not a clinical or even validated surrogate endpoint.</w:t>
      </w:r>
      <w:r>
        <w:rPr>
          <w:sz w:val="20"/>
          <w:szCs w:val="20"/>
        </w:rPr>
        <w:cr/>
        <w:t>but here is the thing. at the time this study started enrolling, its possible other anti-CD20 inhibitors had shown efficacy in RRMS (in particular, rituximab and ocrelizimab).</w:t>
      </w:r>
      <w:r>
        <w:rPr>
          <w:sz w:val="20"/>
          <w:szCs w:val="20"/>
        </w:rPr>
        <w:cr/>
        <w:t>what i would say is: if ocrelizumab had a positive phase 3 trial at the time this study was started, one might reasonably say their primary endpoint was a good read-out for clinical activity. if ocrelizumab (or other anti-CD20) had NOT given readouts on clinical endpoints, i’d say it is an inappropriate surrogate for activity.</w:t>
      </w:r>
    </w:p>
  </w:comment>
  <w:comment w:id="7" w:author="Hannah Moyer" w:date="2023-03-03T16:35:00Z" w:initials="HM">
    <w:p w14:paraId="67852659" w14:textId="77777777" w:rsidR="00715B88" w:rsidRDefault="00715B88" w:rsidP="00715B88">
      <w:r>
        <w:rPr>
          <w:rStyle w:val="CommentReference"/>
        </w:rPr>
        <w:annotationRef/>
      </w:r>
      <w:r>
        <w:rPr>
          <w:sz w:val="20"/>
          <w:szCs w:val="20"/>
        </w:rPr>
        <w:t>Ocrelizumab had a pos P3 trial at this time</w:t>
      </w:r>
    </w:p>
  </w:comment>
  <w:comment w:id="8"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9"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50DDC96C" w15:done="0"/>
  <w15:commentEx w15:paraId="67852659" w15:paraIdParent="50DDC96C"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AC9657" w16cex:dateUtc="2023-03-03T20:52:00Z"/>
  <w16cex:commentExtensible w16cex:durableId="27ACA068" w16cex:dateUtc="2023-03-03T21:35: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50DDC96C" w16cid:durableId="27AC9657"/>
  <w16cid:commentId w16cid:paraId="67852659" w16cid:durableId="27ACA068"/>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2"/>
  </w:num>
  <w:num w:numId="2" w16cid:durableId="2139953559">
    <w:abstractNumId w:val="5"/>
  </w:num>
  <w:num w:numId="3" w16cid:durableId="1913082645">
    <w:abstractNumId w:val="9"/>
  </w:num>
  <w:num w:numId="4" w16cid:durableId="1688602409">
    <w:abstractNumId w:val="10"/>
  </w:num>
  <w:num w:numId="5" w16cid:durableId="485707739">
    <w:abstractNumId w:val="0"/>
  </w:num>
  <w:num w:numId="6" w16cid:durableId="421100020">
    <w:abstractNumId w:val="7"/>
  </w:num>
  <w:num w:numId="7" w16cid:durableId="1408068164">
    <w:abstractNumId w:val="2"/>
  </w:num>
  <w:num w:numId="8" w16cid:durableId="1404331513">
    <w:abstractNumId w:val="6"/>
  </w:num>
  <w:num w:numId="9" w16cid:durableId="437526639">
    <w:abstractNumId w:val="14"/>
  </w:num>
  <w:num w:numId="10" w16cid:durableId="1948808762">
    <w:abstractNumId w:val="4"/>
  </w:num>
  <w:num w:numId="11" w16cid:durableId="65417885">
    <w:abstractNumId w:val="11"/>
  </w:num>
  <w:num w:numId="12" w16cid:durableId="149950283">
    <w:abstractNumId w:val="3"/>
  </w:num>
  <w:num w:numId="13" w16cid:durableId="690029904">
    <w:abstractNumId w:val="8"/>
  </w:num>
  <w:num w:numId="14" w16cid:durableId="1061060062">
    <w:abstractNumId w:val="13"/>
  </w:num>
  <w:num w:numId="15" w16cid:durableId="1099449414">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11D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3C91"/>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80</cp:revision>
  <dcterms:created xsi:type="dcterms:W3CDTF">2023-01-17T20:00:00Z</dcterms:created>
  <dcterms:modified xsi:type="dcterms:W3CDTF">2023-03-06T17:59:00Z</dcterms:modified>
</cp:coreProperties>
</file>