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4FC36217"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4756E8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surgery/behavioral/device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77777777"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C8F77A"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could b</w:t>
      </w:r>
      <w:r w:rsidR="00CF781A" w:rsidRPr="00D57EF8">
        <w:rPr>
          <w:rFonts w:ascii="Times New Roman" w:hAnsi="Times New Roman" w:cs="Times New Roman"/>
          <w:color w:val="000000"/>
          <w:sz w:val="20"/>
          <w:szCs w:val="20"/>
        </w:rPr>
        <w:t xml:space="preserve"> be evidence 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347C1301" w:rsidR="009D7DDC" w:rsidRP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18D42AAA" w14:textId="77777777" w:rsidR="009D7DDC"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Trials without a primary efficacy endpoint were excluded</w:t>
      </w:r>
    </w:p>
    <w:p w14:paraId="4F940645" w14:textId="0B28C9FC" w:rsidR="009D7DDC" w:rsidRPr="009D7DDC" w:rsidRDefault="009D7DDC" w:rsidP="009D7DDC">
      <w:pPr>
        <w:pStyle w:val="ListParagraph"/>
        <w:numPr>
          <w:ilvl w:val="0"/>
          <w:numId w:val="2"/>
        </w:numPr>
        <w:ind w:left="1080"/>
        <w:rPr>
          <w:rFonts w:ascii="Times New Roman" w:hAnsi="Times New Roman" w:cs="Times New Roman"/>
          <w:color w:val="000000"/>
          <w:sz w:val="20"/>
          <w:szCs w:val="20"/>
        </w:rPr>
      </w:pPr>
      <w:r w:rsidRPr="009D7DDC">
        <w:rPr>
          <w:sz w:val="20"/>
          <w:szCs w:val="20"/>
        </w:rPr>
        <w:t xml:space="preserve">treating a symptom of our condition that is not used as </w:t>
      </w:r>
      <w:r w:rsidRPr="009D7DDC">
        <w:rPr>
          <w:sz w:val="20"/>
          <w:szCs w:val="20"/>
          <w:lang w:val="en-US"/>
        </w:rPr>
        <w:t xml:space="preserve">a measure of disease modification </w:t>
      </w:r>
      <w:r w:rsidRPr="009D7DDC">
        <w:rPr>
          <w:sz w:val="20"/>
          <w:szCs w:val="20"/>
        </w:rPr>
        <w:t xml:space="preserve">(pseudo-symptoms) </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lastRenderedPageBreak/>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1"/>
      <w:commentRangeStart w:id="2"/>
      <w:commentRangeEnd w:id="1"/>
      <w:r w:rsidR="005678C8" w:rsidRPr="009E2F32">
        <w:rPr>
          <w:rStyle w:val="CommentReference"/>
          <w:rFonts w:ascii="Times New Roman" w:hAnsi="Times New Roman" w:cs="Times New Roman"/>
          <w:sz w:val="20"/>
          <w:szCs w:val="20"/>
        </w:rPr>
        <w:commentReference w:id="1"/>
      </w:r>
      <w:commentRangeEnd w:id="2"/>
      <w:r w:rsidR="005678C8" w:rsidRPr="009E2F32">
        <w:rPr>
          <w:rStyle w:val="CommentReference"/>
          <w:rFonts w:ascii="Times New Roman" w:hAnsi="Times New Roman" w:cs="Times New Roman"/>
          <w:sz w:val="20"/>
          <w:szCs w:val="20"/>
        </w:rPr>
        <w:commentReference w:id="2"/>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3"/>
      <w:r w:rsidRPr="00241A16">
        <w:rPr>
          <w:b/>
          <w:bCs/>
          <w:sz w:val="20"/>
          <w:szCs w:val="20"/>
        </w:rPr>
        <w:t>ambiguous</w:t>
      </w:r>
      <w:commentRangeEnd w:id="3"/>
      <w:r w:rsidR="00241A16">
        <w:rPr>
          <w:rStyle w:val="CommentReference"/>
          <w:rFonts w:asciiTheme="minorHAnsi" w:eastAsiaTheme="minorHAnsi" w:hAnsiTheme="minorHAnsi" w:cstheme="minorBidi"/>
          <w:lang w:val="en-CA"/>
        </w:rPr>
        <w:commentReference w:id="3"/>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77777777"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4"/>
      <w:r w:rsidR="00D77DC9" w:rsidRPr="00D03516">
        <w:rPr>
          <w:sz w:val="20"/>
          <w:szCs w:val="20"/>
        </w:rPr>
        <w:t>positive</w:t>
      </w:r>
      <w:commentRangeEnd w:id="4"/>
      <w:r w:rsidR="00B866F6">
        <w:rPr>
          <w:rStyle w:val="CommentReference"/>
        </w:rPr>
        <w:commentReference w:id="4"/>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lastRenderedPageBreak/>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64E305C6" w14:textId="2DF30B86" w:rsidR="001D484E"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2"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3"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4"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14F9EA83" w15:done="0"/>
  <w15:commentEx w15:paraId="6224AD2E" w15:paraIdParent="14F9EA83" w15:done="0"/>
  <w15:commentEx w15:paraId="2EF25C0E" w15:done="0"/>
  <w15:commentEx w15:paraId="370FA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14F9EA83" w16cid:durableId="2731AD8B"/>
  <w16cid:commentId w16cid:paraId="6224AD2E" w16cid:durableId="2731ADC1"/>
  <w16cid:commentId w16cid:paraId="2EF25C0E" w16cid:durableId="27712C25"/>
  <w16cid:commentId w16cid:paraId="370FAF16" w16cid:durableId="277132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6331"/>
    <w:multiLevelType w:val="hybridMultilevel"/>
    <w:tmpl w:val="3504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7"/>
  </w:num>
  <w:num w:numId="2" w16cid:durableId="2139953559">
    <w:abstractNumId w:val="2"/>
  </w:num>
  <w:num w:numId="3" w16cid:durableId="1913082645">
    <w:abstractNumId w:val="5"/>
  </w:num>
  <w:num w:numId="4" w16cid:durableId="1688602409">
    <w:abstractNumId w:val="6"/>
  </w:num>
  <w:num w:numId="5" w16cid:durableId="485707739">
    <w:abstractNumId w:val="0"/>
  </w:num>
  <w:num w:numId="6" w16cid:durableId="421100020">
    <w:abstractNumId w:val="4"/>
  </w:num>
  <w:num w:numId="7" w16cid:durableId="1408068164">
    <w:abstractNumId w:val="1"/>
  </w:num>
  <w:num w:numId="8" w16cid:durableId="1404331513">
    <w:abstractNumId w:val="3"/>
  </w:num>
  <w:num w:numId="9" w16cid:durableId="437526639">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46D34"/>
    <w:rsid w:val="001502BD"/>
    <w:rsid w:val="0015082A"/>
    <w:rsid w:val="00156A3E"/>
    <w:rsid w:val="001616CA"/>
    <w:rsid w:val="00170808"/>
    <w:rsid w:val="00172B42"/>
    <w:rsid w:val="00173973"/>
    <w:rsid w:val="00187F19"/>
    <w:rsid w:val="00191712"/>
    <w:rsid w:val="00192D44"/>
    <w:rsid w:val="001A0579"/>
    <w:rsid w:val="001B3C7B"/>
    <w:rsid w:val="001B52CF"/>
    <w:rsid w:val="001B5FD4"/>
    <w:rsid w:val="001B62DF"/>
    <w:rsid w:val="001B66D9"/>
    <w:rsid w:val="001D2E5D"/>
    <w:rsid w:val="001D484E"/>
    <w:rsid w:val="001D4A6E"/>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93B0F"/>
    <w:rsid w:val="003A06EF"/>
    <w:rsid w:val="003A2457"/>
    <w:rsid w:val="003A2573"/>
    <w:rsid w:val="003B6C36"/>
    <w:rsid w:val="003B7174"/>
    <w:rsid w:val="003C77FD"/>
    <w:rsid w:val="003D4FC7"/>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77504"/>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8F13AB"/>
    <w:rsid w:val="00932A08"/>
    <w:rsid w:val="00935DE3"/>
    <w:rsid w:val="009524C7"/>
    <w:rsid w:val="00957A83"/>
    <w:rsid w:val="009627DA"/>
    <w:rsid w:val="00963238"/>
    <w:rsid w:val="00964769"/>
    <w:rsid w:val="00984B92"/>
    <w:rsid w:val="009866A4"/>
    <w:rsid w:val="00991BC0"/>
    <w:rsid w:val="009A7489"/>
    <w:rsid w:val="009C6DF8"/>
    <w:rsid w:val="009D53CD"/>
    <w:rsid w:val="009D7DDC"/>
    <w:rsid w:val="009E05C5"/>
    <w:rsid w:val="009E2F32"/>
    <w:rsid w:val="009F3E3D"/>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5510E"/>
    <w:rsid w:val="00B55CA3"/>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10</cp:revision>
  <dcterms:created xsi:type="dcterms:W3CDTF">2023-01-17T20:00:00Z</dcterms:created>
  <dcterms:modified xsi:type="dcterms:W3CDTF">2023-01-26T03:36:00Z</dcterms:modified>
</cp:coreProperties>
</file>