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92F4" w14:textId="6522F97C" w:rsidR="007B6E9C" w:rsidRPr="008B7486" w:rsidRDefault="007B6E9C" w:rsidP="007B6E9C">
      <w:pPr>
        <w:pStyle w:val="ListParagraph"/>
        <w:numPr>
          <w:ilvl w:val="0"/>
          <w:numId w:val="1"/>
        </w:numPr>
        <w:rPr>
          <w:rFonts w:ascii="Times New Roman" w:eastAsia="Times New Roman" w:hAnsi="Times New Roman" w:cs="Times New Roman"/>
        </w:rPr>
      </w:pPr>
      <w:r w:rsidRPr="007B6E9C">
        <w:rPr>
          <w:rFonts w:ascii="Times New Roman" w:eastAsia="Times New Roman" w:hAnsi="Times New Roman" w:cs="Times New Roman"/>
          <w:sz w:val="28"/>
          <w:szCs w:val="28"/>
        </w:rPr>
        <w:t>Your source attribution approach appears to go from a larger space (full rank) to a reduced space (</w:t>
      </w:r>
      <w:proofErr w:type="spellStart"/>
      <w:proofErr w:type="gramStart"/>
      <w:r w:rsidRPr="007B6E9C">
        <w:rPr>
          <w:rFonts w:ascii="Times New Roman" w:eastAsia="Times New Roman" w:hAnsi="Times New Roman" w:cs="Times New Roman"/>
          <w:sz w:val="28"/>
          <w:szCs w:val="28"/>
        </w:rPr>
        <w:t>Lets</w:t>
      </w:r>
      <w:proofErr w:type="spellEnd"/>
      <w:proofErr w:type="gramEnd"/>
      <w:r w:rsidRPr="007B6E9C">
        <w:rPr>
          <w:rFonts w:ascii="Times New Roman" w:eastAsia="Times New Roman" w:hAnsi="Times New Roman" w:cs="Times New Roman"/>
          <w:sz w:val="28"/>
          <w:szCs w:val="28"/>
        </w:rPr>
        <w:t xml:space="preserve"> say M to L where M &gt; L).  That’s fine, but how does that work for the sectoral attribution when that goes from M to N (where N &gt; M), </w:t>
      </w:r>
      <w:proofErr w:type="gramStart"/>
      <w:r w:rsidRPr="007B6E9C">
        <w:rPr>
          <w:rFonts w:ascii="Times New Roman" w:eastAsia="Times New Roman" w:hAnsi="Times New Roman" w:cs="Times New Roman"/>
          <w:sz w:val="28"/>
          <w:szCs w:val="28"/>
        </w:rPr>
        <w:t>i.e.</w:t>
      </w:r>
      <w:proofErr w:type="gramEnd"/>
      <w:r w:rsidRPr="007B6E9C">
        <w:rPr>
          <w:rFonts w:ascii="Times New Roman" w:eastAsia="Times New Roman" w:hAnsi="Times New Roman" w:cs="Times New Roman"/>
          <w:sz w:val="28"/>
          <w:szCs w:val="28"/>
        </w:rPr>
        <w:t xml:space="preserve"> do you assume a relative weighting approach for sectoral attribution such that the prior distribution defines the relative weighting?    Some discussion on this would be good as we are starting to take into account the prior uncertainties in the sectoral attribution (</w:t>
      </w:r>
      <w:proofErr w:type="gramStart"/>
      <w:r w:rsidRPr="007B6E9C">
        <w:rPr>
          <w:rFonts w:ascii="Times New Roman" w:eastAsia="Times New Roman" w:hAnsi="Times New Roman" w:cs="Times New Roman"/>
          <w:sz w:val="28"/>
          <w:szCs w:val="28"/>
        </w:rPr>
        <w:t>e.g.</w:t>
      </w:r>
      <w:proofErr w:type="gramEnd"/>
      <w:r w:rsidRPr="007B6E9C">
        <w:rPr>
          <w:rFonts w:ascii="Times New Roman" w:eastAsia="Times New Roman" w:hAnsi="Times New Roman" w:cs="Times New Roman"/>
          <w:sz w:val="28"/>
          <w:szCs w:val="28"/>
        </w:rPr>
        <w:t xml:space="preserve"> Cusworth et al. Nature Com: Earth and </w:t>
      </w:r>
      <w:proofErr w:type="spellStart"/>
      <w:r w:rsidRPr="007B6E9C">
        <w:rPr>
          <w:rFonts w:ascii="Times New Roman" w:eastAsia="Times New Roman" w:hAnsi="Times New Roman" w:cs="Times New Roman"/>
          <w:sz w:val="28"/>
          <w:szCs w:val="28"/>
        </w:rPr>
        <w:t>Envirornment</w:t>
      </w:r>
      <w:proofErr w:type="spellEnd"/>
      <w:r w:rsidRPr="007B6E9C">
        <w:rPr>
          <w:rFonts w:ascii="Times New Roman" w:eastAsia="Times New Roman" w:hAnsi="Times New Roman" w:cs="Times New Roman"/>
          <w:sz w:val="28"/>
          <w:szCs w:val="28"/>
        </w:rPr>
        <w:t xml:space="preserve"> 2021, Worden et al. ACP 2022).</w:t>
      </w:r>
    </w:p>
    <w:p w14:paraId="09C9E709" w14:textId="247351B2" w:rsidR="008B7486" w:rsidRDefault="008B7486" w:rsidP="008B7486">
      <w:pPr>
        <w:rPr>
          <w:rFonts w:ascii="Times New Roman" w:eastAsia="Times New Roman" w:hAnsi="Times New Roman" w:cs="Times New Roman"/>
        </w:rPr>
      </w:pPr>
    </w:p>
    <w:p w14:paraId="472C6552" w14:textId="64AC36EA" w:rsidR="00706120" w:rsidRDefault="008B7486" w:rsidP="008B7486">
      <w:pPr>
        <w:rPr>
          <w:rFonts w:ascii="Times New Roman" w:eastAsia="Times New Roman" w:hAnsi="Times New Roman" w:cs="Times New Roman"/>
        </w:rPr>
      </w:pPr>
      <w:r>
        <w:rPr>
          <w:rFonts w:ascii="Times New Roman" w:eastAsia="Times New Roman" w:hAnsi="Times New Roman" w:cs="Times New Roman"/>
        </w:rPr>
        <w:t xml:space="preserve">Thanks for bringing this up. </w:t>
      </w:r>
      <w:r w:rsidR="00706120">
        <w:rPr>
          <w:rFonts w:ascii="Times New Roman" w:eastAsia="Times New Roman" w:hAnsi="Times New Roman" w:cs="Times New Roman"/>
        </w:rPr>
        <w:t>I added a sentence on the new methods to section 2.8 (see attached document with tracked changes)</w:t>
      </w:r>
    </w:p>
    <w:p w14:paraId="33E49F24" w14:textId="77777777" w:rsidR="00706120" w:rsidRDefault="00706120" w:rsidP="008B7486">
      <w:pPr>
        <w:rPr>
          <w:rFonts w:ascii="Times New Roman" w:eastAsia="Times New Roman" w:hAnsi="Times New Roman" w:cs="Times New Roman"/>
        </w:rPr>
      </w:pPr>
    </w:p>
    <w:p w14:paraId="7711EE7B" w14:textId="2AF79CD9" w:rsidR="008B7486" w:rsidRDefault="008B7486" w:rsidP="008B7486">
      <w:pPr>
        <w:rPr>
          <w:rFonts w:ascii="Times New Roman" w:eastAsia="Times New Roman" w:hAnsi="Times New Roman" w:cs="Times New Roman"/>
        </w:rPr>
      </w:pPr>
      <w:r>
        <w:rPr>
          <w:rFonts w:ascii="Times New Roman" w:eastAsia="Times New Roman" w:hAnsi="Times New Roman" w:cs="Times New Roman"/>
        </w:rPr>
        <w:t xml:space="preserve">The only case in which we go from a lower dimensional space to a higher dimensional space is for our landfill results. </w:t>
      </w:r>
      <w:r w:rsidR="00706120">
        <w:rPr>
          <w:rFonts w:ascii="Times New Roman" w:eastAsia="Times New Roman" w:hAnsi="Times New Roman" w:cs="Times New Roman"/>
        </w:rPr>
        <w:t xml:space="preserve">I added a sentence clarifying this, also in section 2.8. </w:t>
      </w:r>
      <w:r>
        <w:rPr>
          <w:rFonts w:ascii="Times New Roman" w:eastAsia="Times New Roman" w:hAnsi="Times New Roman" w:cs="Times New Roman"/>
        </w:rPr>
        <w:t>As you note, this is a bit of a risky endeavor, which is why we spend so much time validating the landfill results (and we make special note of the Puente Hills Landfill, which demonstrates the limit of this approach).</w:t>
      </w:r>
    </w:p>
    <w:p w14:paraId="11E54ACD" w14:textId="77777777" w:rsidR="008B7486" w:rsidRPr="008B7486" w:rsidRDefault="008B7486" w:rsidP="008B7486">
      <w:pPr>
        <w:rPr>
          <w:rFonts w:ascii="Times New Roman" w:eastAsia="Times New Roman" w:hAnsi="Times New Roman" w:cs="Times New Roman"/>
        </w:rPr>
      </w:pPr>
    </w:p>
    <w:p w14:paraId="387453A9" w14:textId="697B4EDC" w:rsidR="007B6E9C" w:rsidRPr="007B6E9C" w:rsidRDefault="007B6E9C" w:rsidP="007B6E9C">
      <w:pPr>
        <w:pStyle w:val="ListParagraph"/>
        <w:numPr>
          <w:ilvl w:val="0"/>
          <w:numId w:val="1"/>
        </w:numPr>
        <w:rPr>
          <w:rFonts w:ascii="Times New Roman" w:eastAsia="Times New Roman" w:hAnsi="Times New Roman" w:cs="Times New Roman"/>
        </w:rPr>
      </w:pPr>
      <w:r w:rsidRPr="007B6E9C">
        <w:rPr>
          <w:rFonts w:ascii="Times New Roman" w:eastAsia="Times New Roman" w:hAnsi="Times New Roman" w:cs="Times New Roman"/>
          <w:sz w:val="28"/>
          <w:szCs w:val="28"/>
        </w:rPr>
        <w:t>Also, do you find any instability in W when you calculate the pseudo-inverse? (</w:t>
      </w:r>
      <w:proofErr w:type="gramStart"/>
      <w:r w:rsidRPr="007B6E9C">
        <w:rPr>
          <w:rFonts w:ascii="Times New Roman" w:eastAsia="Times New Roman" w:hAnsi="Times New Roman" w:cs="Times New Roman"/>
          <w:sz w:val="28"/>
          <w:szCs w:val="28"/>
        </w:rPr>
        <w:t>that</w:t>
      </w:r>
      <w:proofErr w:type="gramEnd"/>
      <w:r w:rsidRPr="007B6E9C">
        <w:rPr>
          <w:rFonts w:ascii="Times New Roman" w:eastAsia="Times New Roman" w:hAnsi="Times New Roman" w:cs="Times New Roman"/>
          <w:sz w:val="28"/>
          <w:szCs w:val="28"/>
        </w:rPr>
        <w:t xml:space="preserve"> is you can go back and forth between the larger to the smaller state space).   Assuming I interpreted your attribution correctly, W is a summation </w:t>
      </w:r>
      <w:proofErr w:type="gramStart"/>
      <w:r w:rsidRPr="007B6E9C">
        <w:rPr>
          <w:rFonts w:ascii="Times New Roman" w:eastAsia="Times New Roman" w:hAnsi="Times New Roman" w:cs="Times New Roman"/>
          <w:sz w:val="28"/>
          <w:szCs w:val="28"/>
        </w:rPr>
        <w:t>matrix  such</w:t>
      </w:r>
      <w:proofErr w:type="gramEnd"/>
      <w:r w:rsidRPr="007B6E9C">
        <w:rPr>
          <w:rFonts w:ascii="Times New Roman" w:eastAsia="Times New Roman" w:hAnsi="Times New Roman" w:cs="Times New Roman"/>
          <w:sz w:val="28"/>
          <w:szCs w:val="28"/>
        </w:rPr>
        <w:t xml:space="preserve"> that if M is the number of elements in the “red” state vector and N is the number of elements in the “FR” state vector, with M &lt; N.  In this scenario, W can be unstable such that you </w:t>
      </w:r>
      <w:proofErr w:type="spellStart"/>
      <w:proofErr w:type="gramStart"/>
      <w:r w:rsidRPr="007B6E9C">
        <w:rPr>
          <w:rFonts w:ascii="Times New Roman" w:eastAsia="Times New Roman" w:hAnsi="Times New Roman" w:cs="Times New Roman"/>
          <w:sz w:val="28"/>
          <w:szCs w:val="28"/>
        </w:rPr>
        <w:t>cant</w:t>
      </w:r>
      <w:proofErr w:type="spellEnd"/>
      <w:proofErr w:type="gramEnd"/>
      <w:r w:rsidRPr="007B6E9C">
        <w:rPr>
          <w:rFonts w:ascii="Times New Roman" w:eastAsia="Times New Roman" w:hAnsi="Times New Roman" w:cs="Times New Roman"/>
          <w:sz w:val="28"/>
          <w:szCs w:val="28"/>
        </w:rPr>
        <w:t xml:space="preserve"> go back and forth between the reduced and larger space. On the other </w:t>
      </w:r>
      <w:proofErr w:type="gramStart"/>
      <w:r w:rsidRPr="007B6E9C">
        <w:rPr>
          <w:rFonts w:ascii="Times New Roman" w:eastAsia="Times New Roman" w:hAnsi="Times New Roman" w:cs="Times New Roman"/>
          <w:sz w:val="28"/>
          <w:szCs w:val="28"/>
        </w:rPr>
        <w:t>hand</w:t>
      </w:r>
      <w:proofErr w:type="gramEnd"/>
      <w:r w:rsidRPr="007B6E9C">
        <w:rPr>
          <w:rFonts w:ascii="Times New Roman" w:eastAsia="Times New Roman" w:hAnsi="Times New Roman" w:cs="Times New Roman"/>
          <w:sz w:val="28"/>
          <w:szCs w:val="28"/>
        </w:rPr>
        <w:t xml:space="preserve"> if you put </w:t>
      </w:r>
      <w:proofErr w:type="spellStart"/>
      <w:r w:rsidRPr="007B6E9C">
        <w:rPr>
          <w:rFonts w:ascii="Times New Roman" w:eastAsia="Times New Roman" w:hAnsi="Times New Roman" w:cs="Times New Roman"/>
          <w:sz w:val="28"/>
          <w:szCs w:val="28"/>
        </w:rPr>
        <w:t>W on</w:t>
      </w:r>
      <w:proofErr w:type="spellEnd"/>
      <w:r w:rsidRPr="007B6E9C">
        <w:rPr>
          <w:rFonts w:ascii="Times New Roman" w:eastAsia="Times New Roman" w:hAnsi="Times New Roman" w:cs="Times New Roman"/>
          <w:sz w:val="28"/>
          <w:szCs w:val="28"/>
        </w:rPr>
        <w:t xml:space="preserve"> the other side of the equation than the pseudo-inverse is always stable but then </w:t>
      </w:r>
      <w:proofErr w:type="spellStart"/>
      <w:r w:rsidRPr="007B6E9C">
        <w:rPr>
          <w:rFonts w:ascii="Times New Roman" w:eastAsia="Times New Roman" w:hAnsi="Times New Roman" w:cs="Times New Roman"/>
          <w:sz w:val="28"/>
          <w:szCs w:val="28"/>
        </w:rPr>
        <w:t>its</w:t>
      </w:r>
      <w:proofErr w:type="spellEnd"/>
      <w:r w:rsidRPr="007B6E9C">
        <w:rPr>
          <w:rFonts w:ascii="Times New Roman" w:eastAsia="Times New Roman" w:hAnsi="Times New Roman" w:cs="Times New Roman"/>
          <w:sz w:val="28"/>
          <w:szCs w:val="28"/>
        </w:rPr>
        <w:t xml:space="preserve"> harder to use in this context.</w:t>
      </w:r>
    </w:p>
    <w:p w14:paraId="3A8D35D9" w14:textId="03767755" w:rsidR="007B6E9C" w:rsidRDefault="007B6E9C" w:rsidP="007B6E9C">
      <w:pPr>
        <w:rPr>
          <w:rFonts w:ascii="Times New Roman" w:eastAsia="Times New Roman" w:hAnsi="Times New Roman" w:cs="Times New Roman"/>
        </w:rPr>
      </w:pPr>
    </w:p>
    <w:p w14:paraId="4AF81A28" w14:textId="6CA3559E" w:rsidR="007B6E9C" w:rsidRDefault="007B6E9C" w:rsidP="007B6E9C">
      <w:pPr>
        <w:rPr>
          <w:rFonts w:ascii="Times New Roman" w:eastAsia="Times New Roman" w:hAnsi="Times New Roman" w:cs="Times New Roman"/>
          <w:bCs/>
        </w:rPr>
      </w:pPr>
      <w:r>
        <w:rPr>
          <w:rFonts w:ascii="Times New Roman" w:eastAsia="Times New Roman" w:hAnsi="Times New Roman" w:cs="Times New Roman"/>
        </w:rPr>
        <w:t xml:space="preserve">Thanks for catching this! I doubt anyone else would have noticed. You’re correct that I should have written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e>
            </m:d>
          </m:e>
          <m:sup>
            <m:r>
              <m:rPr>
                <m:sty m:val="p"/>
              </m:rPr>
              <w:rPr>
                <w:rFonts w:ascii="Cambria Math" w:hAnsi="Cambria Math"/>
              </w:rPr>
              <m:t>-1</m:t>
            </m:r>
          </m:sup>
        </m:sSup>
      </m:oMath>
      <w:r>
        <w:rPr>
          <w:rFonts w:ascii="Times New Roman" w:eastAsia="Times New Roman" w:hAnsi="Times New Roman" w:cs="Times New Roman"/>
        </w:rPr>
        <w:t xml:space="preserve"> instead of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Pr>
          <w:rFonts w:ascii="Times New Roman" w:eastAsia="Times New Roman" w:hAnsi="Times New Roman" w:cs="Times New Roman"/>
          <w:bCs/>
          <w:iCs/>
        </w:rPr>
        <w:t xml:space="preserve"> since I’ve defined </w:t>
      </w:r>
      <m:oMath>
        <m:r>
          <m:rPr>
            <m:sty m:val="b"/>
          </m:rPr>
          <w:rPr>
            <w:rFonts w:ascii="Cambria Math" w:hAnsi="Cambria Math"/>
          </w:rPr>
          <m:t>W</m:t>
        </m:r>
      </m:oMath>
      <w:r>
        <w:rPr>
          <w:rFonts w:ascii="Times New Roman" w:eastAsia="Times New Roman" w:hAnsi="Times New Roman" w:cs="Times New Roman"/>
          <w:bCs/>
          <w:iCs/>
        </w:rPr>
        <w:t xml:space="preserve"> so that the rows (not the columns) are linearly independent. </w:t>
      </w:r>
      <w:r w:rsidR="00076957">
        <w:rPr>
          <w:rFonts w:ascii="Times New Roman" w:eastAsia="Times New Roman" w:hAnsi="Times New Roman" w:cs="Times New Roman"/>
          <w:bCs/>
          <w:iCs/>
        </w:rPr>
        <w:t xml:space="preserve">Indeed, this is how I calculate it in practice. </w:t>
      </w:r>
      <w:r>
        <w:rPr>
          <w:rFonts w:ascii="Times New Roman" w:eastAsia="Times New Roman" w:hAnsi="Times New Roman" w:cs="Times New Roman"/>
          <w:bCs/>
          <w:iCs/>
        </w:rPr>
        <w:t>In this case, I encountered no instability</w:t>
      </w:r>
      <w:r w:rsidR="00076957">
        <w:rPr>
          <w:rFonts w:ascii="Times New Roman" w:eastAsia="Times New Roman" w:hAnsi="Times New Roman" w:cs="Times New Roman"/>
          <w:bCs/>
          <w:iCs/>
        </w:rPr>
        <w:t xml:space="preserve"> (I think—though I don’t remember—that I may have encountered some instability using the </w:t>
      </w:r>
      <w:r w:rsidR="00787F7E">
        <w:rPr>
          <w:rFonts w:ascii="Times New Roman" w:eastAsia="Times New Roman" w:hAnsi="Times New Roman" w:cs="Times New Roman"/>
          <w:bCs/>
          <w:iCs/>
        </w:rPr>
        <w:t>previous</w:t>
      </w:r>
      <w:r w:rsidR="00076957">
        <w:rPr>
          <w:rFonts w:ascii="Times New Roman" w:eastAsia="Times New Roman" w:hAnsi="Times New Roman" w:cs="Times New Roman"/>
          <w:bCs/>
          <w:iCs/>
        </w:rPr>
        <w:t xml:space="preserve"> definition)</w:t>
      </w:r>
      <w:r>
        <w:rPr>
          <w:rFonts w:ascii="Times New Roman" w:eastAsia="Times New Roman" w:hAnsi="Times New Roman" w:cs="Times New Roman"/>
          <w:bCs/>
          <w:iCs/>
        </w:rPr>
        <w:t>. (It’s also the case that we don’t go back and forth between the state space and the reduced space since it’s so hard (impossible) to recover lost information after dimension reduction.) I fixed this in the draft!</w:t>
      </w:r>
    </w:p>
    <w:p w14:paraId="5EB66AF2" w14:textId="77777777" w:rsidR="007B6E9C" w:rsidRPr="007B6E9C" w:rsidRDefault="007B6E9C" w:rsidP="007B6E9C">
      <w:pPr>
        <w:rPr>
          <w:rFonts w:ascii="Times New Roman" w:eastAsia="Times New Roman" w:hAnsi="Times New Roman" w:cs="Times New Roman"/>
          <w:bCs/>
        </w:rPr>
      </w:pPr>
    </w:p>
    <w:p w14:paraId="7167ED4C" w14:textId="53EE7DDF" w:rsidR="00052F32" w:rsidRPr="00052F32" w:rsidRDefault="007B6E9C" w:rsidP="00052F32">
      <w:pPr>
        <w:pStyle w:val="ListParagraph"/>
        <w:numPr>
          <w:ilvl w:val="0"/>
          <w:numId w:val="1"/>
        </w:numPr>
      </w:pPr>
      <w:r w:rsidRPr="007B6E9C">
        <w:rPr>
          <w:rFonts w:ascii="Times New Roman" w:eastAsia="Times New Roman" w:hAnsi="Times New Roman" w:cs="Times New Roman"/>
          <w:sz w:val="28"/>
          <w:szCs w:val="28"/>
        </w:rPr>
        <w:t xml:space="preserve">You could also compare to our 2019 emissions in my 2022 paper (Worden et al. 2022 ACP) which is based on GOSAT data and uses the sectoral attribution approach from Cusworth </w:t>
      </w:r>
      <w:proofErr w:type="gramStart"/>
      <w:r w:rsidRPr="007B6E9C">
        <w:rPr>
          <w:rFonts w:ascii="Times New Roman" w:eastAsia="Times New Roman" w:hAnsi="Times New Roman" w:cs="Times New Roman"/>
          <w:sz w:val="28"/>
          <w:szCs w:val="28"/>
        </w:rPr>
        <w:t>et al..</w:t>
      </w:r>
      <w:proofErr w:type="gramEnd"/>
      <w:r w:rsidRPr="007B6E9C">
        <w:rPr>
          <w:rFonts w:ascii="Times New Roman" w:eastAsia="Times New Roman" w:hAnsi="Times New Roman" w:cs="Times New Roman"/>
          <w:sz w:val="28"/>
          <w:szCs w:val="28"/>
        </w:rPr>
        <w:t xml:space="preserve"> In </w:t>
      </w:r>
      <w:proofErr w:type="gramStart"/>
      <w:r w:rsidRPr="007B6E9C">
        <w:rPr>
          <w:rFonts w:ascii="Times New Roman" w:eastAsia="Times New Roman" w:hAnsi="Times New Roman" w:cs="Times New Roman"/>
          <w:sz w:val="28"/>
          <w:szCs w:val="28"/>
        </w:rPr>
        <w:t>general</w:t>
      </w:r>
      <w:proofErr w:type="gramEnd"/>
      <w:r w:rsidRPr="007B6E9C">
        <w:rPr>
          <w:rFonts w:ascii="Times New Roman" w:eastAsia="Times New Roman" w:hAnsi="Times New Roman" w:cs="Times New Roman"/>
          <w:sz w:val="28"/>
          <w:szCs w:val="28"/>
        </w:rPr>
        <w:t xml:space="preserve"> there is good agreement for the total USA, livestock, and oil and gas, but worse agreement for waste and coal. However, </w:t>
      </w:r>
      <w:proofErr w:type="spellStart"/>
      <w:r w:rsidRPr="007B6E9C">
        <w:rPr>
          <w:rFonts w:ascii="Times New Roman" w:eastAsia="Times New Roman" w:hAnsi="Times New Roman" w:cs="Times New Roman"/>
          <w:sz w:val="28"/>
          <w:szCs w:val="28"/>
        </w:rPr>
        <w:t>its</w:t>
      </w:r>
      <w:proofErr w:type="spellEnd"/>
      <w:r w:rsidRPr="007B6E9C">
        <w:rPr>
          <w:rFonts w:ascii="Times New Roman" w:eastAsia="Times New Roman" w:hAnsi="Times New Roman" w:cs="Times New Roman"/>
          <w:sz w:val="28"/>
          <w:szCs w:val="28"/>
        </w:rPr>
        <w:t xml:space="preserve"> quite possible that the sensitivity of the </w:t>
      </w:r>
      <w:r w:rsidRPr="007B6E9C">
        <w:rPr>
          <w:rFonts w:ascii="Times New Roman" w:eastAsia="Times New Roman" w:hAnsi="Times New Roman" w:cs="Times New Roman"/>
          <w:sz w:val="28"/>
          <w:szCs w:val="28"/>
        </w:rPr>
        <w:lastRenderedPageBreak/>
        <w:t xml:space="preserve">GOSAT data to coal and waste is small such that our results are strongly affected by the prior.   I found this was the case when using GOSAT data for 2009 to 2018 based on </w:t>
      </w:r>
      <w:proofErr w:type="spellStart"/>
      <w:r w:rsidRPr="007B6E9C">
        <w:rPr>
          <w:rFonts w:ascii="Times New Roman" w:eastAsia="Times New Roman" w:hAnsi="Times New Roman" w:cs="Times New Roman"/>
          <w:sz w:val="28"/>
          <w:szCs w:val="28"/>
        </w:rPr>
        <w:t>Zhangs</w:t>
      </w:r>
      <w:proofErr w:type="spellEnd"/>
      <w:r w:rsidRPr="007B6E9C">
        <w:rPr>
          <w:rFonts w:ascii="Times New Roman" w:eastAsia="Times New Roman" w:hAnsi="Times New Roman" w:cs="Times New Roman"/>
          <w:sz w:val="28"/>
          <w:szCs w:val="28"/>
        </w:rPr>
        <w:t xml:space="preserve"> results. One way to show this is to look at the relative decline in uncertainty (a proxy for </w:t>
      </w:r>
      <w:proofErr w:type="gramStart"/>
      <w:r w:rsidRPr="007B6E9C">
        <w:rPr>
          <w:rFonts w:ascii="Times New Roman" w:eastAsia="Times New Roman" w:hAnsi="Times New Roman" w:cs="Times New Roman"/>
          <w:sz w:val="28"/>
          <w:szCs w:val="28"/>
        </w:rPr>
        <w:t>DOFS)…</w:t>
      </w:r>
      <w:proofErr w:type="gramEnd"/>
    </w:p>
    <w:p w14:paraId="7F5FC407" w14:textId="1D7AD2C7" w:rsidR="00052F32" w:rsidRDefault="00052F32" w:rsidP="00052F32"/>
    <w:p w14:paraId="2DD8B24D" w14:textId="1CA62725" w:rsidR="006E2B9C" w:rsidRDefault="00052F32" w:rsidP="00052F32">
      <w:pPr>
        <w:rPr>
          <w:rFonts w:ascii="Times New Roman" w:eastAsia="Times New Roman" w:hAnsi="Times New Roman" w:cs="Times New Roman"/>
        </w:rPr>
      </w:pPr>
      <w:r>
        <w:rPr>
          <w:rFonts w:ascii="Times New Roman" w:eastAsia="Times New Roman" w:hAnsi="Times New Roman" w:cs="Times New Roman"/>
        </w:rPr>
        <w:t>Thanks</w:t>
      </w:r>
      <w:r>
        <w:rPr>
          <w:rFonts w:ascii="Times New Roman" w:eastAsia="Times New Roman" w:hAnsi="Times New Roman" w:cs="Times New Roman"/>
        </w:rPr>
        <w:t xml:space="preserve"> for the suggestion! I’m happy to compare our results to your results for </w:t>
      </w:r>
      <w:r w:rsidR="00502107">
        <w:rPr>
          <w:rFonts w:ascii="Times New Roman" w:eastAsia="Times New Roman" w:hAnsi="Times New Roman" w:cs="Times New Roman"/>
        </w:rPr>
        <w:t xml:space="preserve">total emissions, </w:t>
      </w:r>
      <w:r>
        <w:rPr>
          <w:rFonts w:ascii="Times New Roman" w:eastAsia="Times New Roman" w:hAnsi="Times New Roman" w:cs="Times New Roman"/>
        </w:rPr>
        <w:t xml:space="preserve">livestock, oil and gas, and coal. </w:t>
      </w:r>
      <w:r w:rsidR="006E2B9C">
        <w:rPr>
          <w:rFonts w:ascii="Times New Roman" w:eastAsia="Times New Roman" w:hAnsi="Times New Roman" w:cs="Times New Roman"/>
        </w:rPr>
        <w:t>Because you don’t separate landfills and wastewater, I can’t do a direct comparison for your waste result.</w:t>
      </w:r>
      <w:r w:rsidR="006E2B9C">
        <w:rPr>
          <w:rFonts w:ascii="Times New Roman" w:eastAsia="Times New Roman" w:hAnsi="Times New Roman" w:cs="Times New Roman"/>
        </w:rPr>
        <w:t xml:space="preserve"> Please see the updated figure below, and the associated edits in the attached document (in tracked changes).</w:t>
      </w:r>
      <w:r w:rsidR="00ED4392">
        <w:rPr>
          <w:rFonts w:ascii="Times New Roman" w:eastAsia="Times New Roman" w:hAnsi="Times New Roman" w:cs="Times New Roman"/>
        </w:rPr>
        <w:t xml:space="preserve"> </w:t>
      </w:r>
      <w:r w:rsidR="006E2B9C">
        <w:rPr>
          <w:rFonts w:ascii="Times New Roman" w:eastAsia="Times New Roman" w:hAnsi="Times New Roman" w:cs="Times New Roman"/>
        </w:rPr>
        <w:t>H</w:t>
      </w:r>
      <w:r w:rsidR="00502107">
        <w:rPr>
          <w:rFonts w:ascii="Times New Roman" w:eastAsia="Times New Roman" w:hAnsi="Times New Roman" w:cs="Times New Roman"/>
        </w:rPr>
        <w:t xml:space="preserve">ow </w:t>
      </w:r>
      <w:proofErr w:type="gramStart"/>
      <w:r w:rsidR="00502107">
        <w:rPr>
          <w:rFonts w:ascii="Times New Roman" w:eastAsia="Times New Roman" w:hAnsi="Times New Roman" w:cs="Times New Roman"/>
        </w:rPr>
        <w:t>I should</w:t>
      </w:r>
      <w:proofErr w:type="gramEnd"/>
      <w:r w:rsidR="00502107">
        <w:rPr>
          <w:rFonts w:ascii="Times New Roman" w:eastAsia="Times New Roman" w:hAnsi="Times New Roman" w:cs="Times New Roman"/>
        </w:rPr>
        <w:t xml:space="preserve"> interpret the error bounds on your total for the United States</w:t>
      </w:r>
      <w:r w:rsidR="006E2B9C">
        <w:rPr>
          <w:rFonts w:ascii="Times New Roman" w:eastAsia="Times New Roman" w:hAnsi="Times New Roman" w:cs="Times New Roman"/>
        </w:rPr>
        <w:t>?</w:t>
      </w:r>
      <w:r w:rsidR="00502107">
        <w:rPr>
          <w:rFonts w:ascii="Times New Roman" w:eastAsia="Times New Roman" w:hAnsi="Times New Roman" w:cs="Times New Roman"/>
        </w:rPr>
        <w:t xml:space="preserve"> Your supplemental table has the value </w:t>
      </w:r>
      <w:r w:rsidR="00502107" w:rsidRPr="00502107">
        <w:rPr>
          <w:rFonts w:ascii="Times New Roman" w:eastAsia="Times New Roman" w:hAnsi="Times New Roman" w:cs="Times New Roman"/>
        </w:rPr>
        <w:t>27.6 ± (1.5–3.3)</w:t>
      </w:r>
      <w:r w:rsidR="00502107">
        <w:rPr>
          <w:rFonts w:ascii="Times New Roman" w:eastAsia="Times New Roman" w:hAnsi="Times New Roman" w:cs="Times New Roman"/>
        </w:rPr>
        <w:t>. Is that equivalent to a range of (27.6 – 1.5 to 27.6 + 3.3)? This was my best guess.</w:t>
      </w:r>
    </w:p>
    <w:p w14:paraId="32A44521" w14:textId="62FCD615" w:rsidR="006E2B9C" w:rsidRDefault="006E2B9C" w:rsidP="00052F32">
      <w:pPr>
        <w:rPr>
          <w:rFonts w:ascii="Times New Roman" w:eastAsia="Times New Roman" w:hAnsi="Times New Roman" w:cs="Times New Roman"/>
        </w:rPr>
      </w:pPr>
    </w:p>
    <w:p w14:paraId="18ADCE54" w14:textId="1B8AF97F" w:rsidR="006E2B9C" w:rsidRPr="006E2B9C" w:rsidRDefault="006E2B9C" w:rsidP="00052F3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922C91" wp14:editId="6A6FBBF2">
            <wp:extent cx="4597400" cy="3683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7400" cy="3683000"/>
                    </a:xfrm>
                    <a:prstGeom prst="rect">
                      <a:avLst/>
                    </a:prstGeom>
                  </pic:spPr>
                </pic:pic>
              </a:graphicData>
            </a:graphic>
          </wp:inline>
        </w:drawing>
      </w:r>
    </w:p>
    <w:sectPr w:rsidR="006E2B9C" w:rsidRPr="006E2B9C"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835F1"/>
    <w:multiLevelType w:val="hybridMultilevel"/>
    <w:tmpl w:val="35DA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65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C"/>
    <w:rsid w:val="00052F32"/>
    <w:rsid w:val="00076957"/>
    <w:rsid w:val="00502107"/>
    <w:rsid w:val="00522565"/>
    <w:rsid w:val="005A1F95"/>
    <w:rsid w:val="006852B4"/>
    <w:rsid w:val="006E2B9C"/>
    <w:rsid w:val="00706120"/>
    <w:rsid w:val="00706960"/>
    <w:rsid w:val="00787F7E"/>
    <w:rsid w:val="007B6E9C"/>
    <w:rsid w:val="008B7486"/>
    <w:rsid w:val="009A6DFD"/>
    <w:rsid w:val="00A95FA6"/>
    <w:rsid w:val="00C536A1"/>
    <w:rsid w:val="00ED4392"/>
    <w:rsid w:val="00F3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2C4A1"/>
  <w14:defaultImageDpi w14:val="32767"/>
  <w15:chartTrackingRefBased/>
  <w15:docId w15:val="{80288079-B1B9-E040-B0B3-703D51DE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30899">
      <w:bodyDiv w:val="1"/>
      <w:marLeft w:val="0"/>
      <w:marRight w:val="0"/>
      <w:marTop w:val="0"/>
      <w:marBottom w:val="0"/>
      <w:divBdr>
        <w:top w:val="none" w:sz="0" w:space="0" w:color="auto"/>
        <w:left w:val="none" w:sz="0" w:space="0" w:color="auto"/>
        <w:bottom w:val="none" w:sz="0" w:space="0" w:color="auto"/>
        <w:right w:val="none" w:sz="0" w:space="0" w:color="auto"/>
      </w:divBdr>
    </w:div>
    <w:div w:id="1707637532">
      <w:bodyDiv w:val="1"/>
      <w:marLeft w:val="0"/>
      <w:marRight w:val="0"/>
      <w:marTop w:val="0"/>
      <w:marBottom w:val="0"/>
      <w:divBdr>
        <w:top w:val="none" w:sz="0" w:space="0" w:color="auto"/>
        <w:left w:val="none" w:sz="0" w:space="0" w:color="auto"/>
        <w:bottom w:val="none" w:sz="0" w:space="0" w:color="auto"/>
        <w:right w:val="none" w:sz="0" w:space="0" w:color="auto"/>
      </w:divBdr>
    </w:div>
    <w:div w:id="20867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3</cp:revision>
  <dcterms:created xsi:type="dcterms:W3CDTF">2023-03-29T15:17:00Z</dcterms:created>
  <dcterms:modified xsi:type="dcterms:W3CDTF">2023-03-29T17:52:00Z</dcterms:modified>
</cp:coreProperties>
</file>