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748C807F"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6880A2F1" w14:textId="77777777" w:rsidR="00BF094E" w:rsidRPr="000E0EBD" w:rsidRDefault="00BF094E" w:rsidP="00BF094E">
      <w:r w:rsidRPr="000E0EBD">
        <w:t xml:space="preserve">We use 2019 atmospheric methane columns measured by the Tropospheric Monitoring Instrument (TROPOMI) aboard the Sentinel-5 Precursor satellite in </w:t>
      </w:r>
      <w:r>
        <w:t>an</w:t>
      </w:r>
      <w:r w:rsidRPr="000E0EBD">
        <w:t xml:space="preserve"> inversion </w:t>
      </w:r>
      <w:r>
        <w:t>that</w:t>
      </w:r>
      <w:r w:rsidRPr="000E0EBD">
        <w:t xml:space="preserve"> </w:t>
      </w:r>
      <w:r>
        <w:t>quantifies</w:t>
      </w:r>
      <w:r w:rsidRPr="000E0EBD">
        <w:t xml:space="preserve"> methane emissions</w:t>
      </w:r>
      <w:r>
        <w:t xml:space="preserve"> at 0.25</w:t>
      </w:r>
      <w:r>
        <w:rPr>
          <w:rFonts w:ascii="d" w:hAnsi="d"/>
        </w:rPr>
        <w:t>° ⨉ 0.3125°</w:t>
      </w:r>
      <w:r>
        <w:t xml:space="preserve"> resolution over North America</w:t>
      </w:r>
      <w:r w:rsidRPr="000E0EBD">
        <w:t>.</w:t>
      </w:r>
      <w:r>
        <w:t xml:space="preserve"> We perform substantial cleaning of the TROPOMI data to avoid regional biases. We solve the inversion by analytical minimization of a Bayesian cost function, which provides closed-form expressions for the error and information content of the inversion and allows for the creation of an ensemble of inversions to test the sensitivity of different uncertainties and assumptions. We achieve high resolution results across North America with a reduced-rank eigenvector characterization of the observing system that maximizes information content while managing computational cost. Prior methane emission estimates for the inversion are gridded versions of the national inventories reported by individual countries under the Paris Agreement. We use inversion results to correct the methane emissions in these national inventories for different sectors and regions, providing a top-down framework for using satellite observations to improve national methane emission reporting. </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165BE0BF" w14:textId="77777777" w:rsidR="00567AFF" w:rsidRDefault="00567AFF">
      <w:pPr>
        <w:rPr>
          <w:rFonts w:ascii="Times" w:hAnsi="Times"/>
        </w:rPr>
      </w:pPr>
    </w:p>
    <w:p w14:paraId="042C1B99" w14:textId="398D94ED" w:rsidR="00FA4A08" w:rsidRDefault="00A1169A">
      <w:pPr>
        <w:rPr>
          <w:rFonts w:ascii="Times" w:hAnsi="Times"/>
        </w:rPr>
      </w:pPr>
      <w:r>
        <w:rPr>
          <w:rFonts w:ascii="Times" w:hAnsi="Times"/>
        </w:rPr>
        <w:t>All modelled pathways that limit global warming to 1.5</w:t>
      </w:r>
      <w:r>
        <w:t>°</w:t>
      </w:r>
      <w:r>
        <w:rPr>
          <w:rFonts w:ascii="Times" w:hAnsi="Times"/>
        </w:rPr>
        <w:t xml:space="preserve">C </w:t>
      </w:r>
      <w:r w:rsidR="00800D24">
        <w:rPr>
          <w:rFonts w:ascii="Times" w:hAnsi="Times"/>
        </w:rPr>
        <w:t xml:space="preserve">require </w:t>
      </w:r>
      <w:r>
        <w:rPr>
          <w:rFonts w:ascii="Times" w:hAnsi="Times"/>
        </w:rPr>
        <w:t xml:space="preserve">deep reductions in methane emissions (IPCC). </w:t>
      </w:r>
      <w:r w:rsidR="00BC14A8">
        <w:rPr>
          <w:rFonts w:ascii="Times" w:hAnsi="Times"/>
        </w:rPr>
        <w:t>Yet, global</w:t>
      </w:r>
      <w:r w:rsidR="0020458F">
        <w:rPr>
          <w:rFonts w:ascii="Times" w:hAnsi="Times"/>
        </w:rPr>
        <w:t xml:space="preserve"> methane concentrations have tripled from pre-industrial concentrations and are increasing at an increasing rate (</w:t>
      </w:r>
      <w:proofErr w:type="spellStart"/>
      <w:r w:rsidR="0020458F">
        <w:rPr>
          <w:rFonts w:ascii="Times" w:hAnsi="Times"/>
        </w:rPr>
        <w:t>Dlugokencky</w:t>
      </w:r>
      <w:proofErr w:type="spellEnd"/>
      <w:r w:rsidR="0020458F">
        <w:rPr>
          <w:rFonts w:ascii="Times" w:hAnsi="Times"/>
        </w:rPr>
        <w:t xml:space="preserve">). </w:t>
      </w:r>
      <w:r w:rsidR="00FA4A08">
        <w:rPr>
          <w:rFonts w:ascii="Times" w:hAnsi="Times"/>
        </w:rPr>
        <w:t xml:space="preserve">Methane is emitted by a range of </w:t>
      </w:r>
      <w:r w:rsidR="004A31EF">
        <w:rPr>
          <w:rFonts w:ascii="Times" w:hAnsi="Times"/>
        </w:rPr>
        <w:t>sectors</w:t>
      </w:r>
      <w:r w:rsidR="00FA4A08">
        <w:rPr>
          <w:rFonts w:ascii="Times" w:hAnsi="Times"/>
        </w:rPr>
        <w:t xml:space="preserve">, including </w:t>
      </w:r>
      <w:r w:rsidR="004A31EF">
        <w:rPr>
          <w:rFonts w:ascii="Times" w:hAnsi="Times"/>
        </w:rPr>
        <w:t xml:space="preserve">the fossil fuel industry, livestock, waste management, and wetlands, the main biogenic source. Most countries, including Canada, the United States, and Mexico, </w:t>
      </w:r>
      <w:r w:rsidR="000C6DDD">
        <w:rPr>
          <w:rFonts w:ascii="Times" w:hAnsi="Times"/>
        </w:rPr>
        <w:t>report</w:t>
      </w:r>
      <w:r w:rsidR="004A31EF">
        <w:rPr>
          <w:rFonts w:ascii="Times" w:hAnsi="Times"/>
        </w:rPr>
        <w:t xml:space="preserve"> their total </w:t>
      </w:r>
      <w:r w:rsidR="000C6DDD">
        <w:rPr>
          <w:rFonts w:ascii="Times" w:hAnsi="Times"/>
        </w:rPr>
        <w:t xml:space="preserve">estimated </w:t>
      </w:r>
      <w:r w:rsidR="004A31EF">
        <w:rPr>
          <w:rFonts w:ascii="Times" w:hAnsi="Times"/>
        </w:rPr>
        <w:t xml:space="preserve">anthropogenic methane emissions </w:t>
      </w:r>
      <w:r w:rsidR="000C6DDD">
        <w:rPr>
          <w:rFonts w:ascii="Times" w:hAnsi="Times"/>
        </w:rPr>
        <w:t>to the United Nations Framework Convention on Climate Change (UNFCCC) using</w:t>
      </w:r>
      <w:r w:rsidR="004A31EF">
        <w:rPr>
          <w:rFonts w:ascii="Times" w:hAnsi="Times"/>
        </w:rPr>
        <w:t xml:space="preserve"> methods defined by the International Panel on Climate Change (IPCC). These “bottom-up” methods combine activity data (e.g., number of natural gas pipelines) with emission factors (e.g., the leakage rate per pipeline) to estimate total emissions. However, significant uncertainties exist in both the </w:t>
      </w:r>
      <w:r w:rsidR="000C6DDD">
        <w:rPr>
          <w:rFonts w:ascii="Times" w:hAnsi="Times"/>
        </w:rPr>
        <w:t xml:space="preserve">spatial and temporal variability of emission factors, leading to large uncertainties in total and sectoral methane emission estimates. Satellite observations of atmospheric methane concentrations can improve bottom-up estimates with </w:t>
      </w:r>
      <w:r w:rsidR="00085A48">
        <w:rPr>
          <w:rFonts w:ascii="Times" w:hAnsi="Times"/>
        </w:rPr>
        <w:t>increasing</w:t>
      </w:r>
      <w:r w:rsidR="000C6DDD">
        <w:rPr>
          <w:rFonts w:ascii="Times" w:hAnsi="Times"/>
        </w:rPr>
        <w:t xml:space="preserve"> sectoral accuracy through high-resolution inverse analyses</w:t>
      </w:r>
      <w:r w:rsidR="00B60536">
        <w:rPr>
          <w:rFonts w:ascii="Times" w:hAnsi="Times"/>
        </w:rPr>
        <w:t xml:space="preserve"> (Streets et al. 2013, Jacob et al. 2016)</w:t>
      </w:r>
      <w:r w:rsidR="000C6DDD">
        <w:rPr>
          <w:rFonts w:ascii="Times" w:hAnsi="Times"/>
        </w:rPr>
        <w:t xml:space="preserve">. We </w:t>
      </w:r>
      <w:r w:rsidR="00946FDA">
        <w:rPr>
          <w:rFonts w:ascii="Times" w:hAnsi="Times"/>
        </w:rPr>
        <w:t xml:space="preserve">evaluate gridded versions of the national inventories of Canada, the United States, and Mexico </w:t>
      </w:r>
      <w:r w:rsidR="00085A48">
        <w:rPr>
          <w:rFonts w:ascii="Times" w:hAnsi="Times"/>
        </w:rPr>
        <w:t xml:space="preserve">for 2019 </w:t>
      </w:r>
      <w:r w:rsidR="00946FDA">
        <w:rPr>
          <w:rFonts w:ascii="Times" w:hAnsi="Times"/>
        </w:rPr>
        <w:t xml:space="preserve">using </w:t>
      </w:r>
      <w:r w:rsidR="000C6DDD">
        <w:rPr>
          <w:rFonts w:ascii="Times" w:hAnsi="Times"/>
        </w:rPr>
        <w:t xml:space="preserve">observations of column methane concentrations from the </w:t>
      </w:r>
      <w:proofErr w:type="spellStart"/>
      <w:r w:rsidR="000C6DDD">
        <w:rPr>
          <w:rFonts w:ascii="Times" w:hAnsi="Times"/>
        </w:rPr>
        <w:t>TROPOspheric</w:t>
      </w:r>
      <w:proofErr w:type="spellEnd"/>
      <w:r w:rsidR="000C6DDD">
        <w:rPr>
          <w:rFonts w:ascii="Times" w:hAnsi="Times"/>
        </w:rPr>
        <w:t xml:space="preserve"> Monitoring Instrument (TROPOMI) aboard the Sentinel-5 Precursor</w:t>
      </w:r>
      <w:r w:rsidR="00946FDA">
        <w:rPr>
          <w:rFonts w:ascii="Times" w:hAnsi="Times"/>
        </w:rPr>
        <w:t xml:space="preserve">. We </w:t>
      </w:r>
      <w:r w:rsidR="000471CC">
        <w:rPr>
          <w:rFonts w:ascii="Times" w:hAnsi="Times"/>
        </w:rPr>
        <w:t xml:space="preserve">estimate methane emissions at </w:t>
      </w:r>
      <w:r w:rsidR="000471CC">
        <w:t>0.25</w:t>
      </w:r>
      <w:r w:rsidR="000471CC">
        <w:rPr>
          <w:rFonts w:ascii="d" w:hAnsi="d"/>
        </w:rPr>
        <w:t>° ⨉ 0.3125°</w:t>
      </w:r>
      <w:r w:rsidR="000471CC">
        <w:t xml:space="preserve"> resolution</w:t>
      </w:r>
      <w:r w:rsidR="00085A48">
        <w:t>, allowing for improved hotspot identification and source attribution.</w:t>
      </w:r>
    </w:p>
    <w:p w14:paraId="3B901380" w14:textId="78821C53" w:rsidR="00FA4A08" w:rsidRDefault="00FA4A08">
      <w:pPr>
        <w:rPr>
          <w:rFonts w:ascii="Times" w:hAnsi="Times"/>
        </w:rPr>
      </w:pPr>
    </w:p>
    <w:p w14:paraId="328587FA" w14:textId="5C3E590D"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42B57F8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x 1deg</w:t>
      </w:r>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lastRenderedPageBreak/>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198FA004"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x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2.4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000000">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0EC94B7F" w:rsidR="00B746C6" w:rsidRPr="00940EB7" w:rsidRDefault="00367D8C" w:rsidP="00664A9F">
      <w:pPr>
        <w:rPr>
          <w:rFonts w:ascii="Times" w:eastAsiaTheme="minorEastAsia" w:hAnsi="Times"/>
        </w:rPr>
      </w:pPr>
      <w:r>
        <w:rPr>
          <w:rFonts w:ascii="Times" w:hAnsi="Times"/>
        </w:rPr>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p>
    <w:p w14:paraId="22361849" w14:textId="77777777" w:rsidR="00B746C6" w:rsidRDefault="00B746C6" w:rsidP="00664A9F">
      <w:pPr>
        <w:rPr>
          <w:rFonts w:ascii="Times" w:eastAsiaTheme="minorEastAsia" w:hAnsi="Times"/>
          <w:bCs/>
        </w:rPr>
      </w:pPr>
    </w:p>
    <w:p w14:paraId="567B3760" w14:textId="6277F872" w:rsidR="005178BE" w:rsidRPr="00C976E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instead 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1/2</m:t>
            </m:r>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1/2</m:t>
            </m:r>
          </m:sup>
        </m:sSubSup>
        <m:r>
          <m:rPr>
            <m:sty m:val="bi"/>
          </m:rPr>
          <w:rPr>
            <w:rFonts w:ascii="Cambria Math" w:eastAsiaTheme="minorEastAsia" w:hAnsi="Cambria Math"/>
          </w:rPr>
          <m:t>=</m:t>
        </m:r>
        <m:r>
          <m:rPr>
            <m:sty m:val="b"/>
          </m:rPr>
          <w:rPr>
            <w:rFonts w:ascii="Cambria Math" w:eastAsiaTheme="minorEastAsia" w:hAnsi="Cambria Math"/>
          </w:rPr>
          <m:t>V</m:t>
        </m:r>
        <m:r>
          <m:rPr>
            <m:sty m:val="b"/>
          </m:rPr>
          <w:rPr>
            <w:rFonts w:ascii="Cambria Math" w:eastAsiaTheme="minorEastAsia" w:hAnsi="Cambria Math"/>
          </w:rPr>
          <m:t>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oMath>
      <w:r w:rsidR="00C976E9">
        <w:rPr>
          <w:rFonts w:ascii="Times" w:eastAsiaTheme="minorEastAsia" w:hAnsi="Times"/>
        </w:rPr>
        <w:t>, where</w:t>
      </w:r>
      <w:r>
        <w:rPr>
          <w:rFonts w:ascii="Times" w:eastAsiaTheme="minorEastAsia" w:hAnsi="Times"/>
        </w:rPr>
        <w:t xml:space="preserve"> the columns of</w:t>
      </w:r>
      <w:r w:rsidR="00C976E9">
        <w:rPr>
          <w:rFonts w:ascii="Times" w:eastAsiaTheme="minorEastAsia" w:hAnsi="Times"/>
        </w:rPr>
        <w:t xml:space="preserve"> </w:t>
      </w:r>
      <m:oMath>
        <m:r>
          <m:rPr>
            <m:sty m:val="b"/>
          </m:rPr>
          <w:rPr>
            <w:rFonts w:ascii="Cambria Math" w:eastAsiaTheme="minorEastAsia" w:hAnsi="Cambria Math"/>
          </w:rPr>
          <m:t>V</m:t>
        </m:r>
      </m:oMath>
      <w:r w:rsidR="00C976E9">
        <w:rPr>
          <w:rFonts w:ascii="Times" w:eastAsiaTheme="minorEastAsia" w:hAnsi="Times"/>
        </w:rPr>
        <w:t xml:space="preserve"> </w:t>
      </w:r>
      <w:r>
        <w:rPr>
          <w:rFonts w:ascii="Times" w:eastAsiaTheme="minorEastAsia" w:hAnsi="Times"/>
        </w:rPr>
        <w:t>are</w:t>
      </w:r>
      <w:r w:rsidR="00C976E9">
        <w:rPr>
          <w:rFonts w:ascii="Times" w:eastAsiaTheme="minorEastAsia" w:hAnsi="Times"/>
        </w:rPr>
        <w:t xml:space="preserve"> the eigenvectors </w:t>
      </w:r>
      <w:r w:rsidR="00C976E9">
        <w:rPr>
          <w:rFonts w:ascii="Times" w:eastAsiaTheme="minorEastAsia" w:hAnsi="Times"/>
          <w:bCs/>
        </w:rPr>
        <w:t>and</w:t>
      </w:r>
      <w:r>
        <w:rPr>
          <w:rFonts w:ascii="Times" w:eastAsiaTheme="minorEastAsia" w:hAnsi="Times"/>
          <w:bCs/>
        </w:rPr>
        <w:t xml:space="preserve"> the diagonal of</w:t>
      </w:r>
      <w:r w:rsidR="00C976E9">
        <w:rPr>
          <w:rFonts w:ascii="Times" w:eastAsiaTheme="minorEastAsia" w:hAnsi="Times"/>
          <w:bCs/>
        </w:rPr>
        <w:t xml:space="preserve"> </w:t>
      </w:r>
      <m:oMath>
        <m:r>
          <m:rPr>
            <m:sty m:val="b"/>
          </m:rPr>
          <w:rPr>
            <w:rFonts w:ascii="Cambria Math" w:eastAsiaTheme="minorEastAsia" w:hAnsi="Cambria Math"/>
          </w:rPr>
          <m:t>Λ</m:t>
        </m:r>
      </m:oMath>
      <w:r w:rsidR="00C976E9">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5FCA6F1C" w:rsidR="001B4A42" w:rsidRPr="00E0325C" w:rsidRDefault="00B746C6"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#(3)</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r>
                <w:rPr>
                  <w:rFonts w:ascii="Cambria Math" w:hAnsi="Cambria Math"/>
                </w:rPr>
                <m:t>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(4)</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56EACB9B" w14:textId="08270440" w:rsidR="008E2D46" w:rsidRPr="0062723A" w:rsidRDefault="00FD0A57" w:rsidP="00B11F0C">
      <w:pPr>
        <w:rPr>
          <w:rFonts w:ascii="Times" w:hAnsi="Times"/>
        </w:rPr>
      </w:pPr>
      <w:r>
        <w:rPr>
          <w:rFonts w:ascii="Times" w:hAnsi="Times"/>
        </w:rPr>
        <w:lastRenderedPageBreak/>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p>
    <w:p w14:paraId="14C5B8DC" w14:textId="35B3B19D" w:rsidR="00B11F0C" w:rsidRPr="00E63085" w:rsidRDefault="00B11F0C"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015834E3" w:rsidR="00E63085" w:rsidRDefault="00E63085" w:rsidP="00E63085">
      <w:pPr>
        <w:rPr>
          <w:rFonts w:ascii="Times" w:hAnsi="Times"/>
        </w:rPr>
      </w:pPr>
      <w:r>
        <w:rPr>
          <w:rFonts w:ascii="Times" w:hAnsi="Times"/>
        </w:rPr>
        <w:t xml:space="preserve">We optimize emissions in </w:t>
      </w:r>
      <w:r w:rsidRPr="004040FD">
        <w:rPr>
          <w:rFonts w:ascii="Times" w:hAnsi="Times"/>
        </w:rPr>
        <w:t xml:space="preserve">23,691 grid cells at 0.25° </w:t>
      </w:r>
      <w:r w:rsidR="00521D0D">
        <w:rPr>
          <w:rFonts w:ascii="Cambria Math" w:hAnsi="Cambria Math"/>
        </w:rPr>
        <w:t>⨉</w:t>
      </w:r>
      <w:r w:rsidRPr="004040FD">
        <w:rPr>
          <w:rFonts w:ascii="Times" w:hAnsi="Times"/>
        </w:rPr>
        <w:t xml:space="preserve"> 0.3125° resolution over</w:t>
      </w:r>
      <w:r>
        <w:rPr>
          <w:rFonts w:ascii="Times" w:hAnsi="Times"/>
        </w:rPr>
        <w:t xml:space="preserve"> </w:t>
      </w:r>
      <w:r w:rsidRPr="004040FD">
        <w:rPr>
          <w:rFonts w:ascii="Times" w:hAnsi="Times"/>
        </w:rPr>
        <w:t>North America</w:t>
      </w:r>
      <w:r>
        <w:rPr>
          <w:rFonts w:ascii="Times" w:hAnsi="Times"/>
        </w:rPr>
        <w:t>, including all grid cells containing land or anthropogenic methane emissions larger than 0.1 Mg km</w:t>
      </w:r>
      <w:r>
        <w:rPr>
          <w:rFonts w:ascii="Times" w:hAnsi="Times"/>
          <w:vertAlign w:val="superscript"/>
        </w:rPr>
        <w:t>-2</w:t>
      </w:r>
      <w:r>
        <w:rPr>
          <w:rFonts w:ascii="Times" w:hAnsi="Times"/>
        </w:rPr>
        <w:t xml:space="preserve"> a</w:t>
      </w:r>
      <w:r>
        <w:rPr>
          <w:rFonts w:ascii="Times" w:hAnsi="Times"/>
          <w:vertAlign w:val="superscript"/>
        </w:rPr>
        <w:t>-1</w:t>
      </w:r>
      <w:r>
        <w:rPr>
          <w:rFonts w:ascii="Times" w:hAnsi="Times"/>
        </w:rPr>
        <w:t xml:space="preserve">, representing over 99% of methane emissions in North America. 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10E209B7"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3CBF805A" w:rsidR="00F603F1" w:rsidRDefault="00E63085">
      <w:pPr>
        <w:rPr>
          <w:rFonts w:ascii="Times" w:hAnsi="Times"/>
        </w:rPr>
      </w:pPr>
      <w:r>
        <w:rPr>
          <w:rFonts w:ascii="Times" w:hAnsi="Times"/>
        </w:rPr>
        <w:t xml:space="preserve">Wetlands are the dominant natural source of methane emissions. We use the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733119">
        <w:rPr>
          <w:rFonts w:ascii="Times" w:hAnsi="Times"/>
        </w:rPr>
        <w:t xml:space="preserve">We find that two of the ensemble members produce large methane emissions </w:t>
      </w:r>
      <w:r w:rsidR="0019599B">
        <w:rPr>
          <w:rFonts w:ascii="Times" w:hAnsi="Times"/>
        </w:rPr>
        <w:t xml:space="preserve">inconsistent with previous inversions of GOSAT data </w:t>
      </w:r>
      <w:r w:rsidR="00733119">
        <w:rPr>
          <w:rFonts w:ascii="Times" w:hAnsi="Times"/>
        </w:rPr>
        <w:t xml:space="preserve">in the high northern and southern latitudes in summer and fall (Lu et al. 202?). </w:t>
      </w:r>
      <w:r w:rsidR="0019599B">
        <w:rPr>
          <w:rFonts w:ascii="Times" w:hAnsi="Times"/>
        </w:rPr>
        <w:t>We</w:t>
      </w:r>
      <w:r w:rsidR="007038D6">
        <w:rPr>
          <w:rFonts w:ascii="Times" w:hAnsi="Times"/>
        </w:rPr>
        <w:t xml:space="preserve"> conduct </w:t>
      </w:r>
      <w:r w:rsidR="00545BFE">
        <w:rPr>
          <w:rFonts w:ascii="Times" w:hAnsi="Times"/>
        </w:rPr>
        <w:t xml:space="preserve">a </w:t>
      </w:r>
      <w:r w:rsidR="007038D6">
        <w:rPr>
          <w:rFonts w:ascii="Times" w:hAnsi="Times"/>
        </w:rPr>
        <w:t xml:space="preserve">sensitivity test </w:t>
      </w:r>
      <w:r w:rsidR="00545BFE">
        <w:rPr>
          <w:rFonts w:ascii="Times" w:hAnsi="Times"/>
        </w:rPr>
        <w:t>that</w:t>
      </w:r>
      <w:r w:rsidR="007038D6">
        <w:rPr>
          <w:rFonts w:ascii="Times" w:hAnsi="Times"/>
        </w:rPr>
        <w:t xml:space="preserve"> </w:t>
      </w:r>
      <w:r w:rsidR="0019599B">
        <w:rPr>
          <w:rFonts w:ascii="Times" w:hAnsi="Times"/>
        </w:rPr>
        <w:t>eliminate</w:t>
      </w:r>
      <w:r w:rsidR="00545BFE">
        <w:rPr>
          <w:rFonts w:ascii="Times" w:hAnsi="Times"/>
        </w:rPr>
        <w:t>s</w:t>
      </w:r>
      <w:r w:rsidR="0019599B">
        <w:rPr>
          <w:rFonts w:ascii="Times" w:hAnsi="Times"/>
        </w:rPr>
        <w:t xml:space="preserve"> those ensemble members</w:t>
      </w:r>
      <w:r w:rsidR="00545BFE">
        <w:rPr>
          <w:rFonts w:ascii="Times" w:hAnsi="Times"/>
        </w:rPr>
        <w:t>. We also test the effect of d</w:t>
      </w:r>
      <w:r w:rsidR="0019599B">
        <w:rPr>
          <w:rFonts w:ascii="Times" w:hAnsi="Times"/>
        </w:rPr>
        <w:t>ecreas</w:t>
      </w:r>
      <w:r w:rsidR="00545BFE">
        <w:rPr>
          <w:rFonts w:ascii="Times" w:hAnsi="Times"/>
        </w:rPr>
        <w:t>ing</w:t>
      </w:r>
      <w:r w:rsidR="0019599B">
        <w:rPr>
          <w:rFonts w:ascii="Times" w:hAnsi="Times"/>
        </w:rPr>
        <w:t xml:space="preserve"> total wetland emissions by a </w:t>
      </w:r>
      <w:r w:rsidR="00AD706D">
        <w:rPr>
          <w:rFonts w:ascii="Times" w:hAnsi="Times"/>
        </w:rPr>
        <w:t xml:space="preserve">factor of </w:t>
      </w:r>
      <w:r w:rsidR="0019599B">
        <w:rPr>
          <w:rFonts w:ascii="Times" w:hAnsi="Times"/>
        </w:rPr>
        <w:t>4.04</w:t>
      </w:r>
      <w:r w:rsidR="00AD706D">
        <w:rPr>
          <w:rFonts w:ascii="Times" w:hAnsi="Times"/>
        </w:rPr>
        <w:t>, which</w:t>
      </w:r>
      <w:r w:rsidR="0019599B">
        <w:rPr>
          <w:rFonts w:ascii="Times" w:hAnsi="Times"/>
        </w:rPr>
        <w:t xml:space="preserve"> is derived from a comparison of the ensemble to FLUXNET CH4, a network of eddy covariance tower data (cite).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39B834FB"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r w:rsidR="00914C58">
        <w:rPr>
          <w:rFonts w:ascii="Times" w:hAnsi="Times"/>
        </w:rPr>
        <w:t>50</w:t>
      </w:r>
      <w:r>
        <w:rPr>
          <w:rFonts w:ascii="Times" w:hAnsi="Times"/>
        </w:rPr>
        <w:t>%</w:t>
      </w:r>
      <w:r w:rsidR="00AD706D">
        <w:rPr>
          <w:rFonts w:ascii="Times" w:hAnsi="Times"/>
        </w:rPr>
        <w:t xml:space="preserve">. </w:t>
      </w:r>
      <w:r w:rsidR="003C3729">
        <w:rPr>
          <w:rFonts w:ascii="Times" w:hAnsi="Times"/>
        </w:rPr>
        <w:t>We increase errors over p</w:t>
      </w:r>
      <w:r w:rsidR="00AD706D">
        <w:rPr>
          <w:rFonts w:ascii="Times" w:hAnsi="Times"/>
        </w:rPr>
        <w:t>revious inversions</w:t>
      </w:r>
      <w:r w:rsidR="004021AF">
        <w:rPr>
          <w:rFonts w:ascii="Times" w:hAnsi="Times"/>
        </w:rPr>
        <w:t xml:space="preserve"> that </w:t>
      </w:r>
      <w:r w:rsidR="003C3729">
        <w:rPr>
          <w:rFonts w:ascii="Times" w:hAnsi="Times"/>
        </w:rPr>
        <w:t>used 50% relative prior errors to optimize</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A60146">
        <w:rPr>
          <w:rFonts w:ascii="Times" w:hAnsi="Times"/>
        </w:rPr>
        <w:t xml:space="preserve">In the absence of better information, we assume there is no error covariance. </w:t>
      </w:r>
      <w:r w:rsidR="00C200EB">
        <w:rPr>
          <w:rFonts w:ascii="Times" w:hAnsi="Times"/>
        </w:rPr>
        <w:t>We conduct sensitivity test</w:t>
      </w:r>
      <w:r w:rsidR="00A60146">
        <w:rPr>
          <w:rFonts w:ascii="Times" w:hAnsi="Times"/>
        </w:rPr>
        <w:t>s with variable uniform relative errors and</w:t>
      </w:r>
      <w:r w:rsidR="00C200EB">
        <w:rPr>
          <w:rFonts w:ascii="Times" w:hAnsi="Times"/>
        </w:rPr>
        <w:t xml:space="preserve"> using </w:t>
      </w:r>
      <w:proofErr w:type="spellStart"/>
      <w:r w:rsidR="00C200EB">
        <w:rPr>
          <w:rFonts w:ascii="Times" w:hAnsi="Times"/>
        </w:rPr>
        <w:t>sectorally</w:t>
      </w:r>
      <w:proofErr w:type="spellEnd"/>
      <w:r w:rsidR="00C200EB">
        <w:rPr>
          <w:rFonts w:ascii="Times" w:hAnsi="Times"/>
        </w:rPr>
        <w:t xml:space="preserve"> variable errors from </w:t>
      </w:r>
      <w:r w:rsidR="0033785E">
        <w:rPr>
          <w:rFonts w:ascii="Times" w:hAnsi="Times"/>
        </w:rPr>
        <w:t>the EPA GHGI.</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lastRenderedPageBreak/>
        <w:t xml:space="preserve">2.3 </w:t>
      </w:r>
      <w:r w:rsidR="00112218" w:rsidRPr="00B11F0C">
        <w:rPr>
          <w:rFonts w:ascii="Times" w:hAnsi="Times"/>
          <w:b/>
          <w:bCs/>
        </w:rPr>
        <w:t>Forward model</w:t>
      </w:r>
    </w:p>
    <w:p w14:paraId="3A2F95C5" w14:textId="2C152D51"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0.25° x 0.3125°</w:t>
      </w:r>
      <w:r>
        <w:rPr>
          <w:rFonts w:ascii="Times" w:hAnsi="Times"/>
        </w:rPr>
        <w:t xml:space="preserve"> resolution over North America as the forward model for the inversion. Earlier versions of the methane simulation were described by Wecht et al. (2014) and Turner et al. (2015). The 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02FDDB6F"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the Atmospheric Carbon and Transport – America (ACT-America) campaign, and the NOAA 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50567B98"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xx% retrieval rate over North America for 2019. </w:t>
      </w:r>
      <w:r w:rsidR="001765E5">
        <w:rPr>
          <w:rFonts w:ascii="Times" w:hAnsi="Times"/>
        </w:rPr>
        <w:t xml:space="preserve">We use the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79332049"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 (section 2.2)</w:t>
      </w:r>
      <w:r w:rsidR="00662572">
        <w:rPr>
          <w:rFonts w:ascii="Times" w:hAnsi="Times"/>
        </w:rPr>
        <w:t>.</w:t>
      </w:r>
    </w:p>
    <w:p w14:paraId="3A003372" w14:textId="34C26A91" w:rsidR="00E8511B" w:rsidRDefault="00E8511B">
      <w:pPr>
        <w:rPr>
          <w:rFonts w:ascii="Times" w:hAnsi="Times"/>
        </w:rPr>
      </w:pPr>
    </w:p>
    <w:p w14:paraId="3912C240" w14:textId="2D22C2E7"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x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the standard deviation of the 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xml:space="preserve">. The </w:t>
      </w:r>
      <w:r w:rsidR="008E0E09">
        <w:rPr>
          <w:rFonts w:ascii="Times" w:hAnsi="Times"/>
        </w:rPr>
        <w:lastRenderedPageBreak/>
        <w:t>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r w:rsidR="003569D5">
        <w:rPr>
          <w:rFonts w:ascii="Times" w:hAnsi="Times"/>
        </w:rPr>
        <w:t xml:space="preserve">The resulting </w:t>
      </w:r>
      <w:r w:rsidR="005D1672" w:rsidRPr="00F87536">
        <w:rPr>
          <w:rFonts w:ascii="Times" w:hAnsi="Times"/>
        </w:rPr>
        <w:t>2919358</w:t>
      </w:r>
      <w:r w:rsidR="005D1672">
        <w:rPr>
          <w:rFonts w:ascii="Times" w:hAnsi="Times"/>
        </w:rPr>
        <w:t xml:space="preserve"> observations</w:t>
      </w:r>
      <w:r w:rsidR="003569D5">
        <w:rPr>
          <w:rFonts w:ascii="Times" w:hAnsi="Times"/>
        </w:rPr>
        <w:t xml:space="preserve"> preserve </w:t>
      </w:r>
      <w:r w:rsidR="00662572">
        <w:rPr>
          <w:rFonts w:ascii="Times" w:hAnsi="Times"/>
        </w:rPr>
        <w:t>69</w:t>
      </w:r>
      <w:r w:rsidR="003569D5">
        <w:rPr>
          <w:rFonts w:ascii="Times" w:hAnsi="Times"/>
        </w:rPr>
        <w:t>% of the original high-quality data</w:t>
      </w:r>
      <w:r w:rsidR="001568F5">
        <w:rPr>
          <w:rFonts w:ascii="Times" w:hAnsi="Times"/>
        </w:rPr>
        <w:t xml:space="preserve"> and decreases seasonal</w:t>
      </w:r>
      <w:r w:rsidR="00521D0D">
        <w:rPr>
          <w:rFonts w:ascii="Times" w:hAnsi="Times"/>
        </w:rPr>
        <w:t xml:space="preserve"> regional </w:t>
      </w:r>
      <w:r w:rsidR="001568F5">
        <w:rPr>
          <w:rFonts w:ascii="Times" w:hAnsi="Times"/>
        </w:rPr>
        <w:t xml:space="preserve">biases </w:t>
      </w:r>
      <w:r w:rsidR="00521D0D">
        <w:rPr>
          <w:rFonts w:ascii="Times" w:hAnsi="Times"/>
        </w:rPr>
        <w:t>(the standard deviation of the 2</w:t>
      </w:r>
      <w:r w:rsidR="00521D0D">
        <w:rPr>
          <w:rFonts w:ascii="d" w:hAnsi="d"/>
        </w:rPr>
        <w:t xml:space="preserve">° </w:t>
      </w:r>
      <w:r w:rsidR="00521D0D">
        <w:rPr>
          <w:rFonts w:ascii="Cambria Math" w:hAnsi="Cambria Math"/>
        </w:rPr>
        <w:t>⨉</w:t>
      </w:r>
      <w:r w:rsidR="00521D0D">
        <w:rPr>
          <w:rFonts w:ascii="Times" w:hAnsi="Times"/>
        </w:rPr>
        <w:t xml:space="preserve"> 2</w:t>
      </w:r>
      <w:r w:rsidR="00521D0D">
        <w:rPr>
          <w:rFonts w:ascii="d" w:hAnsi="d"/>
        </w:rPr>
        <w:t xml:space="preserve">° </w:t>
      </w:r>
      <w:r w:rsidR="00521D0D">
        <w:rPr>
          <w:rFonts w:ascii="Times" w:hAnsi="Times"/>
        </w:rPr>
        <w:t xml:space="preserve">grid cell-to-grid cell bias) </w:t>
      </w:r>
      <w:r w:rsidR="001568F5">
        <w:rPr>
          <w:rFonts w:ascii="Times" w:hAnsi="Times"/>
        </w:rPr>
        <w:t xml:space="preserve">by between </w:t>
      </w:r>
      <w:r w:rsidR="00B158AB">
        <w:rPr>
          <w:rFonts w:ascii="Times" w:hAnsi="Times"/>
        </w:rPr>
        <w:t xml:space="preserve">7% and 21%. In all seasons, the regional biases are less than the standard deviation of both the TROPOMI and GOSAT data. The mean TROPOMI – GOSAT biases are </w:t>
      </w:r>
      <w:r w:rsidR="00FA3FAA">
        <w:rPr>
          <w:rFonts w:ascii="Times" w:hAnsi="Times"/>
        </w:rPr>
        <w:t xml:space="preserve">also </w:t>
      </w:r>
      <w:r w:rsidR="00B158AB">
        <w:rPr>
          <w:rFonts w:ascii="Times" w:hAnsi="Times"/>
        </w:rPr>
        <w:t xml:space="preserve">consistent with the -10.3 ± 16.8 ppb bias found by </w:t>
      </w:r>
      <w:proofErr w:type="spellStart"/>
      <w:r w:rsidR="00B158AB">
        <w:rPr>
          <w:rFonts w:ascii="Times" w:hAnsi="Times"/>
        </w:rPr>
        <w:t>Lorente</w:t>
      </w:r>
      <w:proofErr w:type="spellEnd"/>
      <w:r w:rsidR="00B158AB">
        <w:rPr>
          <w:rFonts w:ascii="Times" w:hAnsi="Times"/>
        </w:rPr>
        <w:t xml:space="preserve"> et al. (2021).</w:t>
      </w:r>
      <w:r w:rsidR="00521D0D">
        <w:rPr>
          <w:rFonts w:ascii="Times" w:hAnsi="Times"/>
        </w:rPr>
        <w:t xml:space="preserve"> We find good agreement between the resulting prior GEOS-Chem output and the observations (R = 0.77).</w:t>
      </w:r>
    </w:p>
    <w:p w14:paraId="4B5A3C6D" w14:textId="5FCD0939" w:rsidR="00772A9A" w:rsidRDefault="00772A9A" w:rsidP="00E334F2">
      <w:pPr>
        <w:rPr>
          <w:rFonts w:ascii="Times" w:eastAsiaTheme="minorEastAsia" w:hAnsi="Times"/>
        </w:rPr>
      </w:pPr>
    </w:p>
    <w:p w14:paraId="620D7B8B" w14:textId="5F27CF25" w:rsidR="00A3776F" w:rsidRDefault="00CA7EA4" w:rsidP="00E334F2">
      <w:pPr>
        <w:rPr>
          <w:rFonts w:ascii="Times" w:hAnsi="Times"/>
        </w:rPr>
      </w:pPr>
      <w:r>
        <w:rPr>
          <w:rFonts w:ascii="Times" w:hAnsi="Times"/>
        </w:rPr>
        <w:t xml:space="preserve">Figure </w:t>
      </w:r>
      <w:r w:rsidR="00CF42A3">
        <w:rPr>
          <w:rFonts w:ascii="Times" w:hAnsi="Times"/>
        </w:rPr>
        <w:t>2</w:t>
      </w:r>
      <w:r>
        <w:rPr>
          <w:rFonts w:ascii="Times" w:hAnsi="Times"/>
        </w:rPr>
        <w:t xml:space="preserve"> </w:t>
      </w:r>
      <w:r w:rsidR="009E0287">
        <w:rPr>
          <w:rFonts w:ascii="Times" w:hAnsi="Times"/>
        </w:rPr>
        <w:t xml:space="preserve">(top row) </w:t>
      </w:r>
      <w:r>
        <w:rPr>
          <w:rFonts w:ascii="Times" w:hAnsi="Times"/>
        </w:rPr>
        <w:t xml:space="preserve">shows </w:t>
      </w:r>
      <w:r w:rsidR="005D1672">
        <w:rPr>
          <w:rFonts w:ascii="Times" w:hAnsi="Times"/>
        </w:rPr>
        <w:t xml:space="preserve">the final observations, </w:t>
      </w:r>
      <w:proofErr w:type="spellStart"/>
      <w:r w:rsidR="005D1672">
        <w:rPr>
          <w:rFonts w:ascii="Times" w:hAnsi="Times"/>
        </w:rPr>
        <w:t>regridded</w:t>
      </w:r>
      <w:proofErr w:type="spellEnd"/>
      <w:r w:rsidR="005D1672">
        <w:rPr>
          <w:rFonts w:ascii="Times" w:hAnsi="Times"/>
        </w:rPr>
        <w:t xml:space="preserve"> onto the GEOS-Chem grid and averaged seasonally, that constitute our observation vector </w:t>
      </w:r>
      <w:r w:rsidR="005D1672">
        <w:rPr>
          <w:rFonts w:ascii="Times" w:hAnsi="Times"/>
          <w:b/>
          <w:bCs/>
        </w:rPr>
        <w:t>y</w:t>
      </w:r>
      <w:r w:rsidR="005D1672">
        <w:rPr>
          <w:rFonts w:ascii="Times" w:hAnsi="Times"/>
        </w:rPr>
        <w:t>.</w:t>
      </w:r>
      <w:r w:rsidR="00772A9A">
        <w:rPr>
          <w:rFonts w:ascii="Times" w:hAnsi="Times"/>
        </w:rPr>
        <w:t xml:space="preserve"> </w:t>
      </w:r>
      <w:r w:rsidR="00BB64E5">
        <w:rPr>
          <w:rFonts w:ascii="Times" w:hAnsi="Times"/>
        </w:rPr>
        <w:t>The observation</w:t>
      </w:r>
      <w:r w:rsidR="009E0287">
        <w:rPr>
          <w:rFonts w:ascii="Times" w:hAnsi="Times"/>
        </w:rPr>
        <w:t>al density (</w:t>
      </w:r>
      <w:r w:rsidR="004F7D1B">
        <w:rPr>
          <w:rFonts w:ascii="Times" w:hAnsi="Times"/>
        </w:rPr>
        <w:t>bottom</w:t>
      </w:r>
      <w:r w:rsidR="009E0287">
        <w:rPr>
          <w:rFonts w:ascii="Times" w:hAnsi="Times"/>
        </w:rPr>
        <w:t xml:space="preserve"> row)</w:t>
      </w:r>
      <w:r w:rsidR="00BB64E5">
        <w:rPr>
          <w:rFonts w:ascii="Times" w:hAnsi="Times"/>
        </w:rPr>
        <w:t xml:space="preserve"> </w:t>
      </w:r>
      <w:r w:rsidR="009E0287">
        <w:rPr>
          <w:rFonts w:ascii="Times" w:hAnsi="Times"/>
        </w:rPr>
        <w:t>illustrates the</w:t>
      </w:r>
      <w:r w:rsidR="00BB64E5">
        <w:rPr>
          <w:rFonts w:ascii="Times" w:hAnsi="Times"/>
        </w:rPr>
        <w:t xml:space="preserve"> heterogenous coverage</w:t>
      </w:r>
      <w:r w:rsidR="009E0287">
        <w:rPr>
          <w:rFonts w:ascii="Times" w:hAnsi="Times"/>
        </w:rPr>
        <w:t xml:space="preserve"> of the data</w:t>
      </w:r>
      <w:r w:rsidR="005D1672">
        <w:rPr>
          <w:rFonts w:ascii="Times" w:hAnsi="Times"/>
        </w:rPr>
        <w:t>, which</w:t>
      </w:r>
      <w:r w:rsidR="00BB64E5">
        <w:rPr>
          <w:rFonts w:ascii="Times" w:hAnsi="Times"/>
        </w:rPr>
        <w:t xml:space="preserve"> is the basis for the reduced-rank approach we take to construct the Jacobian matrix for the inversion (Section 2.</w:t>
      </w:r>
      <w:r w:rsidR="009E0287">
        <w:rPr>
          <w:rFonts w:ascii="Times" w:hAnsi="Times"/>
        </w:rPr>
        <w:t>6</w:t>
      </w:r>
      <w:r w:rsidR="00BB64E5">
        <w:rPr>
          <w:rFonts w:ascii="Times" w:hAnsi="Times"/>
        </w:rPr>
        <w:t>).</w:t>
      </w:r>
      <w:r w:rsidR="009E0287">
        <w:rPr>
          <w:rFonts w:ascii="Times" w:hAnsi="Times"/>
        </w:rPr>
        <w:t xml:space="preserve"> While filtering improves the performance of the TROPOMI data relative to GOSAT and to the prior GEOS-Chem simulation, we still find large seasonal gradients in the prior GEOS-Chem – TROPOMI difference (e.g., in spring over Northern Wisconsin). </w:t>
      </w:r>
      <w:r w:rsidR="004F7D1B">
        <w:rPr>
          <w:rFonts w:ascii="Times" w:hAnsi="Times"/>
        </w:rPr>
        <w:t>The</w:t>
      </w:r>
      <w:r w:rsidR="009E0287">
        <w:rPr>
          <w:rFonts w:ascii="Times" w:hAnsi="Times"/>
        </w:rPr>
        <w:t xml:space="preserve"> steepness of the gradient suggests the possibility of residual systematic biases in the observations. We account for these biases in our </w:t>
      </w:r>
      <w:r w:rsidR="004F7D1B">
        <w:rPr>
          <w:rFonts w:ascii="Times" w:hAnsi="Times"/>
        </w:rPr>
        <w:t xml:space="preserve">observing system </w:t>
      </w:r>
      <w:r w:rsidR="009E0287">
        <w:rPr>
          <w:rFonts w:ascii="Times" w:hAnsi="Times"/>
        </w:rPr>
        <w:t>error</w:t>
      </w:r>
      <w:r w:rsidR="004F7D1B">
        <w:rPr>
          <w:rFonts w:ascii="Times" w:hAnsi="Times"/>
        </w:rPr>
        <w:t>s</w:t>
      </w:r>
      <w:r w:rsidR="009E0287">
        <w:rPr>
          <w:rFonts w:ascii="Times" w:hAnsi="Times"/>
        </w:rPr>
        <w:t xml:space="preserve"> (section 2.5).</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23372158" w14:textId="6CA3E408" w:rsidR="007A1632"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 xml:space="preserve">is caused by errors in emissions that will be corrected by the inversion. The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give an estimate of the observational error</w:t>
      </w:r>
      <w:r w:rsidR="00715764">
        <w:rPr>
          <w:rFonts w:ascii="Times" w:eastAsiaTheme="minorEastAsia" w:hAnsi="Times"/>
          <w:bCs/>
          <w:iCs/>
        </w:rPr>
        <w:t>s</w:t>
      </w:r>
      <w:r w:rsidR="005258BF">
        <w:rPr>
          <w:rFonts w:ascii="Times" w:eastAsiaTheme="minorEastAsia" w:hAnsi="Times"/>
          <w:bCs/>
          <w:iCs/>
        </w:rPr>
        <w:t xml:space="preserve">.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 </w:t>
      </w:r>
      <w:r w:rsidR="00FF34FB">
        <w:rPr>
          <w:rFonts w:ascii="Calibri" w:hAnsi="Calibri" w:cs="Calibri"/>
          <w:sz w:val="22"/>
          <w:szCs w:val="22"/>
        </w:rPr>
        <w:t xml:space="preserve">820863 </w:t>
      </w:r>
      <w:r w:rsidR="007A1632">
        <w:rPr>
          <w:rFonts w:ascii="Times" w:eastAsiaTheme="minorEastAsia" w:hAnsi="Times"/>
          <w:bCs/>
          <w:iCs/>
        </w:rPr>
        <w:t xml:space="preserve">We find a mean observational error standard deviation of </w:t>
      </w:r>
      <w:r w:rsidR="00FF34FB">
        <w:rPr>
          <w:rFonts w:ascii="Times" w:eastAsiaTheme="minorEastAsia" w:hAnsi="Times"/>
          <w:bCs/>
          <w:iCs/>
        </w:rPr>
        <w:t>11.64</w:t>
      </w:r>
      <w:r w:rsidR="007A1632">
        <w:rPr>
          <w:rFonts w:ascii="Times" w:eastAsiaTheme="minorEastAsia" w:hAnsi="Times"/>
          <w:bCs/>
          <w:iCs/>
        </w:rPr>
        <w:t xml:space="preserve"> ppb</w:t>
      </w:r>
      <w:r w:rsidR="00664282">
        <w:rPr>
          <w:rFonts w:ascii="Times" w:eastAsiaTheme="minorEastAsia" w:hAnsi="Times"/>
          <w:bCs/>
          <w:iCs/>
        </w:rPr>
        <w:t>. …</w:t>
      </w:r>
      <w:r w:rsidR="007A1632">
        <w:rPr>
          <w:rFonts w:ascii="Times" w:eastAsiaTheme="minorEastAsia" w:hAnsi="Times"/>
          <w:bCs/>
          <w:iCs/>
        </w:rPr>
        <w:t xml:space="preserve"> that does not vary significantly with albedo, season, or latitude</w:t>
      </w:r>
      <w:r w:rsidR="00664282">
        <w:rPr>
          <w:rFonts w:ascii="Times" w:eastAsiaTheme="minorEastAsia" w:hAnsi="Times"/>
          <w:bCs/>
          <w:iCs/>
        </w:rPr>
        <w:t>…</w:t>
      </w:r>
      <w:r w:rsidR="007A1632">
        <w:rPr>
          <w:rFonts w:ascii="Times" w:eastAsiaTheme="minorEastAsia" w:hAnsi="Times"/>
          <w:bCs/>
          <w:iCs/>
        </w:rPr>
        <w:t xml:space="preserve">. We take the corresponding 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xml:space="preserve">. Off-diagonal terms are assumed zero in the absence of better information. </w:t>
      </w:r>
    </w:p>
    <w:p w14:paraId="3748563E" w14:textId="77777777" w:rsidR="00FA3FAA" w:rsidRDefault="00FA3FAA" w:rsidP="00E334F2">
      <w:pPr>
        <w:rPr>
          <w:rFonts w:ascii="Times" w:eastAsiaTheme="minorEastAsia" w:hAnsi="Times"/>
          <w:bCs/>
          <w:iCs/>
        </w:rPr>
      </w:pPr>
    </w:p>
    <w:p w14:paraId="48F08CA1" w14:textId="10E6F343" w:rsidR="007A1632" w:rsidRDefault="007A1632" w:rsidP="00E334F2">
      <w:pPr>
        <w:rPr>
          <w:rFonts w:ascii="Times" w:eastAsiaTheme="minorEastAsia" w:hAnsi="Times"/>
          <w:bCs/>
          <w:iCs/>
        </w:rPr>
      </w:pPr>
    </w:p>
    <w:p w14:paraId="0C7D0C55" w14:textId="77777777" w:rsidR="0093788E" w:rsidRDefault="0093788E" w:rsidP="0093788E">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this lack of covariance</w:t>
      </w:r>
      <w:r>
        <w:rPr>
          <w:rFonts w:ascii="Times" w:eastAsiaTheme="minorEastAsia" w:hAnsi="Times"/>
          <w:bCs/>
          <w:iCs/>
        </w:rPr>
        <w:t xml:space="preserve">. </w:t>
      </w:r>
      <w:proofErr w:type="spellStart"/>
      <w:r>
        <w:rPr>
          <w:rFonts w:ascii="Times" w:eastAsiaTheme="minorEastAsia" w:hAnsi="Times"/>
          <w:bCs/>
          <w:iCs/>
        </w:rPr>
        <w:t>Chevallier</w:t>
      </w:r>
      <w:proofErr w:type="spellEnd"/>
      <w:r>
        <w:rPr>
          <w:rFonts w:ascii="Times" w:eastAsiaTheme="minorEastAsia" w:hAnsi="Times"/>
          <w:bCs/>
          <w:iCs/>
        </w:rPr>
        <w:t xml:space="preserve"> et al. (2007) showed that error inflation could account for unquantified covariance in the observing system error covariance matrix. We draw on the parallel use of the prior and observing system error covariance </w:t>
      </w:r>
      <w:proofErr w:type="gramStart"/>
      <w:r>
        <w:rPr>
          <w:rFonts w:ascii="Times" w:eastAsiaTheme="minorEastAsia" w:hAnsi="Times"/>
          <w:bCs/>
          <w:iCs/>
        </w:rPr>
        <w:t xml:space="preserve">matrices  </w:t>
      </w:r>
      <w:r w:rsidRPr="00CC7F7C">
        <w:rPr>
          <w:rFonts w:ascii="Times" w:eastAsiaTheme="minorEastAsia" w:hAnsi="Times"/>
          <w:bCs/>
          <w:i/>
        </w:rPr>
        <w:t>[</w:t>
      </w:r>
      <w:proofErr w:type="gramEnd"/>
      <w:r w:rsidRPr="00CC7F7C">
        <w:rPr>
          <w:rFonts w:ascii="Times" w:eastAsiaTheme="minorEastAsia" w:hAnsi="Times"/>
          <w:bCs/>
          <w:i/>
        </w:rPr>
        <w:t>Isn’t there a source that says that scaling up the diagonal produces equivalent results to including off-diagonal elements?]</w:t>
      </w:r>
      <w:r>
        <w:rPr>
          <w:rFonts w:ascii="Times" w:eastAsiaTheme="minorEastAsia" w:hAnsi="Times"/>
          <w:bCs/>
          <w:iCs/>
        </w:rPr>
        <w:t xml:space="preserve"> ….</w:t>
      </w:r>
    </w:p>
    <w:p w14:paraId="070F10E2" w14:textId="680762C6" w:rsidR="0093788E" w:rsidRDefault="0093788E" w:rsidP="00E334F2">
      <w:pPr>
        <w:rPr>
          <w:rFonts w:ascii="Times" w:eastAsiaTheme="minorEastAsia" w:hAnsi="Times"/>
          <w:bCs/>
          <w:iCs/>
        </w:rPr>
      </w:pPr>
    </w:p>
    <w:p w14:paraId="7E653A5D" w14:textId="77777777" w:rsidR="0093788E" w:rsidRDefault="0093788E" w:rsidP="00E334F2">
      <w:pPr>
        <w:rPr>
          <w:rFonts w:ascii="Times" w:eastAsiaTheme="minorEastAsia" w:hAnsi="Times"/>
          <w:bCs/>
          <w:iCs/>
        </w:rPr>
      </w:pPr>
    </w:p>
    <w:p w14:paraId="2B9BDF00" w14:textId="5E4A5104" w:rsidR="008D0F19" w:rsidRDefault="007A1632" w:rsidP="00E334F2">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(section 2.1) to account for the lack of covariance structure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ascii="Times" w:eastAsiaTheme="minorEastAsia" w:hAnsi="Times"/>
          <w:bCs/>
          <w:iCs/>
        </w:rPr>
        <w:t xml:space="preserve">. </w:t>
      </w:r>
      <w:r w:rsidRPr="00CC7F7C">
        <w:rPr>
          <w:rFonts w:ascii="Times" w:eastAsiaTheme="minorEastAsia" w:hAnsi="Times"/>
          <w:bCs/>
          <w:i/>
        </w:rPr>
        <w:t>[Isn’t there a source that says that scaling up the diagonal produces equivalent results to including off-diagonal elements?</w:t>
      </w:r>
      <w:r w:rsidR="00CC7F7C" w:rsidRPr="00CC7F7C">
        <w:rPr>
          <w:rFonts w:ascii="Times" w:eastAsiaTheme="minorEastAsia" w:hAnsi="Times"/>
          <w:bCs/>
          <w:i/>
        </w:rPr>
        <w:t>]</w:t>
      </w:r>
      <w:r w:rsidR="00357B8D">
        <w:rPr>
          <w:rFonts w:ascii="Times" w:eastAsiaTheme="minorEastAsia" w:hAnsi="Times"/>
          <w:bCs/>
          <w:iCs/>
        </w:rPr>
        <w:t xml:space="preserve"> ….</w:t>
      </w:r>
    </w:p>
    <w:p w14:paraId="6412EADB" w14:textId="3E062FC2" w:rsidR="00D81B11" w:rsidRDefault="00D81B11" w:rsidP="00E334F2">
      <w:pPr>
        <w:rPr>
          <w:rFonts w:ascii="Times" w:eastAsiaTheme="minorEastAsia" w:hAnsi="Times"/>
          <w:bCs/>
          <w:iCs/>
        </w:rPr>
      </w:pPr>
      <w:proofErr w:type="spellStart"/>
      <w:r>
        <w:rPr>
          <w:rFonts w:ascii="Times" w:eastAsiaTheme="minorEastAsia" w:hAnsi="Times"/>
          <w:bCs/>
          <w:iCs/>
        </w:rPr>
        <w:t>Houweling</w:t>
      </w:r>
      <w:proofErr w:type="spellEnd"/>
      <w:r>
        <w:rPr>
          <w:rFonts w:ascii="Times" w:eastAsiaTheme="minorEastAsia" w:hAnsi="Times"/>
          <w:bCs/>
          <w:iCs/>
        </w:rPr>
        <w:t xml:space="preserve"> et al. (2017):</w:t>
      </w:r>
    </w:p>
    <w:p w14:paraId="63FB5958" w14:textId="7894048A" w:rsidR="00D81B11" w:rsidRPr="00D81B11" w:rsidRDefault="00D81B11" w:rsidP="00D81B11">
      <w:pPr>
        <w:ind w:left="720"/>
      </w:pPr>
      <w:r>
        <w:t>“</w:t>
      </w:r>
      <w:r w:rsidRPr="00D81B11">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t>Usually</w:t>
      </w:r>
      <w:proofErr w:type="gramEnd"/>
      <w:r w:rsidRPr="00D81B11">
        <w:t xml:space="preserve"> the uncertainty of the mean is calculated using a lower bound representing the contribution of purely systematic error. An alternative approach, referred to </w:t>
      </w:r>
      <w:proofErr w:type="gramStart"/>
      <w:r w:rsidRPr="00D81B11">
        <w:t>as ”error</w:t>
      </w:r>
      <w:proofErr w:type="gramEnd"/>
      <w:r w:rsidRPr="00D81B11">
        <w:t xml:space="preserve"> inflation”, is to increase the error of individually assimilated retrievals such that the uncertainty of a mean of surrounding retrievals does not drop below this minimum level (</w:t>
      </w:r>
      <w:proofErr w:type="spellStart"/>
      <w:r w:rsidRPr="00D81B11">
        <w:t>Chevallier</w:t>
      </w:r>
      <w:proofErr w:type="spellEnd"/>
      <w:r w:rsidRPr="00D81B11">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t>Chevallier</w:t>
      </w:r>
      <w:proofErr w:type="spellEnd"/>
      <w:r w:rsidRPr="00D81B11">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t>”</w:t>
      </w:r>
    </w:p>
    <w:p w14:paraId="33668685" w14:textId="6841E595" w:rsidR="00BB64E5" w:rsidRDefault="00BB64E5" w:rsidP="00E334F2">
      <w:pPr>
        <w:rPr>
          <w:rFonts w:ascii="Times" w:eastAsiaTheme="minorEastAsia" w:hAnsi="Times"/>
          <w:b/>
          <w:bCs/>
        </w:rPr>
      </w:pPr>
    </w:p>
    <w:p w14:paraId="43116C3B" w14:textId="4EFFA2E2" w:rsidR="0042686C" w:rsidRPr="0042686C" w:rsidRDefault="0042686C" w:rsidP="00E334F2">
      <w:r>
        <w:t>“Observational error covariances are prescribed as the relative residual standard deviation of the column mismatch between the true-state synthetic observations and the prior simulations over a 2◦ × 2 ◦ moving window (Heald et al., 2004). We impose on the derived values a lower limit of 60 ppb</w:t>
      </w:r>
      <w:proofErr w:type="gramStart"/>
      <w:r>
        <w:t>2 ,</w:t>
      </w:r>
      <w:proofErr w:type="gramEnd"/>
      <w:r>
        <w:t xml:space="preserve"> corresponding to the 0.25 quantile of the overall error distribution. The resulting observing system errors average 9 ppb (range: 8–29 ppb) and mainly reflect instrument noise. The </w:t>
      </w:r>
      <w:proofErr w:type="gramStart"/>
      <w:r>
        <w:t>9 ppb</w:t>
      </w:r>
      <w:proofErr w:type="gramEnd"/>
      <w:r>
        <w:t xml:space="preserve"> estimate is in line with and slightly smaller than observational error estimates for previous methane inversions using data from TROPOMI (e.g., 11 ppb; Zhang et al., 2020) and GOSAT (e.g., 13 ppb; </w:t>
      </w:r>
      <w:proofErr w:type="spellStart"/>
      <w:r>
        <w:t>Maasakkers</w:t>
      </w:r>
      <w:proofErr w:type="spellEnd"/>
      <w:r>
        <w:t xml:space="preserve"> et al., 2019); it is therefore an appropriate representation for our OSSE analyses. Note that any systematic measurement errors (</w:t>
      </w:r>
      <w:proofErr w:type="spellStart"/>
      <w:r>
        <w:t>Lorente</w:t>
      </w:r>
      <w:proofErr w:type="spellEnd"/>
      <w:r>
        <w:t xml:space="preserve"> et al., 2021) are inherently not accounted for in our framework and would need separate correction.” (Yu et al. 2021)</w:t>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385027F3"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 xml:space="preserve">This method updates an initial, low-cost estimate of the </w:t>
      </w:r>
      <w:r w:rsidR="00357B8D">
        <w:rPr>
          <w:rFonts w:ascii="Times" w:hAnsi="Times"/>
        </w:rPr>
        <w:lastRenderedPageBreak/>
        <w:t>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000000"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0F180CC1" w14:textId="4284AA23" w:rsidR="00742DA8" w:rsidRDefault="00742DA8" w:rsidP="00E334F2">
      <w:pPr>
        <w:rPr>
          <w:rFonts w:ascii="Times" w:eastAsiaTheme="minorEastAsia" w:hAnsi="Times"/>
          <w:iC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(equation 4)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EB22B4">
        <w:rPr>
          <w:rFonts w:ascii="Times" w:eastAsiaTheme="minorEastAsia" w:hAnsi="Times"/>
          <w:b/>
          <w:bCs/>
          <w:iCs/>
        </w:rPr>
        <w:t xml:space="preserve"> </w:t>
      </w:r>
      <w:r w:rsidR="00EB22B4">
        <w:rPr>
          <w:rFonts w:ascii="Times" w:eastAsiaTheme="minorEastAsia" w:hAnsi="Times"/>
        </w:rPr>
        <w:t xml:space="preserve">(Nesser et al. 2021). </w:t>
      </w:r>
      <w:r>
        <w:rPr>
          <w:rFonts w:ascii="Times" w:eastAsiaTheme="minorEastAsia" w:hAnsi="Times"/>
          <w:iCs/>
        </w:rPr>
        <w:t>The</w:t>
      </w:r>
      <w:r w:rsidR="002072F5">
        <w:rPr>
          <w:rFonts w:ascii="Times" w:eastAsiaTheme="minorEastAsia" w:hAnsi="Times"/>
          <w:iCs/>
        </w:rPr>
        <w:t xml:space="preserve"> patterns of information content are then </w:t>
      </w:r>
      <w:r w:rsidR="00102AF3">
        <w:rPr>
          <w:rFonts w:ascii="Times" w:eastAsiaTheme="minorEastAsia" w:hAnsi="Times"/>
          <w:iCs/>
        </w:rPr>
        <w:t>given by the eigenvectors of the averaging kernel matrix described by the columns of</w:t>
      </w:r>
    </w:p>
    <w:p w14:paraId="3D7B7AC5" w14:textId="4521AB90" w:rsidR="00742DA8" w:rsidRDefault="00742DA8" w:rsidP="00E334F2">
      <w:pPr>
        <w:rPr>
          <w:rFonts w:ascii="Times" w:eastAsiaTheme="minorEastAsia" w:hAnsi="Times"/>
          <w:iCs/>
        </w:rPr>
      </w:pPr>
    </w:p>
    <w:p w14:paraId="37BF7E8B" w14:textId="5F458E08" w:rsidR="00742DA8" w:rsidRPr="00742DA8" w:rsidRDefault="00000000" w:rsidP="00E334F2">
      <w:pPr>
        <w:rPr>
          <w:rFonts w:ascii="Times" w:eastAsiaTheme="minorEastAsia" w:hAnsi="Times"/>
          <w:b/>
          <w:bCs/>
        </w:rPr>
      </w:pPr>
      <m:oMathPara>
        <m:oMath>
          <m:eqArr>
            <m:eqArrPr>
              <m:maxDist m:val="1"/>
              <m:ctrlPr>
                <w:rPr>
                  <w:rFonts w:ascii="Cambria Math" w:hAnsi="Cambria Math"/>
                  <w:i/>
                </w:rPr>
              </m:ctrlPr>
            </m:eqArrPr>
            <m:e>
              <m:sSup>
                <m:sSupPr>
                  <m:ctrlPr>
                    <w:rPr>
                      <w:rFonts w:ascii="Cambria Math" w:hAnsi="Cambria Math"/>
                      <w:b/>
                      <w:bCs/>
                    </w:rPr>
                  </m:ctrlPr>
                </m:sSupPr>
                <m:e>
                  <m:r>
                    <m:rPr>
                      <m:sty m:val="b"/>
                    </m:rPr>
                    <w:rPr>
                      <w:rFonts w:ascii="Cambria Math" w:hAnsi="Cambria Math"/>
                    </w:rPr>
                    <m:t>Γ</m:t>
                  </m:r>
                </m:e>
                <m:sup>
                  <m:r>
                    <m:rPr>
                      <m:sty m:val="b"/>
                    </m:rPr>
                    <w:rPr>
                      <w:rFonts w:ascii="Cambria Math" w:hAnsi="Cambria Math"/>
                    </w:rPr>
                    <m:t>*</m:t>
                  </m:r>
                </m:sup>
              </m:sSup>
              <m:r>
                <w:rPr>
                  <w:rFonts w:ascii="Cambria Math" w:hAnsi="Cambria Math"/>
                </w:rPr>
                <m:t>=</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iCs/>
                    </w:rPr>
                  </m:ctrlPr>
                </m:sSubPr>
                <m:e>
                  <m:r>
                    <m:rPr>
                      <m:sty m:val="b"/>
                    </m:rPr>
                    <w:rPr>
                      <w:rFonts w:ascii="Cambria Math" w:hAnsi="Cambria Math"/>
                    </w:rPr>
                    <m:t>W</m:t>
                  </m:r>
                  <m:ctrlPr>
                    <w:rPr>
                      <w:rFonts w:ascii="Cambria Math" w:hAnsi="Cambria Math"/>
                      <w:b/>
                      <w:bCs/>
                      <w:iCs/>
                    </w:rPr>
                  </m:ctrlPr>
                </m:e>
                <m:sub>
                  <m:r>
                    <w:rPr>
                      <w:rFonts w:ascii="Cambria Math" w:hAnsi="Cambria Math"/>
                    </w:rPr>
                    <m:t>k</m:t>
                  </m:r>
                </m:sub>
              </m:sSub>
              <m:r>
                <w:rPr>
                  <w:rFonts w:ascii="Cambria Math" w:hAnsi="Cambria Math"/>
                </w:rPr>
                <m:t xml:space="preserve"> </m:t>
              </m:r>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b/>
                  <w:bCs/>
                  <w:i/>
                </w:rPr>
              </m:ctrlPr>
            </m:e>
          </m:eqArr>
        </m:oMath>
      </m:oMathPara>
    </w:p>
    <w:p w14:paraId="0A66B242" w14:textId="20D1504A" w:rsidR="00742DA8" w:rsidRDefault="00742DA8" w:rsidP="00E334F2">
      <w:pPr>
        <w:rPr>
          <w:rFonts w:ascii="Times" w:eastAsiaTheme="minorEastAsia" w:hAnsi="Times"/>
        </w:rPr>
      </w:pPr>
    </w:p>
    <w:p w14:paraId="1C8C2BCE" w14:textId="71FAF845" w:rsidR="00E334F2" w:rsidRPr="00102AF3" w:rsidRDefault="00742DA8" w:rsidP="00E334F2">
      <w:pPr>
        <w:rPr>
          <w:rFonts w:ascii="Times" w:eastAsiaTheme="minorEastAsia" w:hAnsi="Times"/>
          <w:b/>
          <w:bCs/>
          <w:iCs/>
        </w:rPr>
      </w:pPr>
      <w:r>
        <w:rPr>
          <w:rFonts w:ascii="Times" w:eastAsiaTheme="minorEastAsia" w:hAnsi="Times"/>
        </w:rPr>
        <w:t xml:space="preserve">where </w:t>
      </w:r>
      <m:oMath>
        <m:sSub>
          <m:sSubPr>
            <m:ctrlPr>
              <w:rPr>
                <w:rFonts w:ascii="Cambria Math" w:eastAsiaTheme="minorEastAsia" w:hAnsi="Cambria Math"/>
                <w:iCs/>
              </w:rPr>
            </m:ctrlPr>
          </m:sSubPr>
          <m:e>
            <m:r>
              <m:rPr>
                <m:sty m:val="b"/>
              </m:rPr>
              <w:rPr>
                <w:rFonts w:ascii="Cambria Math" w:eastAsiaTheme="minorEastAsia" w:hAnsi="Cambria Math"/>
              </w:rPr>
              <m:t>W</m:t>
            </m:r>
            <m:ctrlPr>
              <w:rPr>
                <w:rFonts w:ascii="Cambria Math" w:eastAsiaTheme="minorEastAsia" w:hAnsi="Cambria Math"/>
                <w:b/>
                <w:bCs/>
                <w:iCs/>
              </w:rPr>
            </m:ctrlPr>
          </m:e>
          <m:sub>
            <m:r>
              <w:rPr>
                <w:rFonts w:ascii="Cambria Math" w:eastAsiaTheme="minorEastAsia" w:hAnsi="Cambria Math"/>
              </w:rPr>
              <m:t>k</m:t>
            </m:r>
          </m:sub>
        </m:sSub>
      </m:oMath>
      <w:r w:rsidR="00102AF3">
        <w:rPr>
          <w:rFonts w:ascii="Times" w:eastAsiaTheme="minorEastAsia" w:hAnsi="Times"/>
          <w:iCs/>
        </w:rPr>
        <w:t xml:space="preserve"> is the matrix of the first </w:t>
      </w:r>
      <w:r w:rsidR="00102AF3">
        <w:rPr>
          <w:rFonts w:ascii="Times" w:eastAsiaTheme="minorEastAsia" w:hAnsi="Times"/>
          <w:i/>
        </w:rPr>
        <w:t>k</w:t>
      </w:r>
      <w:r w:rsidR="00102AF3">
        <w:rPr>
          <w:rFonts w:ascii="Times" w:eastAsiaTheme="minorEastAsia" w:hAnsi="Times"/>
          <w:iCs/>
        </w:rPr>
        <w:t xml:space="preserve"> eigenvectors of </w:t>
      </w:r>
      <m:oMath>
        <m:r>
          <m:rPr>
            <m:sty m:val="b"/>
          </m:rPr>
          <w:rPr>
            <w:rFonts w:ascii="Cambria Math" w:hAnsi="Cambria Math"/>
          </w:rPr>
          <m:t>Q</m:t>
        </m:r>
        <m:r>
          <w:rPr>
            <w:rFonts w:ascii="Cambria Math" w:hAnsi="Cambria Math"/>
          </w:rPr>
          <m:t>=</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r>
              <w:rPr>
                <w:rFonts w:ascii="Cambria Math" w:hAnsi="Cambria Math"/>
              </w:rPr>
              <m:t>-</m:t>
            </m:r>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m:rPr>
            <m:sty m:val="b"/>
          </m:rPr>
          <w:rPr>
            <w:rFonts w:ascii="Cambria Math" w:hAnsi="Cambria Math"/>
          </w:rPr>
          <m:t>A</m:t>
        </m:r>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oMath>
      <w:r w:rsidR="00102AF3" w:rsidRPr="00102AF3">
        <w:rPr>
          <w:rFonts w:ascii="Times" w:eastAsiaTheme="minorEastAsia" w:hAnsi="Times"/>
          <w:iCs/>
        </w:rPr>
        <w:t>.</w:t>
      </w:r>
      <w:r w:rsidR="00102AF3">
        <w:rPr>
          <w:rFonts w:ascii="Times" w:eastAsiaTheme="minorEastAsia" w:hAnsi="Times"/>
          <w:b/>
          <w:bCs/>
          <w:iCs/>
        </w:rPr>
        <w:t xml:space="preserve"> </w:t>
      </w:r>
    </w:p>
    <w:p w14:paraId="0EF76834" w14:textId="2402C558" w:rsidR="006267C3" w:rsidRDefault="006267C3" w:rsidP="00E334F2">
      <w:pPr>
        <w:rPr>
          <w:rFonts w:ascii="Times" w:eastAsiaTheme="minorEastAsia" w:hAnsi="Times"/>
        </w:rPr>
      </w:pPr>
    </w:p>
    <w:p w14:paraId="18DAF799" w14:textId="6CD84D79" w:rsidR="00E5292E" w:rsidRDefault="002072F5" w:rsidP="00E334F2">
      <w:pPr>
        <w:rPr>
          <w:rFonts w:ascii="Times" w:eastAsiaTheme="minorEastAsia" w:hAnsi="Times"/>
        </w:rPr>
      </w:pPr>
      <w:r>
        <w:rPr>
          <w:rFonts w:ascii="Times" w:eastAsiaTheme="minorEastAsia" w:hAnsi="Times"/>
        </w:rPr>
        <w:t xml:space="preserve">We construct the Jacobian matrix </w:t>
      </w:r>
      <w:proofErr w:type="gramStart"/>
      <w:r>
        <w:rPr>
          <w:rFonts w:ascii="Times" w:eastAsiaTheme="minorEastAsia" w:hAnsi="Times"/>
        </w:rPr>
        <w:t>on the basis of</w:t>
      </w:r>
      <w:proofErr w:type="gramEnd"/>
      <w:r>
        <w:rPr>
          <w:rFonts w:ascii="Times" w:eastAsiaTheme="minorEastAsia" w:hAnsi="Times"/>
        </w:rPr>
        <w:t xml:space="preserve"> these eigenvectors.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r>
          <w:rPr>
            <w:rFonts w:ascii="Cambria Math" w:eastAsiaTheme="minorEastAsia" w:hAnsi="Cambria Math"/>
          </w:rPr>
          <m:t>k</m:t>
        </m:r>
      </m:oMath>
      <w:r>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Pr>
          <w:rFonts w:ascii="Times" w:eastAsiaTheme="minorEastAsia" w:hAnsi="Times"/>
        </w:rPr>
        <w:t xml:space="preserve">in the forward model. We </w:t>
      </w:r>
      <w:r w:rsidR="00EC3AB1">
        <w:rPr>
          <w:rFonts w:ascii="Times" w:eastAsiaTheme="minorEastAsia" w:hAnsi="Times"/>
        </w:rPr>
        <w:t>restore the original state dimension of</w:t>
      </w:r>
      <w:r>
        <w:rPr>
          <w:rFonts w:ascii="Times" w:eastAsiaTheme="minorEastAsia" w:hAnsi="Times"/>
        </w:rPr>
        <w:t xml:space="preserve"> the resulting </w:t>
      </w:r>
      <m:oMath>
        <m:r>
          <w:rPr>
            <w:rFonts w:ascii="Cambria Math" w:eastAsiaTheme="minorEastAsia" w:hAnsi="Cambria Math"/>
          </w:rPr>
          <m:t>m×k</m:t>
        </m:r>
      </m:oMath>
      <w:r>
        <w:rPr>
          <w:rFonts w:ascii="Times" w:eastAsiaTheme="minorEastAsia" w:hAnsi="Times"/>
        </w:rPr>
        <w:t xml:space="preserve"> Jacobian matrix </w:t>
      </w:r>
      <w:r w:rsidR="00E5292E">
        <w:rPr>
          <w:rFonts w:ascii="Times" w:eastAsiaTheme="minorEastAsia" w:hAnsi="Times"/>
        </w:rPr>
        <w:t xml:space="preserve">by </w:t>
      </w:r>
      <w:r w:rsidR="00EC3AB1">
        <w:rPr>
          <w:rFonts w:ascii="Times" w:eastAsiaTheme="minorEastAsia" w:hAnsi="Times"/>
        </w:rPr>
        <w:t xml:space="preserve">multiplying by </w:t>
      </w:r>
      <w:r w:rsidR="00E5292E">
        <w:rPr>
          <w:rFonts w:ascii="Times" w:eastAsiaTheme="minorEastAsia" w:hAnsi="Times"/>
        </w:rPr>
        <w:t xml:space="preserve">the </w:t>
      </w:r>
      <m:oMath>
        <m:r>
          <w:rPr>
            <w:rFonts w:ascii="Cambria Math" w:eastAsiaTheme="minorEastAsia" w:hAnsi="Cambria Math"/>
          </w:rPr>
          <m:t>k×n</m:t>
        </m:r>
      </m:oMath>
      <w:r w:rsidR="00E5292E">
        <w:rPr>
          <w:rFonts w:ascii="Times" w:eastAsiaTheme="minorEastAsia" w:hAnsi="Times"/>
        </w:rPr>
        <w:t xml:space="preserve"> matrix</w:t>
      </w:r>
    </w:p>
    <w:p w14:paraId="39DC52B4" w14:textId="5FC670F9" w:rsidR="00E5292E" w:rsidRDefault="00E5292E" w:rsidP="00E334F2">
      <w:pPr>
        <w:rPr>
          <w:rFonts w:ascii="Times" w:eastAsiaTheme="minorEastAsia" w:hAnsi="Times"/>
        </w:rPr>
      </w:pPr>
    </w:p>
    <w:p w14:paraId="5AE8EC34" w14:textId="7E46E30E" w:rsidR="00E5292E" w:rsidRPr="00E5292E" w:rsidRDefault="00000000" w:rsidP="00E334F2">
      <w:pPr>
        <w:rPr>
          <w:rFonts w:ascii="Times" w:eastAsiaTheme="minorEastAsia" w:hAnsi="Times"/>
          <w:b/>
          <w:bCs/>
        </w:rPr>
      </w:pPr>
      <m:oMathPara>
        <m:oMath>
          <m:eqArr>
            <m:eqArrPr>
              <m:maxDist m:val="1"/>
              <m:ctrlPr>
                <w:rPr>
                  <w:rFonts w:ascii="Cambria Math" w:hAnsi="Cambria Math"/>
                  <w:b/>
                  <w:bCs/>
                  <w:i/>
                </w:rPr>
              </m:ctrlPr>
            </m:eqArrPr>
            <m:e>
              <m:r>
                <m:rPr>
                  <m:sty m:val="b"/>
                </m:rPr>
                <w:rPr>
                  <w:rFonts w:ascii="Cambria Math" w:hAnsi="Cambria Math"/>
                </w:rPr>
                <m:t>Γ</m:t>
              </m:r>
              <m:r>
                <w:rPr>
                  <w:rFonts w:ascii="Cambria Math" w:hAnsi="Cambria Math"/>
                </w:rPr>
                <m:t>=</m:t>
              </m:r>
              <m:sSubSup>
                <m:sSubSupPr>
                  <m:ctrlPr>
                    <w:rPr>
                      <w:rFonts w:ascii="Cambria Math" w:hAnsi="Cambria Math"/>
                      <w:b/>
                      <w:bCs/>
                      <w:iCs/>
                    </w:rPr>
                  </m:ctrlPr>
                </m:sSubSupPr>
                <m:e>
                  <m:sSubSup>
                    <m:sSubSupPr>
                      <m:ctrlPr>
                        <w:rPr>
                          <w:rFonts w:ascii="Cambria Math" w:hAnsi="Cambria Math"/>
                          <w:b/>
                          <w:bCs/>
                          <w:iCs/>
                        </w:rPr>
                      </m:ctrlPr>
                    </m:sSubSupPr>
                    <m:e>
                      <m:r>
                        <m:rPr>
                          <m:sty m:val="b"/>
                        </m:rPr>
                        <w:rPr>
                          <w:rFonts w:ascii="Cambria Math" w:hAnsi="Cambria Math"/>
                        </w:rPr>
                        <m:t>W</m:t>
                      </m:r>
                    </m:e>
                    <m:sub>
                      <m:r>
                        <w:rPr>
                          <w:rFonts w:ascii="Cambria Math" w:hAnsi="Cambria Math"/>
                        </w:rPr>
                        <m:t>k</m:t>
                      </m:r>
                      <m:ctrlPr>
                        <w:rPr>
                          <w:rFonts w:ascii="Cambria Math" w:hAnsi="Cambria Math"/>
                          <w:i/>
                        </w:rPr>
                      </m:ctrlPr>
                    </m:sub>
                    <m:sup>
                      <m:r>
                        <m:rPr>
                          <m:sty m:val="p"/>
                        </m:rPr>
                        <w:rPr>
                          <w:rFonts w:ascii="Cambria Math" w:hAnsi="Cambria Math"/>
                        </w:rPr>
                        <m:t>T</m:t>
                      </m:r>
                    </m:sup>
                  </m:sSubSup>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w:rPr>
                  <w:rFonts w:ascii="Cambria Math" w:hAnsi="Cambria Math"/>
                </w:rPr>
                <m:t>,</m:t>
              </m:r>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7</m:t>
                  </m:r>
                </m:e>
              </m:d>
            </m:e>
          </m:eqArr>
        </m:oMath>
      </m:oMathPara>
    </w:p>
    <w:p w14:paraId="6E42EA69" w14:textId="77777777" w:rsidR="00E5292E" w:rsidRDefault="00E5292E" w:rsidP="00E334F2">
      <w:pPr>
        <w:rPr>
          <w:rFonts w:ascii="Times" w:eastAsiaTheme="minorEastAsia" w:hAnsi="Times"/>
        </w:rPr>
      </w:pPr>
    </w:p>
    <w:p w14:paraId="195987B4" w14:textId="36799DA3" w:rsidR="006267C3" w:rsidRDefault="00E5292E" w:rsidP="00E334F2">
      <w:pPr>
        <w:rPr>
          <w:rFonts w:ascii="Times" w:eastAsiaTheme="minorEastAsia" w:hAnsi="Times"/>
        </w:rPr>
      </w:pPr>
      <w:r>
        <w:rPr>
          <w:rFonts w:ascii="Times" w:eastAsiaTheme="minorEastAsia" w:hAnsi="Times"/>
        </w:rPr>
        <w:t xml:space="preserve">yielding an updated Jacobian matrix estimate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oMath>
      <w:r>
        <w:rPr>
          <w:rFonts w:ascii="Times" w:eastAsiaTheme="minorEastAsia" w:hAnsi="Times"/>
        </w:rPr>
        <w:t xml:space="preserve">. </w:t>
      </w:r>
      <w:r w:rsidR="00632B26">
        <w:rPr>
          <w:rFonts w:ascii="Times" w:eastAsiaTheme="minorEastAsia" w:hAnsi="Times"/>
        </w:rPr>
        <w:t xml:space="preserve">We then recompute the eigenvectors </w:t>
      </w:r>
      <w:r w:rsidR="00E20A10">
        <w:rPr>
          <w:rFonts w:ascii="Times" w:eastAsiaTheme="minorEastAsia" w:hAnsi="Times"/>
        </w:rPr>
        <w:t xml:space="preserve">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r>
          <m:rPr>
            <m:sty m:val="bi"/>
          </m:rPr>
          <w:rPr>
            <w:rFonts w:ascii="Cambria Math" w:eastAsiaTheme="minorEastAsia" w:hAnsi="Cambria Math"/>
          </w:rPr>
          <m:t xml:space="preserve">, </m:t>
        </m:r>
      </m:oMath>
      <w:r w:rsidR="00632B26">
        <w:rPr>
          <w:rFonts w:ascii="Times" w:eastAsiaTheme="minorEastAsia" w:hAnsi="Times"/>
        </w:rPr>
        <w:t xml:space="preserve">perturb the </w:t>
      </w:r>
      <m:oMath>
        <m:r>
          <w:rPr>
            <w:rFonts w:ascii="Cambria Math" w:eastAsiaTheme="minorEastAsia" w:hAnsi="Cambria Math"/>
          </w:rPr>
          <m:t>k</m:t>
        </m:r>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xml:space="preserve">% of the information </w:t>
      </w:r>
      <w:proofErr w:type="gramStart"/>
      <w:r w:rsidR="00632B26">
        <w:rPr>
          <w:rFonts w:ascii="Times" w:eastAsiaTheme="minorEastAsia" w:hAnsi="Times"/>
        </w:rPr>
        <w:t>content</w:t>
      </w:r>
      <w:r w:rsidR="00F5518E">
        <w:rPr>
          <w:rFonts w:ascii="Times" w:eastAsiaTheme="minorEastAsia" w:hAnsi="Times"/>
        </w:rPr>
        <w:t>, and</w:t>
      </w:r>
      <w:proofErr w:type="gramEnd"/>
      <w:r w:rsidR="00F5518E">
        <w:rPr>
          <w:rFonts w:ascii="Times" w:eastAsiaTheme="minorEastAsia" w:hAnsi="Times"/>
        </w:rPr>
        <w:t xml:space="preserve"> construct the updated Jacobian matrix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optimizes the information content of the posterior solution (Nesser et al., 2021)</w:t>
      </w:r>
      <w:r w:rsidR="00EF3F36">
        <w:rPr>
          <w:rFonts w:ascii="Times" w:eastAsiaTheme="minorEastAsia" w:hAnsi="Times"/>
          <w:iCs/>
        </w:rPr>
        <w:t xml:space="preserve">. </w:t>
      </w:r>
      <w:r w:rsidR="00F5518E">
        <w:rPr>
          <w:rFonts w:ascii="Times" w:eastAsiaTheme="minorEastAsia" w:hAnsi="Times"/>
          <w:iCs/>
        </w:rPr>
        <w:t xml:space="preserve">The information content associated with both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(1)</m:t>
            </m:r>
          </m:sup>
        </m:sSup>
      </m:oMath>
      <w:r w:rsidR="00F5518E">
        <w:rPr>
          <w:rFonts w:ascii="Times" w:eastAsiaTheme="minorEastAsia" w:hAnsi="Times"/>
          <w:iCs/>
        </w:rPr>
        <w:t xml:space="preserve"> and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contains common contributions from the prior and observational error covariance matrices and from the forward model. As a result, additional iterations would not add new information content and we take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(2)</m:t>
            </m:r>
          </m:sup>
        </m:sSup>
      </m:oMath>
      <w:r w:rsidR="00F5518E">
        <w:rPr>
          <w:rFonts w:ascii="Times" w:eastAsiaTheme="minorEastAsia" w:hAnsi="Times"/>
          <w:iCs/>
        </w:rPr>
        <w:t xml:space="preserve"> as the Jacobian matrix for our inversion.</w:t>
      </w:r>
      <w:r w:rsidR="00F5518E">
        <w:rPr>
          <w:rFonts w:ascii="Times" w:eastAsiaTheme="minorEastAsia" w:hAnsi="Times"/>
        </w:rPr>
        <w:t xml:space="preserve"> </w:t>
      </w:r>
    </w:p>
    <w:p w14:paraId="550FC323" w14:textId="58BE0B93" w:rsidR="00742DA8" w:rsidRDefault="00742DA8" w:rsidP="00E334F2">
      <w:pPr>
        <w:rPr>
          <w:rFonts w:ascii="Times" w:eastAsiaTheme="minorEastAsia" w:hAnsi="Times"/>
        </w:rPr>
      </w:pPr>
    </w:p>
    <w:p w14:paraId="0DCEFBE5" w14:textId="51379984" w:rsidR="00742DA8" w:rsidRDefault="00632B26" w:rsidP="00E334F2">
      <w:pPr>
        <w:rPr>
          <w:rFonts w:ascii="Times" w:eastAsiaTheme="minorEastAsia" w:hAnsi="Times"/>
        </w:rPr>
      </w:pPr>
      <w:r>
        <w:rPr>
          <w:rFonts w:ascii="Times" w:eastAsiaTheme="minorEastAsia" w:hAnsi="Times"/>
        </w:rPr>
        <w:t>[</w:t>
      </w:r>
      <w:r w:rsidR="00742DA8">
        <w:rPr>
          <w:rFonts w:ascii="Times" w:eastAsiaTheme="minorEastAsia" w:hAnsi="Times"/>
        </w:rPr>
        <w:t>Paragraph analyzing the eigenvectors of the resulting Jacobian matrix</w:t>
      </w:r>
      <w:r>
        <w:rPr>
          <w:rFonts w:ascii="Times" w:eastAsiaTheme="minorEastAsia" w:hAnsi="Times"/>
        </w:rPr>
        <w:t>.]</w:t>
      </w:r>
    </w:p>
    <w:p w14:paraId="2F218A88" w14:textId="00B6BE50" w:rsidR="00EC3AB1" w:rsidRDefault="00EC3AB1" w:rsidP="00E334F2">
      <w:pPr>
        <w:rPr>
          <w:rFonts w:ascii="Times" w:hAnsi="Times"/>
        </w:rPr>
      </w:pPr>
      <w:r>
        <w:rPr>
          <w:rFonts w:ascii="Times" w:hAnsi="Times"/>
        </w:rPr>
        <w:t xml:space="preserve">I’m a little worried that because we don’t have an eigenvector correcting the mean error (Wait </w:t>
      </w:r>
      <w:proofErr w:type="gramStart"/>
      <w:r>
        <w:rPr>
          <w:rFonts w:ascii="Times" w:hAnsi="Times"/>
        </w:rPr>
        <w:t>actually this</w:t>
      </w:r>
      <w:proofErr w:type="gramEnd"/>
      <w:r>
        <w:rPr>
          <w:rFonts w:ascii="Times" w:hAnsi="Times"/>
        </w:rPr>
        <w:t xml:space="preserve"> shouldn’t matter?</w:t>
      </w:r>
      <w:r w:rsidR="00F86E2A">
        <w:rPr>
          <w:rFonts w:ascii="Times" w:hAnsi="Times"/>
        </w:rPr>
        <w:t xml:space="preserve"> Because the model </w:t>
      </w:r>
      <w:proofErr w:type="spellStart"/>
      <w:r w:rsidR="00F86E2A">
        <w:rPr>
          <w:rFonts w:ascii="Times" w:hAnsi="Times"/>
        </w:rPr>
        <w:t>obs</w:t>
      </w:r>
      <w:proofErr w:type="spellEnd"/>
      <w:r w:rsidR="00F86E2A">
        <w:rPr>
          <w:rFonts w:ascii="Times" w:hAnsi="Times"/>
        </w:rPr>
        <w:t xml:space="preserve"> difference doesn’t </w:t>
      </w:r>
      <w:r w:rsidR="00740715">
        <w:rPr>
          <w:rFonts w:ascii="Times" w:hAnsi="Times"/>
        </w:rPr>
        <w:t xml:space="preserve">account for </w:t>
      </w: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42ECD910" w14:textId="40188727" w:rsidR="00B44582" w:rsidRDefault="00B44582">
      <w:pPr>
        <w:rPr>
          <w:rFonts w:ascii="Times" w:hAnsi="Times"/>
        </w:rPr>
      </w:pPr>
    </w:p>
    <w:p w14:paraId="0805AED9" w14:textId="5D117FD7" w:rsidR="0042686C" w:rsidRDefault="0042686C">
      <w:pPr>
        <w:rPr>
          <w:rFonts w:ascii="Times" w:hAnsi="Times"/>
        </w:rPr>
      </w:pPr>
    </w:p>
    <w:p w14:paraId="0362401D" w14:textId="4EDCD998" w:rsidR="0042686C" w:rsidRDefault="0042686C">
      <w:r>
        <w:rPr>
          <w:rFonts w:ascii="Times" w:hAnsi="Times"/>
        </w:rPr>
        <w:t>“</w:t>
      </w:r>
      <w:r>
        <w:t xml:space="preserve">This reflects a tendency for SF inversions to overcorrect large sources while </w:t>
      </w:r>
      <w:proofErr w:type="spellStart"/>
      <w:r>
        <w:t>undercorrecting</w:t>
      </w:r>
      <w:proofErr w:type="spellEnd"/>
      <w:r>
        <w:t xml:space="preserve"> small sources (along with the fact that the satellite data themselves are less sensitive to small sources).” (Yu et al. 2021)</w:t>
      </w:r>
    </w:p>
    <w:p w14:paraId="0994851F" w14:textId="6D1F2084" w:rsidR="0042686C" w:rsidRDefault="0042686C">
      <w:r>
        <w:sym w:font="Wingdings" w:char="F0E0"/>
      </w:r>
      <w:r>
        <w:t xml:space="preserve"> ask Daniel about this</w:t>
      </w:r>
    </w:p>
    <w:p w14:paraId="2A69F823" w14:textId="3E610F83" w:rsidR="0042686C" w:rsidRDefault="0042686C"/>
    <w:p w14:paraId="133F3130" w14:textId="5906D785" w:rsidR="0042686C" w:rsidRDefault="0042686C" w:rsidP="0042686C">
      <w:r>
        <w:t xml:space="preserve">“The U-SF inversion has DOFS = 382, with derived posterior error reductions that reflect the TROPOMI spatial sampling density for this month (Fig. 7). However, this computed error reduction </w:t>
      </w:r>
      <w:proofErr w:type="spellStart"/>
      <w:r>
        <w:t>ρest</w:t>
      </w:r>
      <w:proofErr w:type="spellEnd"/>
      <w:r>
        <w:t xml:space="preserve"> (derived via gradient-based randomization) has no meaningful spatial correlation with the actual emission improvement </w:t>
      </w:r>
      <w:proofErr w:type="spellStart"/>
      <w:r>
        <w:t>ρtrue</w:t>
      </w:r>
      <w:proofErr w:type="spellEnd"/>
      <w:r>
        <w:t xml:space="preserve"> (R = 0.07). This reflects</w:t>
      </w:r>
      <w:r w:rsidRPr="0042686C">
        <w:t xml:space="preserve"> </w:t>
      </w:r>
      <w:r>
        <w:t xml:space="preserve">the fact that the posterior error reductions and DOFS contain no information on where the prior emissions are </w:t>
      </w:r>
      <w:proofErr w:type="gramStart"/>
      <w:r>
        <w:t>actually in</w:t>
      </w:r>
      <w:proofErr w:type="gramEnd"/>
      <w:r>
        <w:t xml:space="preserve"> error and can therefore be improved. For a scenario where the prior emissions had random and normally distributed disparities relative to the truth, areas with the largest computed posterior error reduction would also tend to have the greatest emission improvement – since those locations would have the strongest observational constraints. DOFS and error reduction analyses are thus useful for general observing system characterization but do not describe the spatial accuracy of posterior emissions or the actual emission improvements for realistic scenarios where the real prior errors are nonrandom.”</w:t>
      </w:r>
    </w:p>
    <w:p w14:paraId="3126D74C" w14:textId="77777777" w:rsidR="0042686C" w:rsidRDefault="0042686C" w:rsidP="0042686C">
      <w:r>
        <w:sym w:font="Wingdings" w:char="F0E0"/>
      </w:r>
      <w:r>
        <w:t xml:space="preserve"> ask Daniel about this</w:t>
      </w:r>
    </w:p>
    <w:p w14:paraId="7686EC5E" w14:textId="64F0E185" w:rsidR="0042686C" w:rsidRDefault="0042686C" w:rsidP="0042686C"/>
    <w:p w14:paraId="08088E83" w14:textId="71EB62EC" w:rsidR="0042686C" w:rsidRDefault="0042686C" w:rsidP="0042686C">
      <w:r>
        <w:t>Often see better performance for small sources than large sources, since prior errors are probably more appropriate for small sources than for large sources (can cite Yu et al. to explain why Permian estimates may be too low)</w:t>
      </w:r>
    </w:p>
    <w:p w14:paraId="2C9CE24B" w14:textId="7A4EAD44" w:rsidR="0042686C" w:rsidRPr="0042686C" w:rsidRDefault="0042686C"/>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AC0D" w14:textId="77777777" w:rsidR="00866042" w:rsidRDefault="00866042" w:rsidP="00112218">
      <w:r>
        <w:separator/>
      </w:r>
    </w:p>
  </w:endnote>
  <w:endnote w:type="continuationSeparator" w:id="0">
    <w:p w14:paraId="58103B0C" w14:textId="77777777" w:rsidR="00866042" w:rsidRDefault="00866042"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F29C" w14:textId="77777777" w:rsidR="00866042" w:rsidRDefault="00866042" w:rsidP="00112218">
      <w:r>
        <w:separator/>
      </w:r>
    </w:p>
  </w:footnote>
  <w:footnote w:type="continuationSeparator" w:id="0">
    <w:p w14:paraId="79FF0F35" w14:textId="77777777" w:rsidR="00866042" w:rsidRDefault="00866042"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31629">
    <w:abstractNumId w:val="3"/>
  </w:num>
  <w:num w:numId="2" w16cid:durableId="2029478264">
    <w:abstractNumId w:val="6"/>
  </w:num>
  <w:num w:numId="3" w16cid:durableId="492382351">
    <w:abstractNumId w:val="12"/>
  </w:num>
  <w:num w:numId="4" w16cid:durableId="157117379">
    <w:abstractNumId w:val="7"/>
  </w:num>
  <w:num w:numId="5" w16cid:durableId="2126462295">
    <w:abstractNumId w:val="1"/>
  </w:num>
  <w:num w:numId="6" w16cid:durableId="1841193393">
    <w:abstractNumId w:val="2"/>
  </w:num>
  <w:num w:numId="7" w16cid:durableId="1319772984">
    <w:abstractNumId w:val="10"/>
  </w:num>
  <w:num w:numId="8" w16cid:durableId="206721741">
    <w:abstractNumId w:val="9"/>
  </w:num>
  <w:num w:numId="9" w16cid:durableId="1635718399">
    <w:abstractNumId w:val="11"/>
  </w:num>
  <w:num w:numId="10" w16cid:durableId="2056001632">
    <w:abstractNumId w:val="8"/>
  </w:num>
  <w:num w:numId="11" w16cid:durableId="1043554619">
    <w:abstractNumId w:val="5"/>
  </w:num>
  <w:num w:numId="12" w16cid:durableId="924456509">
    <w:abstractNumId w:val="4"/>
  </w:num>
  <w:num w:numId="13" w16cid:durableId="95220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1160D"/>
    <w:rsid w:val="0002114F"/>
    <w:rsid w:val="00025A13"/>
    <w:rsid w:val="000471CC"/>
    <w:rsid w:val="00060237"/>
    <w:rsid w:val="0008317E"/>
    <w:rsid w:val="00085A48"/>
    <w:rsid w:val="000C43DF"/>
    <w:rsid w:val="000C60C6"/>
    <w:rsid w:val="000C6DDD"/>
    <w:rsid w:val="000C7673"/>
    <w:rsid w:val="000F230B"/>
    <w:rsid w:val="00102AF3"/>
    <w:rsid w:val="00112218"/>
    <w:rsid w:val="00112E18"/>
    <w:rsid w:val="00116066"/>
    <w:rsid w:val="00132DAA"/>
    <w:rsid w:val="00152FED"/>
    <w:rsid w:val="001568F5"/>
    <w:rsid w:val="00157961"/>
    <w:rsid w:val="001765E5"/>
    <w:rsid w:val="0019599B"/>
    <w:rsid w:val="001B4A42"/>
    <w:rsid w:val="001B5212"/>
    <w:rsid w:val="001C41E7"/>
    <w:rsid w:val="001F7B45"/>
    <w:rsid w:val="00202404"/>
    <w:rsid w:val="0020458F"/>
    <w:rsid w:val="002072F5"/>
    <w:rsid w:val="00216EC7"/>
    <w:rsid w:val="00257F6B"/>
    <w:rsid w:val="002A1950"/>
    <w:rsid w:val="003166C7"/>
    <w:rsid w:val="00317652"/>
    <w:rsid w:val="0033785E"/>
    <w:rsid w:val="00347B67"/>
    <w:rsid w:val="003569D5"/>
    <w:rsid w:val="00357B8D"/>
    <w:rsid w:val="00366780"/>
    <w:rsid w:val="00367D8C"/>
    <w:rsid w:val="00381CA9"/>
    <w:rsid w:val="003A1BC7"/>
    <w:rsid w:val="003C3729"/>
    <w:rsid w:val="003D01B0"/>
    <w:rsid w:val="003D698A"/>
    <w:rsid w:val="003D7A11"/>
    <w:rsid w:val="003E1CC1"/>
    <w:rsid w:val="003E6295"/>
    <w:rsid w:val="003F32EE"/>
    <w:rsid w:val="004021AF"/>
    <w:rsid w:val="004040FD"/>
    <w:rsid w:val="00417E6F"/>
    <w:rsid w:val="0042686C"/>
    <w:rsid w:val="004438A4"/>
    <w:rsid w:val="004937F6"/>
    <w:rsid w:val="004A31EF"/>
    <w:rsid w:val="004C3387"/>
    <w:rsid w:val="004F7D1B"/>
    <w:rsid w:val="00507010"/>
    <w:rsid w:val="005178BE"/>
    <w:rsid w:val="00521D0D"/>
    <w:rsid w:val="00522565"/>
    <w:rsid w:val="005258BF"/>
    <w:rsid w:val="00544FE5"/>
    <w:rsid w:val="00545BFE"/>
    <w:rsid w:val="00554F6C"/>
    <w:rsid w:val="00565423"/>
    <w:rsid w:val="00567AFF"/>
    <w:rsid w:val="0057503D"/>
    <w:rsid w:val="005C44B9"/>
    <w:rsid w:val="005C76E6"/>
    <w:rsid w:val="005D1672"/>
    <w:rsid w:val="005D2126"/>
    <w:rsid w:val="005D50EC"/>
    <w:rsid w:val="005F2417"/>
    <w:rsid w:val="005F5428"/>
    <w:rsid w:val="006046B6"/>
    <w:rsid w:val="00606F50"/>
    <w:rsid w:val="006128E7"/>
    <w:rsid w:val="00623654"/>
    <w:rsid w:val="006267C3"/>
    <w:rsid w:val="00626899"/>
    <w:rsid w:val="0062723A"/>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6960"/>
    <w:rsid w:val="007122CC"/>
    <w:rsid w:val="00715764"/>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66042"/>
    <w:rsid w:val="008778AC"/>
    <w:rsid w:val="008C1F0D"/>
    <w:rsid w:val="008D0F19"/>
    <w:rsid w:val="008D7CFF"/>
    <w:rsid w:val="008E0E09"/>
    <w:rsid w:val="008E2D46"/>
    <w:rsid w:val="008E7712"/>
    <w:rsid w:val="008F4611"/>
    <w:rsid w:val="008F5D43"/>
    <w:rsid w:val="00902065"/>
    <w:rsid w:val="00914C58"/>
    <w:rsid w:val="0092425A"/>
    <w:rsid w:val="00932054"/>
    <w:rsid w:val="009348A6"/>
    <w:rsid w:val="0093788E"/>
    <w:rsid w:val="00940EB7"/>
    <w:rsid w:val="00946FDA"/>
    <w:rsid w:val="00963310"/>
    <w:rsid w:val="009770AD"/>
    <w:rsid w:val="00980A29"/>
    <w:rsid w:val="009824F2"/>
    <w:rsid w:val="00987FB3"/>
    <w:rsid w:val="00996F51"/>
    <w:rsid w:val="009A6DFD"/>
    <w:rsid w:val="009C1320"/>
    <w:rsid w:val="009C13BF"/>
    <w:rsid w:val="009C5A27"/>
    <w:rsid w:val="009E0287"/>
    <w:rsid w:val="00A1169A"/>
    <w:rsid w:val="00A13ABB"/>
    <w:rsid w:val="00A156A8"/>
    <w:rsid w:val="00A23C43"/>
    <w:rsid w:val="00A349EF"/>
    <w:rsid w:val="00A3776F"/>
    <w:rsid w:val="00A53589"/>
    <w:rsid w:val="00A60146"/>
    <w:rsid w:val="00A61A17"/>
    <w:rsid w:val="00A634C4"/>
    <w:rsid w:val="00A6433B"/>
    <w:rsid w:val="00A72C09"/>
    <w:rsid w:val="00A759DF"/>
    <w:rsid w:val="00A95FA6"/>
    <w:rsid w:val="00AA15A0"/>
    <w:rsid w:val="00AA2343"/>
    <w:rsid w:val="00AB5662"/>
    <w:rsid w:val="00AD706D"/>
    <w:rsid w:val="00AE7A4E"/>
    <w:rsid w:val="00B11F0C"/>
    <w:rsid w:val="00B158AB"/>
    <w:rsid w:val="00B17D47"/>
    <w:rsid w:val="00B2589F"/>
    <w:rsid w:val="00B40A20"/>
    <w:rsid w:val="00B44582"/>
    <w:rsid w:val="00B60536"/>
    <w:rsid w:val="00B67DCF"/>
    <w:rsid w:val="00B746C6"/>
    <w:rsid w:val="00BB64E5"/>
    <w:rsid w:val="00BC14A8"/>
    <w:rsid w:val="00BC181E"/>
    <w:rsid w:val="00BC409C"/>
    <w:rsid w:val="00BD679D"/>
    <w:rsid w:val="00BF094E"/>
    <w:rsid w:val="00C15C02"/>
    <w:rsid w:val="00C200EB"/>
    <w:rsid w:val="00C47960"/>
    <w:rsid w:val="00C47ECB"/>
    <w:rsid w:val="00C53212"/>
    <w:rsid w:val="00C976E9"/>
    <w:rsid w:val="00CA7EA4"/>
    <w:rsid w:val="00CB0013"/>
    <w:rsid w:val="00CC7F7C"/>
    <w:rsid w:val="00CF42A3"/>
    <w:rsid w:val="00D0742F"/>
    <w:rsid w:val="00D3266C"/>
    <w:rsid w:val="00D41E21"/>
    <w:rsid w:val="00D767D2"/>
    <w:rsid w:val="00D81712"/>
    <w:rsid w:val="00D81B11"/>
    <w:rsid w:val="00D8280E"/>
    <w:rsid w:val="00D8311E"/>
    <w:rsid w:val="00E0372F"/>
    <w:rsid w:val="00E20A10"/>
    <w:rsid w:val="00E20E29"/>
    <w:rsid w:val="00E213E6"/>
    <w:rsid w:val="00E30AFE"/>
    <w:rsid w:val="00E332C1"/>
    <w:rsid w:val="00E334F2"/>
    <w:rsid w:val="00E372F2"/>
    <w:rsid w:val="00E4108E"/>
    <w:rsid w:val="00E5292E"/>
    <w:rsid w:val="00E63085"/>
    <w:rsid w:val="00E8511B"/>
    <w:rsid w:val="00EA6C55"/>
    <w:rsid w:val="00EB22B4"/>
    <w:rsid w:val="00EC3AB1"/>
    <w:rsid w:val="00EF3F36"/>
    <w:rsid w:val="00F11D2A"/>
    <w:rsid w:val="00F215E4"/>
    <w:rsid w:val="00F236F8"/>
    <w:rsid w:val="00F372C5"/>
    <w:rsid w:val="00F46957"/>
    <w:rsid w:val="00F5518E"/>
    <w:rsid w:val="00F56149"/>
    <w:rsid w:val="00F603F1"/>
    <w:rsid w:val="00F86E2A"/>
    <w:rsid w:val="00F87536"/>
    <w:rsid w:val="00FA3FAA"/>
    <w:rsid w:val="00FA4A08"/>
    <w:rsid w:val="00FD0A57"/>
    <w:rsid w:val="00FD3469"/>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s-che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3448</TotalTime>
  <Pages>9</Pages>
  <Words>5926</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67</cp:revision>
  <dcterms:created xsi:type="dcterms:W3CDTF">2021-02-25T20:21:00Z</dcterms:created>
  <dcterms:modified xsi:type="dcterms:W3CDTF">2022-07-29T20:56:00Z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