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748C807F"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6880A2F1" w14:textId="77777777" w:rsidR="00BF094E" w:rsidRPr="000E0EBD" w:rsidRDefault="00BF094E" w:rsidP="00BF094E">
      <w:r w:rsidRPr="000E0EBD">
        <w:t xml:space="preserve">We use 2019 atmospheric methane columns measured by the Tropospheric Monitoring Instrument (TROPOMI) aboard the Sentinel-5 Precursor satellite in </w:t>
      </w:r>
      <w:r>
        <w:t>an</w:t>
      </w:r>
      <w:r w:rsidRPr="000E0EBD">
        <w:t xml:space="preserve"> inversion </w:t>
      </w:r>
      <w:r>
        <w:t>that</w:t>
      </w:r>
      <w:r w:rsidRPr="000E0EBD">
        <w:t xml:space="preserve"> </w:t>
      </w:r>
      <w:r>
        <w:t>quantifies</w:t>
      </w:r>
      <w:r w:rsidRPr="000E0EBD">
        <w:t xml:space="preserve"> methane emissions</w:t>
      </w:r>
      <w:r>
        <w:t xml:space="preserve"> at 0.25</w:t>
      </w:r>
      <w:r>
        <w:rPr>
          <w:rFonts w:ascii="d" w:hAnsi="d"/>
        </w:rPr>
        <w:t>° ⨉ 0.3125°</w:t>
      </w:r>
      <w:r>
        <w:t xml:space="preserve"> resolution over North America</w:t>
      </w:r>
      <w:r w:rsidRPr="000E0EBD">
        <w:t>.</w:t>
      </w:r>
      <w:r>
        <w:t xml:space="preserve"> We perform substantial cleaning of the TROPOMI data to avoid regional biases. We solve the inversion by analytical minimization of a Bayesian cost function, which provides closed-form expressions for the error and information content of the inversion and allows for the creation of an ensemble of inversions to test the sensitivity of different uncertainties and assumptions. We achieve high resolution results across North America with a reduced-rank eigenvector characterization of the observing system that maximizes information content while managing computational cost. Prior methane emission estimates for the inversion are gridded versions of the national inventories reported by individual countries under the Paris Agreement. We use inversion results to correct the methane emissions in these national inventories for different sectors and regions, providing a top-down framework for using satellite observations to improve national methane emission reporting. </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3B901380" w14:textId="20D7F6D3" w:rsidR="00FA4A08" w:rsidRDefault="00D3580B">
      <w:pPr>
        <w:rPr>
          <w:rFonts w:ascii="Times" w:hAnsi="Times"/>
        </w:rPr>
      </w:pPr>
      <w:r>
        <w:rPr>
          <w:rFonts w:ascii="Times" w:hAnsi="Times"/>
        </w:rPr>
        <w:t>All modeled pathways that prevent global warming above 1.5</w:t>
      </w:r>
      <w:r>
        <w:rPr>
          <w:rFonts w:ascii="Times" w:hAnsi="Times"/>
        </w:rPr>
        <w:sym w:font="Symbol" w:char="F0B0"/>
      </w:r>
      <w:r>
        <w:rPr>
          <w:rFonts w:ascii="Times" w:hAnsi="Times"/>
        </w:rPr>
        <w:t xml:space="preserve">C require methane emissions reductions (IPCC SR5). The United Nations Framework Convention on Climate Change (UNFCCC) requires member parties to report methane emissions. The “bottom-up” approaches used to generate these inventories estimate emissions using information on </w:t>
      </w:r>
      <w:r w:rsidR="005F5CFD">
        <w:rPr>
          <w:rFonts w:ascii="Times" w:hAnsi="Times"/>
        </w:rPr>
        <w:t xml:space="preserve">sectoral </w:t>
      </w:r>
      <w:r>
        <w:rPr>
          <w:rFonts w:ascii="Times" w:hAnsi="Times"/>
        </w:rPr>
        <w:t xml:space="preserve">activity levels and emission factors. However, considerable uncertainty exists in the spatial and temporal distribution of </w:t>
      </w:r>
      <w:r w:rsidR="005F5CFD">
        <w:rPr>
          <w:rFonts w:ascii="Times" w:hAnsi="Times"/>
        </w:rPr>
        <w:t>sectoral emissions and</w:t>
      </w:r>
      <w:r>
        <w:rPr>
          <w:rFonts w:ascii="Times" w:hAnsi="Times"/>
        </w:rPr>
        <w:t xml:space="preserve"> emission factors. </w:t>
      </w:r>
      <w:r w:rsidR="005F5CFD">
        <w:rPr>
          <w:rFonts w:ascii="Times" w:hAnsi="Times"/>
        </w:rPr>
        <w:t>Inverse analyses use s</w:t>
      </w:r>
      <w:r>
        <w:rPr>
          <w:rFonts w:ascii="Times" w:hAnsi="Times"/>
        </w:rPr>
        <w:t>atellite</w:t>
      </w:r>
      <w:r w:rsidR="005F5CFD">
        <w:rPr>
          <w:rFonts w:ascii="Times" w:hAnsi="Times"/>
        </w:rPr>
        <w:t xml:space="preserve">, aircraft, and in situ </w:t>
      </w:r>
      <w:r>
        <w:rPr>
          <w:rFonts w:ascii="Times" w:hAnsi="Times"/>
        </w:rPr>
        <w:t xml:space="preserve">observations </w:t>
      </w:r>
      <w:r w:rsidR="005F5CFD">
        <w:rPr>
          <w:rFonts w:ascii="Times" w:hAnsi="Times"/>
        </w:rPr>
        <w:t>to</w:t>
      </w:r>
      <w:r>
        <w:rPr>
          <w:rFonts w:ascii="Times" w:hAnsi="Times"/>
        </w:rPr>
        <w:t xml:space="preserve"> evaluate inventori</w:t>
      </w:r>
      <w:r w:rsidR="005F5CFD">
        <w:rPr>
          <w:rFonts w:ascii="Times" w:hAnsi="Times"/>
        </w:rPr>
        <w:t>es</w:t>
      </w:r>
      <w:r>
        <w:rPr>
          <w:rFonts w:ascii="Times" w:hAnsi="Times"/>
        </w:rPr>
        <w:t xml:space="preserve">. </w:t>
      </w:r>
      <w:r w:rsidR="005F5CFD">
        <w:rPr>
          <w:rFonts w:ascii="Times" w:hAnsi="Times"/>
        </w:rPr>
        <w:t xml:space="preserve">To accurately quantify sectoral emissions at a national or subnational level, </w:t>
      </w:r>
      <w:r>
        <w:rPr>
          <w:rFonts w:ascii="Times" w:hAnsi="Times"/>
        </w:rPr>
        <w:t xml:space="preserve">these analyses must </w:t>
      </w:r>
      <w:r w:rsidR="005F5CFD">
        <w:rPr>
          <w:rFonts w:ascii="Times" w:hAnsi="Times"/>
        </w:rPr>
        <w:t xml:space="preserve">both </w:t>
      </w:r>
      <w:r>
        <w:rPr>
          <w:rFonts w:ascii="Times" w:hAnsi="Times"/>
        </w:rPr>
        <w:t>achieve high resolution</w:t>
      </w:r>
      <w:r w:rsidR="005F5CFD">
        <w:rPr>
          <w:rFonts w:ascii="Times" w:hAnsi="Times"/>
        </w:rPr>
        <w:t xml:space="preserve"> and quantify the information content of the observing system. Here we use column methane observations from the TROPOMI satellite instrument to infer methane emissions and the associated information content at </w:t>
      </w:r>
      <w:r w:rsidR="005F5CFD">
        <w:t>0.25</w:t>
      </w:r>
      <w:r w:rsidR="005F5CFD">
        <w:rPr>
          <w:rFonts w:ascii="d" w:hAnsi="d"/>
        </w:rPr>
        <w:t>° ⨉ 0.3125°</w:t>
      </w:r>
      <w:r w:rsidR="005F5CFD">
        <w:t xml:space="preserve"> resolution over North America</w:t>
      </w:r>
      <w:r w:rsidR="005F5CFD">
        <w:t xml:space="preserve"> for 2019, allowing nation-level analysis of urban, state, and sectoral emissions.</w:t>
      </w:r>
    </w:p>
    <w:p w14:paraId="75EA8AA9" w14:textId="41D66257" w:rsidR="005F5CFD" w:rsidRDefault="005F5CFD">
      <w:pPr>
        <w:rPr>
          <w:rFonts w:ascii="Times" w:hAnsi="Times"/>
        </w:rPr>
      </w:pPr>
    </w:p>
    <w:p w14:paraId="588781A4" w14:textId="610DA546" w:rsidR="005F5CFD" w:rsidRDefault="005F5CFD">
      <w:pPr>
        <w:rPr>
          <w:rFonts w:ascii="Times" w:hAnsi="Times"/>
        </w:rPr>
      </w:pPr>
      <w:r>
        <w:rPr>
          <w:rFonts w:ascii="Times" w:hAnsi="Times"/>
        </w:rPr>
        <w:t xml:space="preserve">Inverse analyses infer the emissions that best explain the observed concentrations by </w:t>
      </w:r>
    </w:p>
    <w:p w14:paraId="29D28677" w14:textId="0C7D4373" w:rsidR="00D3580B" w:rsidRDefault="00D3580B">
      <w:pPr>
        <w:rPr>
          <w:rFonts w:ascii="Times" w:hAnsi="Times"/>
        </w:rPr>
      </w:pPr>
    </w:p>
    <w:p w14:paraId="3C913971" w14:textId="77777777" w:rsidR="00D3580B" w:rsidRDefault="00D3580B">
      <w:pPr>
        <w:rPr>
          <w:rFonts w:ascii="Times" w:hAnsi="Times"/>
        </w:rPr>
      </w:pPr>
    </w:p>
    <w:p w14:paraId="19473B67" w14:textId="77777777" w:rsidR="00D3580B" w:rsidRPr="00D3580B" w:rsidRDefault="00D3580B" w:rsidP="00D3580B">
      <w:pPr>
        <w:numPr>
          <w:ilvl w:val="0"/>
          <w:numId w:val="15"/>
        </w:numPr>
        <w:rPr>
          <w:rFonts w:ascii="Times" w:hAnsi="Times"/>
        </w:rPr>
      </w:pPr>
      <w:r w:rsidRPr="00D3580B">
        <w:rPr>
          <w:rFonts w:ascii="Times" w:hAnsi="Times"/>
        </w:rPr>
        <w:t>Intro outline</w:t>
      </w:r>
    </w:p>
    <w:p w14:paraId="5CBEAD77" w14:textId="77777777" w:rsidR="00D3580B" w:rsidRPr="00D3580B" w:rsidRDefault="00D3580B" w:rsidP="00D3580B">
      <w:pPr>
        <w:numPr>
          <w:ilvl w:val="0"/>
          <w:numId w:val="15"/>
        </w:numPr>
        <w:rPr>
          <w:rFonts w:ascii="Times" w:hAnsi="Times"/>
        </w:rPr>
      </w:pPr>
      <w:r w:rsidRPr="00D3580B">
        <w:rPr>
          <w:rFonts w:ascii="Times" w:hAnsi="Times"/>
        </w:rPr>
        <w:t>Don’t need to explain why we care about methane—look at IMI as an example</w:t>
      </w:r>
    </w:p>
    <w:p w14:paraId="1A11A046" w14:textId="77777777" w:rsidR="00D3580B" w:rsidRPr="00D3580B" w:rsidRDefault="00D3580B" w:rsidP="00D3580B">
      <w:pPr>
        <w:numPr>
          <w:ilvl w:val="0"/>
          <w:numId w:val="15"/>
        </w:numPr>
        <w:rPr>
          <w:rFonts w:ascii="Times" w:hAnsi="Times"/>
        </w:rPr>
      </w:pPr>
      <w:r w:rsidRPr="00D3580B">
        <w:rPr>
          <w:rFonts w:ascii="Times" w:hAnsi="Times"/>
        </w:rPr>
        <w:t>Climate agreements—need to go to higher resolution to quantify country-level emissions, requiring continental scale</w:t>
      </w:r>
    </w:p>
    <w:p w14:paraId="313E6271" w14:textId="7479FFFA" w:rsidR="00D3580B" w:rsidRPr="00D3580B" w:rsidRDefault="00D3580B" w:rsidP="00D3580B">
      <w:pPr>
        <w:numPr>
          <w:ilvl w:val="1"/>
          <w:numId w:val="15"/>
        </w:numPr>
        <w:rPr>
          <w:rFonts w:ascii="Times" w:hAnsi="Times"/>
        </w:rPr>
      </w:pPr>
      <w:proofErr w:type="spellStart"/>
      <w:r w:rsidRPr="00D3580B">
        <w:rPr>
          <w:rFonts w:ascii="Times" w:hAnsi="Times"/>
        </w:rPr>
        <w:t>Issuue</w:t>
      </w:r>
      <w:proofErr w:type="spellEnd"/>
      <w:r w:rsidRPr="00D3580B">
        <w:rPr>
          <w:rFonts w:ascii="Times" w:hAnsi="Times"/>
        </w:rPr>
        <w:t xml:space="preserve"> with sector attribution and geographic </w:t>
      </w:r>
      <w:proofErr w:type="spellStart"/>
      <w:r w:rsidRPr="00D3580B">
        <w:rPr>
          <w:rFonts w:ascii="Times" w:hAnsi="Times"/>
        </w:rPr>
        <w:t>atttribution</w:t>
      </w:r>
      <w:proofErr w:type="spellEnd"/>
      <w:r w:rsidRPr="00D3580B">
        <w:rPr>
          <w:rFonts w:ascii="Times" w:hAnsi="Times"/>
        </w:rPr>
        <w:t xml:space="preserve"> </w:t>
      </w:r>
      <w:r>
        <w:rPr>
          <w:rFonts w:ascii="Times" w:hAnsi="Times"/>
        </w:rPr>
        <w:t>(maybe cite Tia’s paper)</w:t>
      </w:r>
    </w:p>
    <w:p w14:paraId="415347B1" w14:textId="77777777" w:rsidR="00D3580B" w:rsidRPr="00D3580B" w:rsidRDefault="00D3580B" w:rsidP="00D3580B">
      <w:pPr>
        <w:numPr>
          <w:ilvl w:val="0"/>
          <w:numId w:val="15"/>
        </w:numPr>
        <w:rPr>
          <w:rFonts w:ascii="Times" w:hAnsi="Times"/>
        </w:rPr>
      </w:pPr>
      <w:r w:rsidRPr="00D3580B">
        <w:rPr>
          <w:rFonts w:ascii="Times" w:hAnsi="Times"/>
        </w:rPr>
        <w:t>Next paragraph: how we’ve achieved high resolution in the past (adjoint, GMMs, Cusworth approach)</w:t>
      </w:r>
    </w:p>
    <w:p w14:paraId="37FF1766" w14:textId="5031665E" w:rsidR="002D111D" w:rsidRDefault="002D111D">
      <w:pPr>
        <w:rPr>
          <w:rFonts w:ascii="Times" w:hAnsi="Times"/>
        </w:rPr>
      </w:pPr>
    </w:p>
    <w:p w14:paraId="1230F47A" w14:textId="77777777" w:rsidR="002D111D" w:rsidRDefault="002D111D">
      <w:pPr>
        <w:rPr>
          <w:rFonts w:ascii="Times" w:hAnsi="Times"/>
        </w:rPr>
      </w:pPr>
    </w:p>
    <w:p w14:paraId="328587FA" w14:textId="7EE87C8D" w:rsidR="00914C58" w:rsidRDefault="00914C58">
      <w:pPr>
        <w:rPr>
          <w:rFonts w:ascii="Times" w:hAnsi="Times"/>
        </w:rPr>
      </w:pPr>
      <w:r>
        <w:rPr>
          <w:rFonts w:ascii="Times" w:hAnsi="Times"/>
        </w:rPr>
        <w:t>[define observing system]</w:t>
      </w:r>
    </w:p>
    <w:p w14:paraId="6942DCEE" w14:textId="77777777" w:rsidR="00914C58" w:rsidRDefault="00914C5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01B1824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w:t>
      </w:r>
      <w:proofErr w:type="spellStart"/>
      <w:r w:rsidR="007819DD">
        <w:rPr>
          <w:rFonts w:ascii="Times" w:hAnsi="Times" w:cs="Times New Roman"/>
        </w:rPr>
        <w:t>1deg</w:t>
      </w:r>
      <w:proofErr w:type="spellEnd"/>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lastRenderedPageBreak/>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t>2</w:t>
      </w:r>
      <w:r w:rsidRPr="007122CC">
        <w:rPr>
          <w:rFonts w:ascii="Times" w:hAnsi="Times"/>
        </w:rPr>
        <w:t xml:space="preserve"> </w:t>
      </w:r>
      <w:r w:rsidRPr="007122CC">
        <w:rPr>
          <w:rFonts w:ascii="Times" w:hAnsi="Times"/>
          <w:b/>
          <w:bCs/>
        </w:rPr>
        <w:t>Data and methods</w:t>
      </w:r>
    </w:p>
    <w:p w14:paraId="3EFA07AA" w14:textId="70B9EA3E"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w:t>
      </w:r>
      <w:r w:rsidR="000663AD">
        <w:rPr>
          <w:rFonts w:ascii="Cambria Math" w:hAnsi="Cambria Math"/>
        </w:rPr>
        <w:t>⨉</w:t>
      </w:r>
      <w:r w:rsidR="000C7673" w:rsidRPr="004040FD">
        <w:rPr>
          <w:rFonts w:ascii="Times" w:hAnsi="Times"/>
        </w:rPr>
        <w:t xml:space="preserve">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2.4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w:t>
      </w:r>
      <w:r w:rsidR="009348A6">
        <w:rPr>
          <w:rFonts w:ascii="Times" w:hAnsi="Times"/>
        </w:rPr>
        <w:t>GEOS-Chem; section 2.4 describes</w:t>
      </w:r>
      <w:r w:rsidR="009770AD">
        <w:rPr>
          <w:rFonts w:ascii="Times" w:hAnsi="Times"/>
        </w:rPr>
        <w:t xml:space="preserve"> TROPOMI observations</w:t>
      </w:r>
      <w:r w:rsidR="009348A6">
        <w:rPr>
          <w:rFonts w:ascii="Times" w:hAnsi="Times"/>
        </w:rPr>
        <w:t xml:space="preserve">; section 2.5 describes </w:t>
      </w:r>
      <w:r w:rsidR="009770AD">
        <w:rPr>
          <w:rFonts w:ascii="Times" w:hAnsi="Times"/>
        </w:rPr>
        <w:t>the observing system errors</w:t>
      </w:r>
      <w:r w:rsidR="00E334F2">
        <w:rPr>
          <w:rFonts w:ascii="Times" w:hAnsi="Times"/>
        </w:rPr>
        <w:t>; and section 2.</w:t>
      </w:r>
      <w:r w:rsidR="009348A6">
        <w:rPr>
          <w:rFonts w:ascii="Times" w:hAnsi="Times"/>
        </w:rPr>
        <w:t>6</w:t>
      </w:r>
      <w:r w:rsidR="00E334F2">
        <w:rPr>
          <w:rFonts w:ascii="Times" w:hAnsi="Times"/>
        </w:rPr>
        <w:t xml:space="preserve"> describes the novel, reduced-rank method used to calculate the Jacobian matrix</w:t>
      </w:r>
      <w:r w:rsidR="009770AD">
        <w:rPr>
          <w:rFonts w:ascii="Times" w:hAnsi="Times"/>
        </w:rPr>
        <w:t xml:space="preserve">. </w:t>
      </w:r>
    </w:p>
    <w:p w14:paraId="142090A4" w14:textId="77777777" w:rsidR="009770AD" w:rsidRPr="00F603F1" w:rsidRDefault="009770AD" w:rsidP="00F603F1">
      <w:pPr>
        <w:rPr>
          <w:rFonts w:ascii="Times" w:hAnsi="Times"/>
        </w:rPr>
      </w:pPr>
    </w:p>
    <w:p w14:paraId="5EB3B151" w14:textId="1E932A45"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381CA9">
        <w:rPr>
          <w:rFonts w:ascii="Times" w:hAnsi="Times"/>
          <w:b/>
          <w:bCs/>
        </w:rPr>
        <w:t>Reduced-rank a</w:t>
      </w:r>
      <w:r w:rsidR="008302D7">
        <w:rPr>
          <w:rFonts w:ascii="Times" w:hAnsi="Times"/>
          <w:b/>
          <w:bCs/>
        </w:rPr>
        <w:t>nalytical i</w:t>
      </w:r>
      <w:r w:rsidRPr="007122CC">
        <w:rPr>
          <w:rFonts w:ascii="Times" w:hAnsi="Times"/>
          <w:b/>
          <w:bCs/>
        </w:rPr>
        <w:t>nversion</w:t>
      </w:r>
    </w:p>
    <w:p w14:paraId="34FECCBF" w14:textId="0563F837"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w:t>
      </w:r>
      <m:oMath>
        <m:r>
          <w:rPr>
            <w:rFonts w:ascii="Cambria Math" w:eastAsiaTheme="minorEastAsia" w:hAnsi="Cambria Math"/>
          </w:rPr>
          <m:t>n</m:t>
        </m:r>
      </m:oMath>
      <w:r w:rsidR="005178BE">
        <w:rPr>
          <w:rFonts w:ascii="Times" w:hAnsi="Times"/>
        </w:rPr>
        <w:t xml:space="preserve"> </w:t>
      </w:r>
      <w:r>
        <w:rPr>
          <w:rFonts w:ascii="Times" w:hAnsi="Times"/>
        </w:rPr>
        <w:t>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26597665" w:rsidR="00F215E4" w:rsidRPr="001B4A42" w:rsidRDefault="00000000">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34BBE846" w14:textId="0EC94B7F" w:rsidR="00B746C6" w:rsidRPr="00940EB7" w:rsidRDefault="00367D8C" w:rsidP="00664A9F">
      <w:pPr>
        <w:rPr>
          <w:rFonts w:ascii="Times" w:eastAsiaTheme="minorEastAsia" w:hAnsi="Times"/>
        </w:rPr>
      </w:pPr>
      <w:r>
        <w:rPr>
          <w:rFonts w:ascii="Times" w:hAnsi="Times"/>
        </w:rPr>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w:t>
      </w:r>
      <w:r w:rsidR="005178BE">
        <w:rPr>
          <w:rFonts w:ascii="Times" w:eastAsiaTheme="minorEastAsia" w:hAnsi="Times"/>
          <w:bCs/>
        </w:rPr>
        <w:t xml:space="preserve"> matrix</w:t>
      </w:r>
      <w:r w:rsidR="00E63085">
        <w:rPr>
          <w:rFonts w:ascii="Times" w:eastAsiaTheme="minorEastAsia" w:hAnsi="Times"/>
          <w:bCs/>
        </w:rPr>
        <w:t>,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vector</w:t>
      </w:r>
      <w:r w:rsidR="005178BE">
        <w:rPr>
          <w:rFonts w:ascii="Times" w:eastAsiaTheme="minorEastAsia" w:hAnsi="Times"/>
          <w:bCs/>
          <w:iCs/>
        </w:rPr>
        <w:t xml:space="preserve"> of </w:t>
      </w:r>
      <m:oMath>
        <m:r>
          <w:rPr>
            <w:rFonts w:ascii="Cambria Math" w:eastAsiaTheme="minorEastAsia" w:hAnsi="Cambria Math"/>
          </w:rPr>
          <m:t>m</m:t>
        </m:r>
      </m:oMath>
      <w:r w:rsidR="005178BE">
        <w:rPr>
          <w:rFonts w:ascii="Times" w:eastAsiaTheme="minorEastAsia" w:hAnsi="Times"/>
          <w:bCs/>
          <w:iCs/>
        </w:rPr>
        <w:t xml:space="preserve"> observations</w:t>
      </w:r>
      <w:r w:rsidR="00E63085">
        <w:rPr>
          <w:rFonts w:ascii="Times" w:eastAsiaTheme="minorEastAsia" w:hAnsi="Times"/>
          <w:bCs/>
          <w:iCs/>
        </w:rPr>
        <w:t xml:space="preserve"> and </w:t>
      </w:r>
      <w:r w:rsidR="005178BE">
        <w:rPr>
          <w:rFonts w:ascii="Times" w:eastAsiaTheme="minorEastAsia" w:hAnsi="Times"/>
          <w:bCs/>
          <w:iCs/>
        </w:rPr>
        <w:t xml:space="preserve">the </w:t>
      </w:r>
      <w:r w:rsidR="00E63085">
        <w:rPr>
          <w:rFonts w:ascii="Times" w:eastAsiaTheme="minorEastAsia" w:hAnsi="Times"/>
          <w:bCs/>
          <w:iCs/>
        </w:rPr>
        <w:t>error covariance</w:t>
      </w:r>
      <w:r w:rsidR="005178BE">
        <w:rPr>
          <w:rFonts w:ascii="Times" w:eastAsiaTheme="minorEastAsia" w:hAnsi="Times"/>
          <w:bCs/>
          <w:iCs/>
        </w:rPr>
        <w:t xml:space="preserve"> matrix</w:t>
      </w:r>
      <w:r w:rsidR="00E63085">
        <w:rPr>
          <w:rFonts w:ascii="Times" w:eastAsiaTheme="minorEastAsia" w:hAnsi="Times"/>
          <w:bCs/>
          <w:iCs/>
        </w:rPr>
        <w:t>,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w:t>
      </w:r>
      <w:proofErr w:type="spellStart"/>
      <w:r w:rsidR="00664A9F">
        <w:rPr>
          <w:rFonts w:ascii="Times" w:eastAsiaTheme="minorEastAsia" w:hAnsi="Times"/>
          <w:bCs/>
          <w:iCs/>
        </w:rPr>
        <w:t>tes</w:t>
      </w:r>
      <w:proofErr w:type="spellEnd"/>
      <w:r w:rsidR="00664A9F">
        <w:rPr>
          <w:rFonts w:ascii="Times" w:eastAsiaTheme="minorEastAsia" w:hAnsi="Times"/>
          <w:bCs/>
          <w:iCs/>
        </w:rPr>
        <w:t xml:space="preserve">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Pr>
          <w:rFonts w:ascii="Times" w:eastAsiaTheme="minorEastAsia" w:hAnsi="Times"/>
          <w:bCs/>
          <w:iCs/>
        </w:rPr>
        <w:t xml:space="preserve"> (section 2.4)</w:t>
      </w:r>
      <w:r w:rsidR="005178BE">
        <w:rPr>
          <w:rFonts w:ascii="Times" w:eastAsiaTheme="minorEastAsia" w:hAnsi="Times"/>
          <w:bCs/>
          <w:iCs/>
        </w:rPr>
        <w:t xml:space="preserve"> </w:t>
      </w:r>
      <w:r w:rsidR="005178BE">
        <w:rPr>
          <w:rFonts w:ascii="Times" w:eastAsiaTheme="minorEastAsia" w:hAnsi="Times"/>
          <w:bCs/>
          <w:iCs/>
        </w:rPr>
        <w:fldChar w:fldCharType="begin"/>
      </w:r>
      <w:r w:rsidR="005178BE">
        <w:rPr>
          <w:rFonts w:ascii="Times" w:eastAsiaTheme="minorEastAsia" w:hAnsi="Times"/>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Pr>
          <w:rFonts w:ascii="Times" w:eastAsiaTheme="minorEastAsia" w:hAnsi="Times"/>
          <w:bCs/>
          <w:iCs/>
        </w:rPr>
        <w:fldChar w:fldCharType="separate"/>
      </w:r>
      <w:r w:rsidR="005178BE">
        <w:rPr>
          <w:rFonts w:ascii="Times" w:eastAsiaTheme="minorEastAsia" w:hAnsi="Times"/>
          <w:bCs/>
          <w:iCs/>
          <w:noProof/>
        </w:rPr>
        <w:t>(Brasseur and Jacob, 2017)</w:t>
      </w:r>
      <w:r w:rsidR="005178BE">
        <w:rPr>
          <w:rFonts w:ascii="Times" w:eastAsiaTheme="minorEastAsia" w:hAnsi="Times"/>
          <w:bCs/>
          <w:iCs/>
        </w:rPr>
        <w:fldChar w:fldCharType="end"/>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w:t>
      </w:r>
      <w:r w:rsidR="00257F6B">
        <w:rPr>
          <w:rFonts w:ascii="Times" w:eastAsiaTheme="minorEastAsia" w:hAnsi="Times"/>
          <w:bCs/>
        </w:rPr>
        <w:t xml:space="preserve">. </w:t>
      </w:r>
      <w:r w:rsidR="005178BE">
        <w:rPr>
          <w:rFonts w:ascii="Times" w:eastAsiaTheme="minorEastAsia" w:hAnsi="Times"/>
          <w:bCs/>
        </w:rPr>
        <w:t>A</w:t>
      </w:r>
      <w:r w:rsidR="001B4A42">
        <w:rPr>
          <w:rFonts w:ascii="Times" w:eastAsiaTheme="minorEastAsia" w:hAnsi="Times"/>
          <w:bCs/>
        </w:rPr>
        <w:t xml:space="preserve">nalytical minimization of the cost function </w:t>
      </w:r>
      <w:r w:rsidR="005178BE">
        <w:rPr>
          <w:rFonts w:ascii="Times" w:eastAsiaTheme="minorEastAsia" w:hAnsi="Times"/>
          <w:bCs/>
        </w:rPr>
        <w:t>then yields</w:t>
      </w:r>
      <w:r w:rsidR="001B4A42">
        <w:rPr>
          <w:rFonts w:ascii="Times" w:eastAsiaTheme="minorEastAsia" w:hAnsi="Times"/>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Pr>
          <w:rFonts w:ascii="Times" w:eastAsiaTheme="minorEastAsia" w:hAnsi="Times"/>
        </w:rPr>
        <w:t xml:space="preserve">, </w:t>
      </w:r>
      <w:r w:rsidR="001B4A42">
        <w:rPr>
          <w:rFonts w:ascii="Times" w:eastAsiaTheme="minorEastAsia" w:hAnsi="Times"/>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Pr>
          <w:rFonts w:ascii="Times" w:eastAsiaTheme="minorEastAsia" w:hAnsi="Times"/>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Pr>
          <w:rFonts w:ascii="Times" w:eastAsiaTheme="minorEastAsia" w:hAnsi="Times"/>
          <w:bCs/>
        </w:rPr>
        <w:t xml:space="preserve">, which </w:t>
      </w:r>
      <w:r w:rsidR="00940EB7">
        <w:rPr>
          <w:rFonts w:ascii="Times" w:eastAsiaTheme="minorEastAsia" w:hAnsi="Times"/>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Pr>
          <w:rFonts w:ascii="Times" w:eastAsiaTheme="minorEastAsia" w:hAnsi="Times"/>
          <w:bCs/>
        </w:rPr>
        <w:t xml:space="preserve"> </w:t>
      </w:r>
      <w:r w:rsidR="00FD0A57">
        <w:rPr>
          <w:rFonts w:ascii="Times" w:eastAsiaTheme="minorEastAsia" w:hAnsi="Times"/>
          <w:bCs/>
        </w:rPr>
        <w:fldChar w:fldCharType="begin"/>
      </w:r>
      <w:r w:rsidR="00FD0A57">
        <w:rPr>
          <w:rFonts w:ascii="Times" w:eastAsiaTheme="minorEastAsia" w:hAnsi="Times"/>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Pr>
          <w:rFonts w:ascii="Times" w:eastAsiaTheme="minorEastAsia" w:hAnsi="Times"/>
          <w:bCs/>
        </w:rPr>
        <w:fldChar w:fldCharType="separate"/>
      </w:r>
      <w:r w:rsidR="00FD0A57">
        <w:rPr>
          <w:rFonts w:ascii="Times" w:eastAsiaTheme="minorEastAsia" w:hAnsi="Times"/>
          <w:bCs/>
          <w:noProof/>
        </w:rPr>
        <w:t>(Rodgers, 2000)</w:t>
      </w:r>
      <w:r w:rsidR="00FD0A57">
        <w:rPr>
          <w:rFonts w:ascii="Times" w:eastAsiaTheme="minorEastAsia" w:hAnsi="Times"/>
          <w:bCs/>
        </w:rPr>
        <w:fldChar w:fldCharType="end"/>
      </w:r>
      <w:r w:rsidR="005178BE">
        <w:rPr>
          <w:rFonts w:ascii="Times" w:eastAsiaTheme="minorEastAsia" w:hAnsi="Times"/>
          <w:bCs/>
        </w:rPr>
        <w:t>.</w:t>
      </w:r>
    </w:p>
    <w:p w14:paraId="22361849" w14:textId="77777777" w:rsidR="00B746C6" w:rsidRDefault="00B746C6" w:rsidP="00664A9F">
      <w:pPr>
        <w:rPr>
          <w:rFonts w:ascii="Times" w:eastAsiaTheme="minorEastAsia" w:hAnsi="Times"/>
          <w:bCs/>
        </w:rPr>
      </w:pPr>
    </w:p>
    <w:p w14:paraId="293775C7" w14:textId="75128A1C" w:rsidR="00E14379" w:rsidRDefault="00381CA9" w:rsidP="0092425A">
      <w:pPr>
        <w:rPr>
          <w:rFonts w:ascii="Times" w:eastAsiaTheme="minorEastAsia" w:hAnsi="Times"/>
          <w:bCs/>
        </w:rPr>
      </w:pPr>
      <w:r>
        <w:rPr>
          <w:rFonts w:ascii="Times" w:eastAsiaTheme="minorEastAsia" w:hAnsi="Times"/>
          <w:bCs/>
        </w:rPr>
        <w:t>T</w:t>
      </w:r>
      <w:r w:rsidR="00914C58">
        <w:rPr>
          <w:rFonts w:ascii="Times" w:eastAsiaTheme="minorEastAsia" w:hAnsi="Times"/>
          <w:bCs/>
        </w:rPr>
        <w:t xml:space="preserve">he </w:t>
      </w:r>
      <w:r>
        <w:rPr>
          <w:rFonts w:ascii="Times" w:eastAsiaTheme="minorEastAsia" w:hAnsi="Times"/>
          <w:bCs/>
        </w:rPr>
        <w:t xml:space="preserve">standard </w:t>
      </w:r>
      <w:r w:rsidR="00914C58">
        <w:rPr>
          <w:rFonts w:ascii="Times" w:eastAsiaTheme="minorEastAsia" w:hAnsi="Times"/>
          <w:bCs/>
        </w:rPr>
        <w:t>analytical</w:t>
      </w:r>
      <w:r w:rsidR="00940EB7">
        <w:rPr>
          <w:rFonts w:ascii="Times" w:eastAsiaTheme="minorEastAsia" w:hAnsi="Times"/>
          <w:bCs/>
        </w:rPr>
        <w:t xml:space="preserve"> solution </w:t>
      </w:r>
      <w:r w:rsidR="005178BE">
        <w:rPr>
          <w:rFonts w:ascii="Times" w:eastAsiaTheme="minorEastAsia" w:hAnsi="Times"/>
          <w:bCs/>
        </w:rPr>
        <w:t xml:space="preserve">is numerically unstable for large </w:t>
      </w:r>
      <m:oMath>
        <m:r>
          <w:rPr>
            <w:rFonts w:ascii="Cambria Math" w:eastAsiaTheme="minorEastAsia" w:hAnsi="Cambria Math"/>
          </w:rPr>
          <m:t>n</m:t>
        </m:r>
      </m:oMath>
      <w:r w:rsidR="005178BE">
        <w:rPr>
          <w:rFonts w:ascii="Times" w:eastAsiaTheme="minorEastAsia" w:hAnsi="Times"/>
          <w:bCs/>
        </w:rPr>
        <w:t xml:space="preserve"> since it requires inverting a non-sparse </w:t>
      </w:r>
      <m:oMath>
        <m:r>
          <w:rPr>
            <w:rFonts w:ascii="Cambria Math" w:eastAsiaTheme="minorEastAsia" w:hAnsi="Cambria Math"/>
          </w:rPr>
          <m:t>n×n</m:t>
        </m:r>
      </m:oMath>
      <w:r w:rsidR="005178BE">
        <w:rPr>
          <w:rFonts w:ascii="Times" w:eastAsiaTheme="minorEastAsia" w:hAnsi="Times"/>
          <w:bCs/>
        </w:rPr>
        <w:t xml:space="preserve"> matrix. </w:t>
      </w:r>
      <w:r w:rsidR="00940EB7">
        <w:rPr>
          <w:rFonts w:ascii="Times" w:eastAsiaTheme="minorEastAsia" w:hAnsi="Times"/>
          <w:bCs/>
        </w:rPr>
        <w:t xml:space="preserve">We </w:t>
      </w:r>
      <w:r>
        <w:rPr>
          <w:rFonts w:ascii="Times" w:eastAsiaTheme="minorEastAsia" w:hAnsi="Times"/>
          <w:bCs/>
        </w:rPr>
        <w:t>instead use</w:t>
      </w:r>
      <w:r w:rsidR="005178BE">
        <w:rPr>
          <w:rFonts w:ascii="Times" w:eastAsiaTheme="minorEastAsia" w:hAnsi="Times"/>
          <w:bCs/>
        </w:rPr>
        <w:t xml:space="preserve"> reduced-rank approximations </w:t>
      </w:r>
      <w:r w:rsidR="009348A6">
        <w:rPr>
          <w:rFonts w:ascii="Times" w:eastAsiaTheme="minorEastAsia" w:hAnsi="Times"/>
          <w:bCs/>
        </w:rPr>
        <w:t>that</w:t>
      </w:r>
      <w:r w:rsidR="008778AC">
        <w:rPr>
          <w:rFonts w:ascii="Times" w:eastAsiaTheme="minorEastAsia" w:hAnsi="Times"/>
          <w:bCs/>
        </w:rPr>
        <w:t xml:space="preserve"> </w:t>
      </w:r>
      <w:r w:rsidR="00940EB7">
        <w:rPr>
          <w:rFonts w:ascii="Times" w:eastAsiaTheme="minorEastAsia" w:hAnsi="Times"/>
          <w:bCs/>
        </w:rPr>
        <w:t xml:space="preserve">solve the </w:t>
      </w:r>
      <w:r w:rsidR="00914C58">
        <w:rPr>
          <w:rFonts w:ascii="Times" w:eastAsiaTheme="minorEastAsia" w:hAnsi="Times"/>
          <w:bCs/>
        </w:rPr>
        <w:t>inversion</w:t>
      </w:r>
      <w:r w:rsidR="00940EB7">
        <w:rPr>
          <w:rFonts w:ascii="Times" w:eastAsiaTheme="minorEastAsia" w:hAnsi="Times"/>
          <w:bCs/>
        </w:rPr>
        <w:t xml:space="preserve"> on </w:t>
      </w:r>
      <w:r>
        <w:rPr>
          <w:rFonts w:ascii="Times" w:eastAsiaTheme="minorEastAsia" w:hAnsi="Times"/>
          <w:bCs/>
        </w:rPr>
        <w:t>orthonormal</w:t>
      </w:r>
      <w:r w:rsidR="00914C58">
        <w:rPr>
          <w:rFonts w:ascii="Times" w:eastAsiaTheme="minorEastAsia" w:hAnsi="Times"/>
          <w:bCs/>
        </w:rPr>
        <w:t xml:space="preserve"> </w:t>
      </w:r>
      <w:r w:rsidR="008778AC">
        <w:rPr>
          <w:rFonts w:ascii="Times" w:eastAsiaTheme="minorEastAsia" w:hAnsi="Times"/>
          <w:bCs/>
        </w:rPr>
        <w:t xml:space="preserve">basis </w:t>
      </w:r>
      <w:r w:rsidR="00940EB7">
        <w:rPr>
          <w:rFonts w:ascii="Times" w:eastAsiaTheme="minorEastAsia" w:hAnsi="Times"/>
          <w:bCs/>
        </w:rPr>
        <w:t>that optimally span</w:t>
      </w:r>
      <w:r>
        <w:rPr>
          <w:rFonts w:ascii="Times" w:eastAsiaTheme="minorEastAsia" w:hAnsi="Times"/>
          <w:bCs/>
        </w:rPr>
        <w:t>s</w:t>
      </w:r>
      <w:r w:rsidR="00940EB7">
        <w:rPr>
          <w:rFonts w:ascii="Times" w:eastAsiaTheme="minorEastAsia" w:hAnsi="Times"/>
          <w:bCs/>
        </w:rPr>
        <w:t xml:space="preserve"> the information content </w:t>
      </w:r>
      <w:r w:rsidR="00914C58">
        <w:rPr>
          <w:rFonts w:ascii="Times" w:eastAsiaTheme="minorEastAsia" w:hAnsi="Times"/>
          <w:bCs/>
        </w:rPr>
        <w:t>of the</w:t>
      </w:r>
      <w:r w:rsidR="0092425A">
        <w:rPr>
          <w:rFonts w:ascii="Times" w:eastAsiaTheme="minorEastAsia" w:hAnsi="Times"/>
          <w:bCs/>
        </w:rPr>
        <w:t xml:space="preserve"> </w:t>
      </w:r>
      <w:r w:rsidR="00914C58">
        <w:rPr>
          <w:rFonts w:ascii="Times" w:eastAsiaTheme="minorEastAsia" w:hAnsi="Times"/>
          <w:bCs/>
        </w:rPr>
        <w:t>satellite</w:t>
      </w:r>
      <w:r>
        <w:rPr>
          <w:rFonts w:ascii="Times" w:eastAsiaTheme="minorEastAsia" w:hAnsi="Times"/>
          <w:bCs/>
        </w:rPr>
        <w:t>–</w:t>
      </w:r>
      <w:r w:rsidR="00914C58">
        <w:rPr>
          <w:rFonts w:ascii="Times" w:eastAsiaTheme="minorEastAsia" w:hAnsi="Times"/>
          <w:bCs/>
        </w:rPr>
        <w:t xml:space="preserve">forward model </w:t>
      </w:r>
      <w:r w:rsidR="0092425A">
        <w:rPr>
          <w:rFonts w:ascii="Times" w:eastAsiaTheme="minorEastAsia" w:hAnsi="Times"/>
          <w:bCs/>
        </w:rPr>
        <w:t>observing system</w:t>
      </w:r>
      <w:r w:rsidR="009348A6">
        <w:rPr>
          <w:rFonts w:ascii="Times" w:eastAsiaTheme="minorEastAsia" w:hAnsi="Times"/>
          <w:bCs/>
        </w:rPr>
        <w:t xml:space="preserve"> </w:t>
      </w:r>
      <w:r w:rsidR="009348A6">
        <w:rPr>
          <w:rFonts w:ascii="Times" w:eastAsiaTheme="minorEastAsia" w:hAnsi="Times"/>
          <w:bCs/>
        </w:rPr>
        <w:fldChar w:fldCharType="begin"/>
      </w:r>
      <w:r w:rsidR="009348A6">
        <w:rPr>
          <w:rFonts w:ascii="Times" w:eastAsiaTheme="minorEastAsia" w:hAnsi="Times"/>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Pr>
          <w:rFonts w:ascii="Times" w:eastAsiaTheme="minorEastAsia" w:hAnsi="Times"/>
          <w:bCs/>
        </w:rPr>
        <w:fldChar w:fldCharType="separate"/>
      </w:r>
      <w:r w:rsidR="009348A6">
        <w:rPr>
          <w:rFonts w:ascii="Times" w:eastAsiaTheme="minorEastAsia" w:hAnsi="Times"/>
          <w:bCs/>
          <w:noProof/>
        </w:rPr>
        <w:t>(Bousserez and Henze, 2018)</w:t>
      </w:r>
      <w:r w:rsidR="009348A6">
        <w:rPr>
          <w:rFonts w:ascii="Times" w:eastAsiaTheme="minorEastAsia" w:hAnsi="Times"/>
          <w:bCs/>
        </w:rPr>
        <w:fldChar w:fldCharType="end"/>
      </w:r>
      <w:r w:rsidR="0092425A">
        <w:rPr>
          <w:rFonts w:ascii="Times" w:eastAsiaTheme="minorEastAsia" w:hAnsi="Times"/>
          <w:bCs/>
        </w:rPr>
        <w:t>. The</w:t>
      </w:r>
      <w:r>
        <w:rPr>
          <w:rFonts w:ascii="Times" w:eastAsiaTheme="minorEastAsia" w:hAnsi="Times"/>
          <w:bCs/>
        </w:rPr>
        <w:t xml:space="preserve"> basis</w:t>
      </w:r>
      <w:r w:rsidR="0092425A">
        <w:rPr>
          <w:rFonts w:ascii="Times" w:eastAsiaTheme="minorEastAsia" w:hAnsi="Times"/>
          <w:bCs/>
        </w:rPr>
        <w:t xml:space="preserve"> </w:t>
      </w:r>
      <w:r>
        <w:rPr>
          <w:rFonts w:ascii="Times" w:eastAsiaTheme="minorEastAsia" w:hAnsi="Times"/>
          <w:bCs/>
        </w:rPr>
        <w:t>is</w:t>
      </w:r>
      <w:r w:rsidR="0092425A">
        <w:rPr>
          <w:rFonts w:ascii="Times" w:eastAsiaTheme="minorEastAsia" w:hAnsi="Times"/>
          <w:bCs/>
        </w:rPr>
        <w:t xml:space="preserve"> given by the eigendecomposition </w:t>
      </w:r>
      <w:r w:rsidR="008778AC">
        <w:rPr>
          <w:rFonts w:ascii="Times" w:eastAsiaTheme="minorEastAsia" w:hAnsi="Times"/>
          <w:bCs/>
        </w:rPr>
        <w:t>of the prior-preconditioned Hessian</w:t>
      </w:r>
      <w:r w:rsidR="005178BE">
        <w:rPr>
          <w:rFonts w:ascii="Times" w:eastAsiaTheme="minorEastAsia" w:hAnsi="Times"/>
          <w:bCs/>
        </w:rPr>
        <w:t xml:space="preserve"> </w:t>
      </w:r>
    </w:p>
    <w:p w14:paraId="63494277" w14:textId="77777777" w:rsidR="00E14379" w:rsidRDefault="00E14379" w:rsidP="0092425A">
      <w:pPr>
        <w:rPr>
          <w:rFonts w:ascii="Times" w:eastAsiaTheme="minorEastAsia" w:hAnsi="Times"/>
          <w:bCs/>
        </w:rPr>
      </w:pPr>
    </w:p>
    <w:p w14:paraId="55F1E1D9" w14:textId="2D1F9483" w:rsidR="00E14379" w:rsidRPr="00E14379" w:rsidRDefault="00000000" w:rsidP="0092425A">
      <w:pPr>
        <w:rPr>
          <w:rFonts w:ascii="Times" w:eastAsiaTheme="minorEastAsia" w:hAnsi="Times"/>
          <w:bCs/>
        </w:rPr>
      </w:pPr>
      <m:oMathPara>
        <m:oMath>
          <m:eqArr>
            <m:eqArrPr>
              <m:maxDist m:val="1"/>
              <m:ctrlPr>
                <w:rPr>
                  <w:rFonts w:ascii="Cambria Math" w:eastAsiaTheme="minorEastAsia" w:hAnsi="Cambria Math"/>
                  <w:b/>
                  <w:bCs/>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m:rPr>
                  <m:sty m:val="bi"/>
                </m:rPr>
                <w:rPr>
                  <w:rFonts w:ascii="Cambria Math" w:eastAsiaTheme="minorEastAsia" w:hAnsi="Cambria Math"/>
                </w:rPr>
                <m:t xml:space="preserve">, </m:t>
              </m:r>
              <m:ctrlPr>
                <w:rPr>
                  <w:rFonts w:ascii="Cambria Math" w:eastAsiaTheme="minorEastAsia" w:hAnsi="Cambria Math"/>
                  <w:bCs/>
                  <w:i/>
                </w:rPr>
              </m:ctrlPr>
            </m:e>
          </m:eqArr>
          <m:r>
            <w:rPr>
              <w:rFonts w:ascii="Cambria Math" w:eastAsiaTheme="minorEastAsia" w:hAnsi="Cambria Math"/>
            </w:rPr>
            <m:t>(2)</m:t>
          </m:r>
        </m:oMath>
      </m:oMathPara>
    </w:p>
    <w:p w14:paraId="3A8E9DCD" w14:textId="77777777" w:rsidR="00E14379" w:rsidRDefault="00E14379" w:rsidP="0092425A">
      <w:pPr>
        <w:rPr>
          <w:rFonts w:ascii="Times" w:eastAsiaTheme="minorEastAsia" w:hAnsi="Times"/>
        </w:rPr>
      </w:pPr>
    </w:p>
    <w:p w14:paraId="567B3760" w14:textId="7F2E9ECA" w:rsidR="005178BE" w:rsidRPr="00C976E9" w:rsidRDefault="00C976E9" w:rsidP="0092425A">
      <w:pPr>
        <w:rPr>
          <w:rFonts w:ascii="Times" w:eastAsiaTheme="minorEastAsia" w:hAnsi="Times"/>
          <w:bCs/>
        </w:rPr>
      </w:pPr>
      <w:r>
        <w:rPr>
          <w:rFonts w:ascii="Times" w:eastAsiaTheme="minorEastAsia" w:hAnsi="Times"/>
        </w:rPr>
        <w:t>where</w:t>
      </w:r>
      <w:r w:rsidR="00381CA9">
        <w:rPr>
          <w:rFonts w:ascii="Times" w:eastAsiaTheme="minorEastAsia" w:hAnsi="Times"/>
        </w:rPr>
        <w:t xml:space="preserve"> the columns of</w:t>
      </w:r>
      <w:r>
        <w:rPr>
          <w:rFonts w:ascii="Times" w:eastAsiaTheme="minorEastAsia" w:hAnsi="Times"/>
        </w:rPr>
        <w:t xml:space="preserve"> </w:t>
      </w:r>
      <m:oMath>
        <m:r>
          <m:rPr>
            <m:sty m:val="b"/>
          </m:rPr>
          <w:rPr>
            <w:rFonts w:ascii="Cambria Math" w:eastAsiaTheme="minorEastAsia" w:hAnsi="Cambria Math"/>
          </w:rPr>
          <m:t>V</m:t>
        </m:r>
      </m:oMath>
      <w:r>
        <w:rPr>
          <w:rFonts w:ascii="Times" w:eastAsiaTheme="minorEastAsia" w:hAnsi="Times"/>
        </w:rPr>
        <w:t xml:space="preserve"> </w:t>
      </w:r>
      <w:r w:rsidR="00381CA9">
        <w:rPr>
          <w:rFonts w:ascii="Times" w:eastAsiaTheme="minorEastAsia" w:hAnsi="Times"/>
        </w:rPr>
        <w:t>are</w:t>
      </w:r>
      <w:r>
        <w:rPr>
          <w:rFonts w:ascii="Times" w:eastAsiaTheme="minorEastAsia" w:hAnsi="Times"/>
        </w:rPr>
        <w:t xml:space="preserve"> the eigenvectors </w:t>
      </w:r>
      <w:r>
        <w:rPr>
          <w:rFonts w:ascii="Times" w:eastAsiaTheme="minorEastAsia" w:hAnsi="Times"/>
          <w:bCs/>
        </w:rPr>
        <w:t>and</w:t>
      </w:r>
      <w:r w:rsidR="00381CA9">
        <w:rPr>
          <w:rFonts w:ascii="Times" w:eastAsiaTheme="minorEastAsia" w:hAnsi="Times"/>
          <w:bCs/>
        </w:rPr>
        <w:t xml:space="preserve"> the diagonal of</w:t>
      </w:r>
      <w:r>
        <w:rPr>
          <w:rFonts w:ascii="Times" w:eastAsiaTheme="minorEastAsia" w:hAnsi="Times"/>
          <w:bCs/>
        </w:rPr>
        <w:t xml:space="preserve"> </w:t>
      </w:r>
      <m:oMath>
        <m:r>
          <m:rPr>
            <m:sty m:val="b"/>
          </m:rPr>
          <w:rPr>
            <w:rFonts w:ascii="Cambria Math" w:eastAsiaTheme="minorEastAsia" w:hAnsi="Cambria Math"/>
          </w:rPr>
          <m:t>Λ</m:t>
        </m:r>
      </m:oMath>
      <w:r>
        <w:rPr>
          <w:rFonts w:ascii="Times" w:eastAsiaTheme="minorEastAsia" w:hAnsi="Times"/>
          <w:bCs/>
        </w:rPr>
        <w:t xml:space="preserve"> gives the eigenvalues. Then</w:t>
      </w:r>
      <w:r w:rsidR="00914C58">
        <w:rPr>
          <w:rFonts w:ascii="Times" w:eastAsiaTheme="minorEastAsia" w:hAnsi="Times"/>
          <w:bCs/>
        </w:rPr>
        <w:t>,</w:t>
      </w:r>
    </w:p>
    <w:p w14:paraId="0268D00C" w14:textId="0A020AAB" w:rsidR="001B4A42" w:rsidRDefault="001B4A42" w:rsidP="00664A9F">
      <w:pPr>
        <w:rPr>
          <w:rFonts w:ascii="Times" w:eastAsiaTheme="minorEastAsia" w:hAnsi="Times"/>
          <w:bCs/>
          <w:iCs/>
        </w:rPr>
      </w:pPr>
    </w:p>
    <w:p w14:paraId="42103669" w14:textId="4FC92AAA" w:rsidR="001B4A42" w:rsidRPr="00E0325C" w:rsidRDefault="00000000"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56EACB9B" w14:textId="08270440" w:rsidR="008E2D46" w:rsidRPr="0062723A" w:rsidRDefault="00FD0A57" w:rsidP="00B11F0C">
      <w:pPr>
        <w:rPr>
          <w:rFonts w:ascii="Times" w:hAnsi="Times"/>
        </w:rPr>
      </w:pPr>
      <w:r>
        <w:rPr>
          <w:rFonts w:ascii="Times" w:hAnsi="Times"/>
        </w:rPr>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Pr>
          <w:rFonts w:ascii="Times" w:hAnsi="Times"/>
        </w:rPr>
        <w:t xml:space="preserve"> is </w:t>
      </w:r>
      <w:r w:rsidR="008778AC">
        <w:rPr>
          <w:rFonts w:ascii="Times" w:hAnsi="Times"/>
        </w:rPr>
        <w:t xml:space="preserve">the full-rank approximation </w:t>
      </w:r>
      <w:r w:rsidR="00914C58">
        <w:rPr>
          <w:rFonts w:ascii="Times" w:hAnsi="Times"/>
        </w:rPr>
        <w:t xml:space="preserve">that </w:t>
      </w:r>
      <w:r w:rsidR="003D01B0">
        <w:rPr>
          <w:rFonts w:ascii="Times" w:hAnsi="Times"/>
        </w:rPr>
        <w:t>minimizes error relative to the standard solution</w:t>
      </w:r>
      <w:r w:rsidR="009348A6">
        <w:rPr>
          <w:rFonts w:ascii="Times" w:hAnsi="Times"/>
        </w:rPr>
        <w:t>;</w:t>
      </w:r>
      <w:r w:rsidR="003D01B0">
        <w:rPr>
          <w:rFonts w:ascii="Times" w:hAnsi="Times"/>
        </w:rPr>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Pr>
          <w:rFonts w:ascii="Times" w:hAnsi="Times"/>
        </w:rPr>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Pr>
          <w:rFonts w:ascii="Times" w:hAnsi="Times"/>
        </w:rPr>
        <w:t xml:space="preserve"> </w:t>
      </w:r>
      <w:r w:rsidR="009348A6">
        <w:rPr>
          <w:rFonts w:ascii="Times" w:hAnsi="Times"/>
        </w:rPr>
        <w:t>are</w:t>
      </w:r>
      <w:r w:rsidR="003D01B0">
        <w:rPr>
          <w:rFonts w:ascii="Times" w:hAnsi="Times"/>
        </w:rPr>
        <w:t xml:space="preserve"> the posterior error covariance matrix </w:t>
      </w:r>
      <w:r w:rsidR="009348A6">
        <w:rPr>
          <w:rFonts w:ascii="Times" w:hAnsi="Times"/>
        </w:rPr>
        <w:t xml:space="preserve">and averaging kernel matrix </w:t>
      </w:r>
      <w:r w:rsidR="003D01B0">
        <w:rPr>
          <w:rFonts w:ascii="Times" w:hAnsi="Times"/>
        </w:rPr>
        <w:t xml:space="preserve">associated with the </w:t>
      </w:r>
      <w:r w:rsidR="009348A6">
        <w:rPr>
          <w:rFonts w:ascii="Times" w:hAnsi="Times"/>
        </w:rPr>
        <w:t>reduced-rank Jacobian</w:t>
      </w:r>
      <w:r w:rsidR="0057503D">
        <w:rPr>
          <w:rFonts w:ascii="Times" w:hAnsi="Times"/>
        </w:rPr>
        <w:t xml:space="preserve"> matrix</w:t>
      </w:r>
      <w:r w:rsidR="009348A6">
        <w:rPr>
          <w:rFonts w:ascii="Times" w:hAnsi="Times"/>
        </w:rPr>
        <w:t xml:space="preserve"> (section 2.6)</w:t>
      </w:r>
      <w:r w:rsidR="0062723A">
        <w:rPr>
          <w:rFonts w:ascii="Times" w:hAnsi="Times"/>
        </w:rPr>
        <w:t>, respectively</w:t>
      </w:r>
      <w:r w:rsidR="009348A6">
        <w:rPr>
          <w:rFonts w:ascii="Times" w:hAnsi="Time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eigenvalues.</w:t>
      </w:r>
      <w:r w:rsidR="0057503D">
        <w:rPr>
          <w:rFonts w:ascii="Times" w:hAnsi="Times"/>
        </w:rPr>
        <w:t xml:space="preserve"> We choose </w:t>
      </w:r>
      <m:oMath>
        <m:r>
          <w:rPr>
            <w:rFonts w:ascii="Cambria Math" w:hAnsi="Cambria Math"/>
          </w:rPr>
          <m:t>k</m:t>
        </m:r>
      </m:oMath>
      <w:r w:rsidR="0057503D">
        <w:rPr>
          <w:rFonts w:ascii="Times" w:hAnsi="Times"/>
        </w:rPr>
        <w:t xml:space="preserve"> = 1952 to match the rank of the Jacobian matrix.</w:t>
      </w:r>
    </w:p>
    <w:p w14:paraId="14C5B8DC" w14:textId="35B3B19D" w:rsidR="00B11F0C" w:rsidRPr="00E63085" w:rsidRDefault="00B11F0C"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30C5BF63" w:rsidR="00E63085" w:rsidRDefault="00E63085" w:rsidP="00E63085">
      <w:pPr>
        <w:rPr>
          <w:rFonts w:ascii="Times" w:hAnsi="Times"/>
        </w:rPr>
      </w:pPr>
      <w:r>
        <w:rPr>
          <w:rFonts w:ascii="Times" w:hAnsi="Times"/>
        </w:rPr>
        <w:t xml:space="preserve">We optimize emissions in </w:t>
      </w:r>
      <w:r w:rsidRPr="004040FD">
        <w:rPr>
          <w:rFonts w:ascii="Times" w:hAnsi="Times"/>
        </w:rPr>
        <w:t xml:space="preserve">23,691 grid cells at 0.25° </w:t>
      </w:r>
      <w:r w:rsidR="00521D0D">
        <w:rPr>
          <w:rFonts w:ascii="Cambria Math" w:hAnsi="Cambria Math"/>
        </w:rPr>
        <w:t>⨉</w:t>
      </w:r>
      <w:r w:rsidRPr="004040FD">
        <w:rPr>
          <w:rFonts w:ascii="Times" w:hAnsi="Times"/>
        </w:rPr>
        <w:t xml:space="preserve"> 0.3125° resolution over</w:t>
      </w:r>
      <w:r>
        <w:rPr>
          <w:rFonts w:ascii="Times" w:hAnsi="Times"/>
        </w:rPr>
        <w:t xml:space="preserve"> </w:t>
      </w:r>
      <w:r w:rsidRPr="004040FD">
        <w:rPr>
          <w:rFonts w:ascii="Times" w:hAnsi="Times"/>
        </w:rPr>
        <w:t>North America</w:t>
      </w:r>
      <w:r>
        <w:rPr>
          <w:rFonts w:ascii="Times" w:hAnsi="Times"/>
        </w:rPr>
        <w:t>, including all grid cells containing land or anthropogenic methane emissions larger than 0.1 Mg km</w:t>
      </w:r>
      <w:r>
        <w:rPr>
          <w:rFonts w:ascii="Times" w:hAnsi="Times"/>
          <w:vertAlign w:val="superscript"/>
        </w:rPr>
        <w:t>-2</w:t>
      </w:r>
      <w:r>
        <w:rPr>
          <w:rFonts w:ascii="Times" w:hAnsi="Times"/>
        </w:rPr>
        <w:t xml:space="preserve"> a</w:t>
      </w:r>
      <w:r>
        <w:rPr>
          <w:rFonts w:ascii="Times" w:hAnsi="Times"/>
          <w:vertAlign w:val="superscript"/>
        </w:rPr>
        <w:t>-1</w:t>
      </w:r>
      <w:r>
        <w:rPr>
          <w:rFonts w:ascii="Times" w:hAnsi="Times"/>
        </w:rPr>
        <w:t xml:space="preserve">, representing over 99% of methane emissions in North America. </w:t>
      </w:r>
      <w:r w:rsidR="00FB7ECB">
        <w:rPr>
          <w:rFonts w:ascii="Times" w:hAnsi="Times"/>
        </w:rPr>
        <w:t xml:space="preserve">The reduced-rank Jacobian matrix (section 2.6) optimizes emissions only in those grid cells that are informed by the observing system and defaults to the prior elsewhere. We also optimize four cardinal (north, south, east, and west) boundary condition elements. </w:t>
      </w:r>
      <w:r>
        <w:rPr>
          <w:rFonts w:ascii="Times" w:hAnsi="Times"/>
        </w:rPr>
        <w:t xml:space="preserve">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01D67DFE" w:rsidR="00E63085" w:rsidRDefault="00E63085" w:rsidP="00E63085">
      <w:pPr>
        <w:rPr>
          <w:rFonts w:ascii="Times" w:hAnsi="Times"/>
        </w:rPr>
      </w:pPr>
      <w:r>
        <w:rPr>
          <w:rFonts w:ascii="Times" w:hAnsi="Times"/>
        </w:rPr>
        <w:t xml:space="preserve">Figure </w:t>
      </w:r>
      <w:r w:rsidR="00914C58">
        <w:rPr>
          <w:rFonts w:ascii="Times" w:hAnsi="Times"/>
        </w:rPr>
        <w:t>1</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w:t>
      </w:r>
      <w:r w:rsidR="00146D72">
        <w:rPr>
          <w:rFonts w:ascii="Times" w:hAnsi="Times"/>
        </w:rPr>
        <w:t>We also use</w:t>
      </w:r>
      <w:r w:rsidR="00490EB9">
        <w:rPr>
          <w:rFonts w:ascii="Times" w:hAnsi="Times"/>
        </w:rPr>
        <w:t xml:space="preserve"> the Environmental Defense Fund’s</w:t>
      </w:r>
      <w:r w:rsidR="00267AB0">
        <w:rPr>
          <w:rFonts w:ascii="Times" w:hAnsi="Times"/>
        </w:rPr>
        <w:t xml:space="preserve"> </w:t>
      </w:r>
      <w:r w:rsidR="00146D72">
        <w:rPr>
          <w:rFonts w:ascii="Times" w:hAnsi="Times"/>
        </w:rPr>
        <w:t>high-resolution inventory over the Permian basin</w:t>
      </w:r>
      <w:r w:rsidR="001C61E6">
        <w:rPr>
          <w:rFonts w:ascii="Times" w:hAnsi="Times"/>
        </w:rPr>
        <w:t xml:space="preserve"> for </w:t>
      </w:r>
      <w:proofErr w:type="spellStart"/>
      <w:r w:rsidR="001C61E6">
        <w:rPr>
          <w:rFonts w:ascii="Times" w:hAnsi="Times"/>
        </w:rPr>
        <w:t>xxxx</w:t>
      </w:r>
      <w:proofErr w:type="spellEnd"/>
      <w:r w:rsidR="00146D72">
        <w:rPr>
          <w:rFonts w:ascii="Times" w:hAnsi="Times"/>
        </w:rPr>
        <w:t>, one of the largest oil and natural gas producing</w:t>
      </w:r>
      <w:r w:rsidR="00490EB9">
        <w:rPr>
          <w:rFonts w:ascii="Times" w:hAnsi="Times"/>
        </w:rPr>
        <w:t xml:space="preserve"> regions in </w:t>
      </w:r>
      <w:r w:rsidR="00FD7094">
        <w:rPr>
          <w:rFonts w:ascii="Times" w:hAnsi="Times"/>
        </w:rPr>
        <w:t>North America (Zhang</w:t>
      </w:r>
      <w:r w:rsidR="001C61E6">
        <w:rPr>
          <w:rFonts w:ascii="Times" w:hAnsi="Times"/>
        </w:rPr>
        <w:t xml:space="preserve"> et al.,</w:t>
      </w:r>
      <w:r w:rsidR="00FD7094">
        <w:rPr>
          <w:rFonts w:ascii="Times" w:hAnsi="Times"/>
        </w:rPr>
        <w:t xml:space="preserve"> 2020).</w:t>
      </w:r>
      <w:r w:rsidR="00146D72">
        <w:rPr>
          <w:rFonts w:ascii="Times" w:hAnsi="Times"/>
        </w:rPr>
        <w:t xml:space="preserve">  </w:t>
      </w:r>
      <w:r>
        <w:rPr>
          <w:rFonts w:ascii="Times" w:hAnsi="Times"/>
        </w:rPr>
        <w:t xml:space="preserve">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589120CA" w14:textId="77BF51EE" w:rsidR="00F603F1" w:rsidRDefault="00E63085">
      <w:pPr>
        <w:rPr>
          <w:rFonts w:ascii="Times" w:hAnsi="Times"/>
        </w:rPr>
      </w:pPr>
      <w:r>
        <w:rPr>
          <w:rFonts w:ascii="Times" w:hAnsi="Times"/>
        </w:rPr>
        <w:t xml:space="preserve">Wetlands are the dominant natural source of methane emissions. We use the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F06DE2">
        <w:rPr>
          <w:rFonts w:ascii="Times" w:hAnsi="Times"/>
        </w:rPr>
        <w:t xml:space="preserve">We decrease total wetland emissions by a factor of 4.04 based on a comparison of the ensemble to FLUXNET CH4, a network of eddy covariance tower data </w:t>
      </w:r>
      <w:r w:rsidR="00F06DE2">
        <w:rPr>
          <w:rFonts w:ascii="Times" w:hAnsi="Times"/>
        </w:rPr>
        <w:lastRenderedPageBreak/>
        <w:t xml:space="preserve">(cite). </w:t>
      </w:r>
      <w:r w:rsidR="00630107">
        <w:rPr>
          <w:rFonts w:ascii="Times" w:hAnsi="Times"/>
        </w:rPr>
        <w:t xml:space="preserve">We </w:t>
      </w:r>
      <w:r w:rsidR="003B15AB">
        <w:rPr>
          <w:rFonts w:ascii="Times" w:hAnsi="Times"/>
        </w:rPr>
        <w:t xml:space="preserve">also </w:t>
      </w:r>
      <w:r w:rsidR="00630107">
        <w:rPr>
          <w:rFonts w:ascii="Times" w:hAnsi="Times"/>
        </w:rPr>
        <w:t xml:space="preserve">conduct a sensitivity test where we </w:t>
      </w:r>
      <w:r w:rsidR="003B15AB">
        <w:rPr>
          <w:rFonts w:ascii="Times" w:hAnsi="Times"/>
        </w:rPr>
        <w:t xml:space="preserve">use the unscaled </w:t>
      </w:r>
      <w:proofErr w:type="spellStart"/>
      <w:r w:rsidR="003B15AB">
        <w:rPr>
          <w:rFonts w:ascii="Times" w:hAnsi="Times"/>
        </w:rPr>
        <w:t>WetCHARTs</w:t>
      </w:r>
      <w:proofErr w:type="spellEnd"/>
      <w:r w:rsidR="003B15AB">
        <w:rPr>
          <w:rFonts w:ascii="Times" w:hAnsi="Times"/>
        </w:rPr>
        <w:t xml:space="preserve"> emissions but eliminate </w:t>
      </w:r>
      <w:r w:rsidR="00733119">
        <w:rPr>
          <w:rFonts w:ascii="Times" w:hAnsi="Times"/>
        </w:rPr>
        <w:t xml:space="preserve">two ensemble members </w:t>
      </w:r>
      <w:r w:rsidR="003B15AB">
        <w:rPr>
          <w:rFonts w:ascii="Times" w:hAnsi="Times"/>
        </w:rPr>
        <w:t xml:space="preserve">that </w:t>
      </w:r>
      <w:r w:rsidR="00733119">
        <w:rPr>
          <w:rFonts w:ascii="Times" w:hAnsi="Times"/>
        </w:rPr>
        <w:t xml:space="preserve">produce </w:t>
      </w:r>
      <w:r w:rsidR="003B15AB">
        <w:rPr>
          <w:rFonts w:ascii="Times" w:hAnsi="Times"/>
        </w:rPr>
        <w:t xml:space="preserve">anomalously </w:t>
      </w:r>
      <w:r w:rsidR="00733119">
        <w:rPr>
          <w:rFonts w:ascii="Times" w:hAnsi="Times"/>
        </w:rPr>
        <w:t xml:space="preserve">large </w:t>
      </w:r>
      <w:r w:rsidR="003B15AB">
        <w:rPr>
          <w:rFonts w:ascii="Times" w:hAnsi="Times"/>
        </w:rPr>
        <w:t>emissions</w:t>
      </w:r>
      <w:r w:rsidR="00733119">
        <w:rPr>
          <w:rFonts w:ascii="Times" w:hAnsi="Times"/>
        </w:rPr>
        <w:t xml:space="preserve"> in the high northern and southern latitudes in summer and fall (Lu et al. 202?). </w:t>
      </w:r>
      <w:r>
        <w:rPr>
          <w:rFonts w:ascii="Times" w:hAnsi="Times"/>
        </w:rPr>
        <w:t xml:space="preserve">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D4E911D" w14:textId="4A79DFB0"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commentRangeStart w:id="0"/>
      <w:r w:rsidR="00630107">
        <w:rPr>
          <w:rFonts w:ascii="Times" w:hAnsi="Times"/>
        </w:rPr>
        <w:t>xx</w:t>
      </w:r>
      <w:commentRangeEnd w:id="0"/>
      <w:r w:rsidR="00630107">
        <w:rPr>
          <w:rStyle w:val="CommentReference"/>
        </w:rPr>
        <w:commentReference w:id="0"/>
      </w:r>
      <w:r>
        <w:rPr>
          <w:rFonts w:ascii="Times" w:hAnsi="Times"/>
        </w:rPr>
        <w:t>%</w:t>
      </w:r>
      <w:r w:rsidR="00630107">
        <w:rPr>
          <w:rFonts w:ascii="Times" w:hAnsi="Times"/>
        </w:rPr>
        <w:t xml:space="preserve"> following </w:t>
      </w:r>
      <w:r w:rsidR="003C3729">
        <w:rPr>
          <w:rFonts w:ascii="Times" w:hAnsi="Times"/>
        </w:rPr>
        <w:t>p</w:t>
      </w:r>
      <w:r w:rsidR="00AD706D">
        <w:rPr>
          <w:rFonts w:ascii="Times" w:hAnsi="Times"/>
        </w:rPr>
        <w:t>revious inversions</w:t>
      </w:r>
      <w:r w:rsidR="004021AF">
        <w:rPr>
          <w:rFonts w:ascii="Times" w:hAnsi="Times"/>
        </w:rPr>
        <w:t xml:space="preserve"> that </w:t>
      </w:r>
      <w:r w:rsidR="003C3729">
        <w:rPr>
          <w:rFonts w:ascii="Times" w:hAnsi="Times"/>
        </w:rPr>
        <w:t>optimize</w:t>
      </w:r>
      <w:r w:rsidR="00630107">
        <w:rPr>
          <w:rFonts w:ascii="Times" w:hAnsi="Times"/>
        </w:rPr>
        <w:t>d</w:t>
      </w:r>
      <w:r w:rsidR="004021AF">
        <w:rPr>
          <w:rFonts w:ascii="Times" w:hAnsi="Times"/>
        </w:rPr>
        <w:t xml:space="preserve"> methane emissions over North America </w:t>
      </w:r>
      <w:r w:rsidR="00A53589">
        <w:rPr>
          <w:rFonts w:ascii="Times" w:hAnsi="Times"/>
        </w:rPr>
        <w:fldChar w:fldCharType="begin"/>
      </w:r>
      <w:r w:rsidR="005178BE">
        <w:rPr>
          <w:rFonts w:ascii="Times" w:hAnsi="Times"/>
        </w:rPr>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178BE">
        <w:rPr>
          <w:rFonts w:ascii="Cambria Math" w:hAnsi="Cambria Math" w:cs="Cambria Math"/>
        </w:rPr>
        <w:instrText>∘</w:instrText>
      </w:r>
      <w:r w:rsidR="005178BE">
        <w:rPr>
          <w:rFonts w:ascii="Times" w:hAnsi="Times"/>
        </w:rPr>
        <w:instrText>×0.625</w:instrText>
      </w:r>
      <w:r w:rsidR="005178BE">
        <w:rPr>
          <w:rFonts w:ascii="Cambria Math" w:hAnsi="Cambria Math" w:cs="Cambria Math"/>
        </w:rPr>
        <w:instrText>∘</w:instrText>
      </w:r>
      <w:r w:rsidR="005178BE">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5178BE">
        <w:instrText> </w:instrText>
      </w:r>
      <w:r w:rsidR="005178BE">
        <w:rPr>
          <w:rFonts w:ascii="Times" w:hAnsi="Times"/>
        </w:rPr>
        <w:instrText>+</w:instrText>
      </w:r>
      <w:r w:rsidR="005178BE">
        <w:instrText> </w:instrText>
      </w:r>
      <w:r w:rsidR="005178BE">
        <w:rPr>
          <w:rFonts w:ascii="Times" w:hAnsi="Times"/>
        </w:rPr>
        <w:instrText>in situ inversion, with ranges from the inversion ensemble, are 36.9\n(32.5–37.8)</w:instrText>
      </w:r>
      <w:r w:rsidR="005178BE">
        <w:instrText> </w:instrText>
      </w:r>
      <w:r w:rsidR="005178BE">
        <w:rPr>
          <w:rFonts w:ascii="Times" w:hAnsi="Times"/>
        </w:rPr>
        <w:instrText>Tg</w:instrText>
      </w:r>
      <w:r w:rsidR="005178BE">
        <w:instrText> </w:instrText>
      </w:r>
      <w:r w:rsidR="005178BE">
        <w:rPr>
          <w:rFonts w:ascii="Times" w:hAnsi="Times"/>
        </w:rPr>
        <w:instrText>a−1 for CONUS, 5.3 (3.6–5.7)</w:instrText>
      </w:r>
      <w:r w:rsidR="005178BE">
        <w:instrText> </w:instrText>
      </w:r>
      <w:r w:rsidR="005178BE">
        <w:rPr>
          <w:rFonts w:ascii="Times" w:hAnsi="Times"/>
        </w:rPr>
        <w:instrText>Tg</w:instrText>
      </w:r>
      <w:r w:rsidR="005178BE">
        <w:instrText> </w:instrText>
      </w:r>
      <w:r w:rsidR="005178BE">
        <w:rPr>
          <w:rFonts w:ascii="Times" w:hAnsi="Times"/>
        </w:rPr>
        <w:instrText>a−1\nfor Canada, and 6.0 (4.7–6.1)</w:instrText>
      </w:r>
      <w:r w:rsidR="005178BE">
        <w:instrText> </w:instrText>
      </w:r>
      <w:r w:rsidR="005178BE">
        <w:rPr>
          <w:rFonts w:ascii="Times" w:hAnsi="Times"/>
        </w:rPr>
        <w:instrText>Tg</w:instrText>
      </w:r>
      <w:r w:rsidR="005178BE">
        <w:instrText> </w:instrText>
      </w:r>
      <w:r w:rsidR="005178BE">
        <w:rPr>
          <w:rFonts w:ascii="Times" w:hAnsi="Times"/>
        </w:rPr>
        <w:instrText>a−1 for Mexico. These are higher\nthan the most recent reported national inventories of 26.0</w:instrText>
      </w:r>
      <w:r w:rsidR="005178BE">
        <w:instrText> </w:instrText>
      </w:r>
      <w:r w:rsidR="005178BE">
        <w:rPr>
          <w:rFonts w:ascii="Times" w:hAnsi="Times"/>
        </w:rPr>
        <w:instrText>Tg</w:instrText>
      </w:r>
      <w:r w:rsidR="005178BE">
        <w:instrText> </w:instrText>
      </w:r>
      <w:r w:rsidR="005178BE">
        <w:rPr>
          <w:rFonts w:ascii="Times" w:hAnsi="Times"/>
        </w:rPr>
        <w:instrText>a−1\nfor the US (EPA), 4.0</w:instrText>
      </w:r>
      <w:r w:rsidR="005178BE">
        <w:instrText> </w:instrText>
      </w:r>
      <w:r w:rsidR="005178BE">
        <w:rPr>
          <w:rFonts w:ascii="Times" w:hAnsi="Times"/>
        </w:rPr>
        <w:instrText>Tg</w:instrText>
      </w:r>
      <w:r w:rsidR="005178BE">
        <w:instrText> </w:instrText>
      </w:r>
      <w:r w:rsidR="005178BE">
        <w:rPr>
          <w:rFonts w:ascii="Times" w:hAnsi="Times"/>
        </w:rPr>
        <w:instrText>a−1 for Canada (ECCC), and\n5.0</w:instrText>
      </w:r>
      <w:r w:rsidR="005178BE">
        <w:instrText> </w:instrText>
      </w:r>
      <w:r w:rsidR="005178BE">
        <w:rPr>
          <w:rFonts w:ascii="Times" w:hAnsi="Times"/>
        </w:rPr>
        <w:instrText>Tg</w:instrText>
      </w:r>
      <w:r w:rsidR="005178BE">
        <w:instrText> </w:instrText>
      </w:r>
      <w:r w:rsidR="005178BE">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5178BE">
        <w:instrText> </w:instrText>
      </w:r>
      <w:r w:rsidR="005178BE">
        <w:rPr>
          <w:rFonts w:ascii="Times" w:hAnsi="Times"/>
        </w:rPr>
        <w:instrText>Tg</w:instrText>
      </w:r>
      <w:r w:rsidR="005178BE">
        <w:instrText> </w:instrText>
      </w:r>
      <w:r w:rsidR="005178BE">
        <w:rPr>
          <w:rFonts w:ascii="Times" w:hAnsi="Times"/>
        </w:rPr>
        <w:instrText>a−1 for CONUS, 9.9 (7.8–12.0)</w:instrText>
      </w:r>
      <w:r w:rsidR="005178BE">
        <w:instrText> </w:instrText>
      </w:r>
      <w:r w:rsidR="005178BE">
        <w:rPr>
          <w:rFonts w:ascii="Times" w:hAnsi="Times"/>
        </w:rPr>
        <w:instrText>Tg</w:instrText>
      </w:r>
      <w:r w:rsidR="005178BE">
        <w:instrText> </w:instrText>
      </w:r>
      <w:r w:rsidR="005178BE">
        <w:rPr>
          <w:rFonts w:ascii="Times" w:hAnsi="Times"/>
        </w:rPr>
        <w:instrText>a−1\nfor Canada, and 0.6 (0.4–0.6)</w:instrText>
      </w:r>
      <w:r w:rsidR="005178BE">
        <w:instrText> </w:instrText>
      </w:r>
      <w:r w:rsidR="005178BE">
        <w:rPr>
          <w:rFonts w:ascii="Times" w:hAnsi="Times"/>
        </w:rPr>
        <w:instrText>Tg</w:instrText>
      </w:r>
      <w:r w:rsidR="005178BE">
        <w:instrText> </w:instrText>
      </w:r>
      <w:r w:rsidR="005178BE">
        <w:rPr>
          <w:rFonts w:ascii="Times" w:hAnsi="Times"/>
        </w:rPr>
        <w:instrText>a−1 for Mexico. Wetland\nemissions in CONUS show an increasing trend of +2.6 (+1.7 to\n+3.8)%</w:instrText>
      </w:r>
      <w:r w:rsidR="005178BE">
        <w:instrText> </w:instrText>
      </w:r>
      <w:r w:rsidR="005178BE">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914C58">
        <w:rPr>
          <w:rFonts w:ascii="Times" w:hAnsi="Times"/>
        </w:rPr>
        <w:t xml:space="preserve">. </w:t>
      </w:r>
      <w:r w:rsidR="00A60146">
        <w:rPr>
          <w:rFonts w:ascii="Times" w:hAnsi="Times"/>
        </w:rPr>
        <w:t xml:space="preserve">In the absence of better information, we assume there is no error covariance. </w:t>
      </w:r>
      <w:r w:rsidR="00C200EB">
        <w:rPr>
          <w:rFonts w:ascii="Times" w:hAnsi="Times"/>
        </w:rPr>
        <w:t>We conduct sensitivity test</w:t>
      </w:r>
      <w:r w:rsidR="00A60146">
        <w:rPr>
          <w:rFonts w:ascii="Times" w:hAnsi="Times"/>
        </w:rPr>
        <w:t>s with variable uniform relative errors and</w:t>
      </w:r>
      <w:r w:rsidR="00C200EB">
        <w:rPr>
          <w:rFonts w:ascii="Times" w:hAnsi="Times"/>
        </w:rPr>
        <w:t xml:space="preserve"> using secto</w:t>
      </w:r>
      <w:r w:rsidR="003B15AB">
        <w:rPr>
          <w:rFonts w:ascii="Times" w:hAnsi="Times"/>
        </w:rPr>
        <w:t xml:space="preserve">r-specific </w:t>
      </w:r>
      <w:r w:rsidR="00C200EB">
        <w:rPr>
          <w:rFonts w:ascii="Times" w:hAnsi="Times"/>
        </w:rPr>
        <w:t xml:space="preserve">errors from </w:t>
      </w:r>
      <w:r w:rsidR="0033785E">
        <w:rPr>
          <w:rFonts w:ascii="Times" w:hAnsi="Times"/>
        </w:rPr>
        <w:t>the EPA GHGI.</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1A5EEE4F"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 xml:space="preserve">0.25° </w:t>
      </w:r>
      <w:r w:rsidR="000663AD">
        <w:rPr>
          <w:rFonts w:ascii="Cambria Math" w:hAnsi="Cambria Math"/>
        </w:rPr>
        <w:t>⨉</w:t>
      </w:r>
      <w:r w:rsidRPr="007122CC">
        <w:rPr>
          <w:rFonts w:ascii="Times" w:hAnsi="Times"/>
        </w:rPr>
        <w:t xml:space="preserve"> 0.3125°</w:t>
      </w:r>
      <w:r>
        <w:rPr>
          <w:rFonts w:ascii="Times" w:hAnsi="Times"/>
        </w:rPr>
        <w:t xml:space="preserve"> resolution over North America as the forward model for the inversion. Earlier versions of the methane simulation were described by Wecht et al. (2014) and Turner et al. (2015). The 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02FDDB6F"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the Atmospheric Carbon and Transport – America (ACT-America) campaign, and the NOAA 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7C8682D2"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w:t>
      </w:r>
      <w:commentRangeStart w:id="1"/>
      <w:r w:rsidR="00FD3469">
        <w:rPr>
          <w:rFonts w:ascii="Times" w:hAnsi="Times"/>
        </w:rPr>
        <w:t>xx</w:t>
      </w:r>
      <w:commentRangeEnd w:id="1"/>
      <w:r w:rsidR="00FB7ECB">
        <w:rPr>
          <w:rStyle w:val="CommentReference"/>
        </w:rPr>
        <w:commentReference w:id="1"/>
      </w:r>
      <w:r w:rsidR="00FD3469">
        <w:rPr>
          <w:rFonts w:ascii="Times" w:hAnsi="Times"/>
        </w:rPr>
        <w:t xml:space="preserve">% retrieval rate over North America for 2019. </w:t>
      </w:r>
      <w:r w:rsidR="001765E5">
        <w:rPr>
          <w:rFonts w:ascii="Times" w:hAnsi="Times"/>
        </w:rPr>
        <w:t xml:space="preserve">We use </w:t>
      </w:r>
      <w:r w:rsidR="008F0BC7">
        <w:rPr>
          <w:rFonts w:ascii="Times" w:hAnsi="Times"/>
        </w:rPr>
        <w:t>the</w:t>
      </w:r>
      <w:r w:rsidR="001765E5">
        <w:rPr>
          <w:rFonts w:ascii="Times" w:hAnsi="Times"/>
        </w:rPr>
        <w:t xml:space="preserv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79332049" w:rsidR="00784266" w:rsidRDefault="001F7B45">
      <w:pPr>
        <w:rPr>
          <w:rFonts w:ascii="Times" w:hAnsi="Times"/>
        </w:rPr>
      </w:pPr>
      <w:r>
        <w:rPr>
          <w:rFonts w:ascii="Times" w:hAnsi="Times"/>
        </w:rPr>
        <w:lastRenderedPageBreak/>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We use the GOSAT methane retrieval version 9.0 of the 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 (section 2.2)</w:t>
      </w:r>
      <w:r w:rsidR="00662572">
        <w:rPr>
          <w:rFonts w:ascii="Times" w:hAnsi="Times"/>
        </w:rPr>
        <w:t>.</w:t>
      </w:r>
    </w:p>
    <w:p w14:paraId="3A003372" w14:textId="34C26A91" w:rsidR="00E8511B" w:rsidRDefault="00E8511B">
      <w:pPr>
        <w:rPr>
          <w:rFonts w:ascii="Times" w:hAnsi="Times"/>
        </w:rPr>
      </w:pPr>
    </w:p>
    <w:p w14:paraId="3912C240" w14:textId="69807FBE"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w:t>
      </w:r>
      <w:r w:rsidR="000663AD">
        <w:rPr>
          <w:rFonts w:ascii="Cambria Math" w:hAnsi="Cambria Math"/>
        </w:rPr>
        <w:t>⨉</w:t>
      </w:r>
      <w:r w:rsidRPr="007122CC">
        <w:rPr>
          <w:rFonts w:ascii="Times" w:hAnsi="Times"/>
        </w:rPr>
        <w:t xml:space="preserve">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 xml:space="preserve">the standard deviation of the </w:t>
      </w:r>
      <w:r w:rsidR="008F0BC7">
        <w:rPr>
          <w:rFonts w:ascii="Times" w:hAnsi="Times"/>
        </w:rPr>
        <w:t xml:space="preserve">mean </w:t>
      </w:r>
      <w:r w:rsidR="005C44B9">
        <w:rPr>
          <w:rFonts w:ascii="Times" w:hAnsi="Times"/>
        </w:rPr>
        <w:t>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p>
    <w:p w14:paraId="46ADEA25" w14:textId="18FC5A8C" w:rsidR="008F0BC7" w:rsidRDefault="008F0BC7">
      <w:pPr>
        <w:rPr>
          <w:rFonts w:ascii="Times" w:hAnsi="Times"/>
        </w:rPr>
      </w:pPr>
    </w:p>
    <w:p w14:paraId="08377AFF" w14:textId="24FC7757" w:rsidR="008F0BC7" w:rsidRDefault="008F0BC7" w:rsidP="008F0BC7">
      <w:pPr>
        <w:rPr>
          <w:rFonts w:ascii="Times" w:hAnsi="Times"/>
        </w:rPr>
      </w:pPr>
      <w:r>
        <w:rPr>
          <w:rFonts w:ascii="Times" w:hAnsi="Times"/>
        </w:rPr>
        <w:t xml:space="preserve">We find a residual </w:t>
      </w:r>
      <w:proofErr w:type="spellStart"/>
      <w:r>
        <w:rPr>
          <w:rFonts w:ascii="Times" w:hAnsi="Times"/>
        </w:rPr>
        <w:t>aseasonal</w:t>
      </w:r>
      <w:proofErr w:type="spellEnd"/>
      <w:r>
        <w:rPr>
          <w:rFonts w:ascii="Times" w:hAnsi="Times"/>
        </w:rPr>
        <w:t xml:space="preserve"> latitudinal bias in the TROPOMI – GEOS-Chem difference.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53763D89" w14:textId="77777777" w:rsidR="008F0BC7" w:rsidRDefault="008F0BC7" w:rsidP="008F0BC7">
      <w:pPr>
        <w:rPr>
          <w:rFonts w:ascii="Times" w:hAnsi="Times"/>
        </w:rPr>
      </w:pPr>
    </w:p>
    <w:p w14:paraId="7A2393BF" w14:textId="6E755C15" w:rsidR="008F0BC7" w:rsidRPr="00863BE8" w:rsidRDefault="00000000" w:rsidP="008F0BC7">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41E80491" w14:textId="77777777" w:rsidR="008F0BC7" w:rsidRDefault="008F0BC7" w:rsidP="008F0BC7">
      <w:pPr>
        <w:rPr>
          <w:rFonts w:ascii="Times" w:hAnsi="Times"/>
        </w:rPr>
      </w:pPr>
    </w:p>
    <w:p w14:paraId="71AAADE6" w14:textId="7D35BC16" w:rsidR="00C42943" w:rsidRDefault="008F0BC7">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sidR="00146D72">
        <w:rPr>
          <w:rFonts w:ascii="Times" w:eastAsiaTheme="minorEastAsia" w:hAnsi="Times"/>
        </w:rPr>
        <w:t>We conduct a sensitivity test where we do not apply the latitudinal correction.</w:t>
      </w:r>
    </w:p>
    <w:p w14:paraId="5626E9C3" w14:textId="77777777" w:rsidR="00C42943" w:rsidRDefault="00C42943">
      <w:pPr>
        <w:rPr>
          <w:rFonts w:ascii="Times" w:eastAsiaTheme="minorEastAsia" w:hAnsi="Times"/>
        </w:rPr>
      </w:pPr>
    </w:p>
    <w:p w14:paraId="242A5CD1" w14:textId="5EAB312A" w:rsidR="008F0BC7" w:rsidRPr="00037EE2" w:rsidRDefault="00C42943">
      <w:pPr>
        <w:rPr>
          <w:rFonts w:ascii="Times" w:hAnsi="Times"/>
        </w:rPr>
      </w:pPr>
      <w:r>
        <w:rPr>
          <w:rFonts w:ascii="Times" w:hAnsi="Times"/>
        </w:rPr>
        <w:t>Figure 2 (top row) shows the</w:t>
      </w:r>
      <w:r w:rsidR="00037EE2">
        <w:rPr>
          <w:rFonts w:ascii="Times" w:hAnsi="Times"/>
        </w:rPr>
        <w:t xml:space="preserve"> </w:t>
      </w:r>
      <w:r w:rsidR="00037EE2" w:rsidRPr="00F87536">
        <w:rPr>
          <w:rFonts w:ascii="Times" w:hAnsi="Times"/>
        </w:rPr>
        <w:t>2919358</w:t>
      </w:r>
      <w:r>
        <w:rPr>
          <w:rFonts w:ascii="Times" w:hAnsi="Times"/>
        </w:rPr>
        <w:t xml:space="preserve"> final observations, </w:t>
      </w:r>
      <w:proofErr w:type="spellStart"/>
      <w:r>
        <w:rPr>
          <w:rFonts w:ascii="Times" w:hAnsi="Times"/>
        </w:rPr>
        <w:t>regridded</w:t>
      </w:r>
      <w:proofErr w:type="spellEnd"/>
      <w:r>
        <w:rPr>
          <w:rFonts w:ascii="Times" w:hAnsi="Times"/>
        </w:rPr>
        <w:t xml:space="preserve"> onto the GEOS-Chem grid and averaged seasonally, that constitute our observation vector </w:t>
      </w:r>
      <w:r>
        <w:rPr>
          <w:rFonts w:ascii="Times" w:hAnsi="Times"/>
          <w:b/>
          <w:bCs/>
        </w:rPr>
        <w:t>y</w:t>
      </w:r>
      <w:r>
        <w:rPr>
          <w:rFonts w:ascii="Times" w:hAnsi="Times"/>
        </w:rPr>
        <w:t xml:space="preserve">. </w:t>
      </w:r>
      <w:r w:rsidR="00037EE2">
        <w:rPr>
          <w:rFonts w:ascii="Times" w:hAnsi="Times"/>
        </w:rPr>
        <w:t>The bottom row shows the observational density. We</w:t>
      </w:r>
      <w:r>
        <w:rPr>
          <w:rFonts w:ascii="Times" w:hAnsi="Times"/>
        </w:rPr>
        <w:t xml:space="preserve"> preserve 69% of the original high-quality data and </w:t>
      </w:r>
      <w:r w:rsidR="00037EE2">
        <w:rPr>
          <w:rFonts w:ascii="Times" w:hAnsi="Times"/>
        </w:rPr>
        <w:t>find</w:t>
      </w:r>
      <w:r>
        <w:rPr>
          <w:rFonts w:ascii="Times" w:hAnsi="Times"/>
        </w:rPr>
        <w:t xml:space="preserve"> good agreement with the prior GEOS-Chem </w:t>
      </w:r>
      <w:r w:rsidR="00037EE2">
        <w:rPr>
          <w:rFonts w:ascii="Times" w:hAnsi="Times"/>
        </w:rPr>
        <w:t>simulation</w:t>
      </w:r>
      <w:r>
        <w:rPr>
          <w:rFonts w:ascii="Times" w:hAnsi="Times"/>
        </w:rPr>
        <w:t xml:space="preserve"> (R = </w:t>
      </w:r>
      <w:commentRangeStart w:id="2"/>
      <w:r>
        <w:rPr>
          <w:rFonts w:ascii="Times" w:hAnsi="Times"/>
        </w:rPr>
        <w:t>xx</w:t>
      </w:r>
      <w:commentRangeEnd w:id="2"/>
      <w:r>
        <w:rPr>
          <w:rStyle w:val="CommentReference"/>
        </w:rPr>
        <w:commentReference w:id="2"/>
      </w:r>
      <w:r>
        <w:rPr>
          <w:rFonts w:ascii="Times" w:hAnsi="Times"/>
        </w:rPr>
        <w:t>).  Seasonal regional biases decrease by between 7% and 21</w:t>
      </w:r>
      <w:r w:rsidR="00037EE2">
        <w:rPr>
          <w:rFonts w:ascii="Times" w:hAnsi="Times"/>
        </w:rPr>
        <w:t xml:space="preserve">% and </w:t>
      </w:r>
      <w:r>
        <w:rPr>
          <w:rFonts w:ascii="Times" w:hAnsi="Times"/>
        </w:rPr>
        <w:t>are</w:t>
      </w:r>
      <w:r w:rsidR="00037EE2">
        <w:rPr>
          <w:rFonts w:ascii="Times" w:hAnsi="Times"/>
        </w:rPr>
        <w:t xml:space="preserve"> in all cases</w:t>
      </w:r>
      <w:r>
        <w:rPr>
          <w:rFonts w:ascii="Times" w:hAnsi="Times"/>
        </w:rPr>
        <w:t xml:space="preserve"> less than the standard deviation of both the TROPOMI and GOSAT data. The mean TROPOMI – GOSAT </w:t>
      </w:r>
      <w:commentRangeStart w:id="3"/>
      <w:r>
        <w:rPr>
          <w:rFonts w:ascii="Times" w:hAnsi="Times"/>
        </w:rPr>
        <w:t xml:space="preserve">biases </w:t>
      </w:r>
      <w:commentRangeEnd w:id="3"/>
      <w:r w:rsidR="00C67741">
        <w:rPr>
          <w:rStyle w:val="CommentReference"/>
        </w:rPr>
        <w:commentReference w:id="3"/>
      </w:r>
      <w:r>
        <w:rPr>
          <w:rFonts w:ascii="Times" w:hAnsi="Times"/>
        </w:rPr>
        <w:t xml:space="preserve">are also consistent with the -10.3 ± 16.8 ppb bias found by </w:t>
      </w:r>
      <w:proofErr w:type="spellStart"/>
      <w:r>
        <w:rPr>
          <w:rFonts w:ascii="Times" w:hAnsi="Times"/>
        </w:rPr>
        <w:t>Lorente</w:t>
      </w:r>
      <w:proofErr w:type="spellEnd"/>
      <w:r>
        <w:rPr>
          <w:rFonts w:ascii="Times" w:hAnsi="Times"/>
        </w:rPr>
        <w:t xml:space="preserve"> et al. (2021).</w:t>
      </w:r>
      <w:r w:rsidR="00037EE2">
        <w:rPr>
          <w:rFonts w:ascii="Times" w:hAnsi="Times"/>
        </w:rPr>
        <w:t xml:space="preserve"> While filtering improves the performance of the TROPOMI data relative to GOSAT and to the prior GEOS-Chem simulation, we still find large, seasonally-variable gradients in the prior GEOS-Chem – TROPOMI difference (e.g., in spring over Northern Wisconsin), suggesting the possibility of residual systematic biases in the observations. We account for these biases in our observing system errors (section 2.5).</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lastRenderedPageBreak/>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55D315E0" w14:textId="559CEB2D" w:rsidR="000663AD"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is caused by errors in emissions that will be corrected by the inversion.</w:t>
      </w:r>
      <w:r w:rsidR="000663AD">
        <w:rPr>
          <w:rFonts w:ascii="Times" w:eastAsiaTheme="minorEastAsia" w:hAnsi="Times"/>
          <w:bCs/>
          <w:iCs/>
        </w:rPr>
        <w:t xml:space="preserve"> </w:t>
      </w:r>
      <w:r w:rsidR="008D0F19">
        <w:rPr>
          <w:rFonts w:ascii="Times" w:eastAsiaTheme="minorEastAsia" w:hAnsi="Times"/>
          <w:bCs/>
          <w:iCs/>
        </w:rPr>
        <w:t>The</w:t>
      </w:r>
      <w:r w:rsidR="00536BCE">
        <w:rPr>
          <w:rFonts w:ascii="Times" w:eastAsiaTheme="minorEastAsia" w:hAnsi="Times"/>
          <w:bCs/>
          <w:iCs/>
        </w:rPr>
        <w:t xml:space="preserve"> standard deviation of the</w:t>
      </w:r>
      <w:r w:rsidR="008D0F19">
        <w:rPr>
          <w:rFonts w:ascii="Times" w:eastAsiaTheme="minorEastAsia" w:hAnsi="Times"/>
          <w:bCs/>
          <w:iCs/>
        </w:rPr>
        <w:t xml:space="preserv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w:t>
      </w:r>
      <w:r w:rsidR="00A876DA">
        <w:rPr>
          <w:rFonts w:ascii="Times" w:eastAsiaTheme="minorEastAsia" w:hAnsi="Times"/>
          <w:bCs/>
          <w:iCs/>
        </w:rPr>
        <w:t xml:space="preserve">then </w:t>
      </w:r>
      <w:r w:rsidR="005258BF">
        <w:rPr>
          <w:rFonts w:ascii="Times" w:eastAsiaTheme="minorEastAsia" w:hAnsi="Times"/>
          <w:bCs/>
          <w:iCs/>
        </w:rPr>
        <w:t>give</w:t>
      </w:r>
      <w:r w:rsidR="00A876DA">
        <w:rPr>
          <w:rFonts w:ascii="Times" w:eastAsiaTheme="minorEastAsia" w:hAnsi="Times"/>
          <w:bCs/>
          <w:iCs/>
        </w:rPr>
        <w:t>s</w:t>
      </w:r>
      <w:r w:rsidR="005258BF">
        <w:rPr>
          <w:rFonts w:ascii="Times" w:eastAsiaTheme="minorEastAsia" w:hAnsi="Times"/>
          <w:bCs/>
          <w:iCs/>
        </w:rPr>
        <w:t xml:space="preserve"> the observational error</w:t>
      </w:r>
      <w:r w:rsidR="00715764">
        <w:rPr>
          <w:rFonts w:ascii="Times" w:eastAsiaTheme="minorEastAsia" w:hAnsi="Times"/>
          <w:bCs/>
          <w:iCs/>
        </w:rPr>
        <w:t>s</w:t>
      </w:r>
      <w:r w:rsidR="005258BF">
        <w:rPr>
          <w:rFonts w:ascii="Times" w:eastAsiaTheme="minorEastAsia" w:hAnsi="Times"/>
          <w:bCs/>
          <w:iCs/>
        </w:rPr>
        <w:t xml:space="preserve">. </w:t>
      </w:r>
      <w:r w:rsidR="000663AD">
        <w:rPr>
          <w:rFonts w:ascii="Times" w:eastAsiaTheme="minorEastAsia" w:hAnsi="Times"/>
          <w:bCs/>
          <w:iCs/>
        </w:rPr>
        <w:t>We calculate the seasonal mean difference on a 2</w:t>
      </w:r>
      <w:r w:rsidR="000663AD">
        <w:rPr>
          <w:rFonts w:ascii="Times" w:eastAsiaTheme="minorEastAsia" w:hAnsi="Times"/>
          <w:bCs/>
          <w:iCs/>
        </w:rPr>
        <w:sym w:font="Symbol" w:char="F0B0"/>
      </w:r>
      <w:r w:rsidR="000663AD">
        <w:rPr>
          <w:rFonts w:ascii="Times" w:eastAsiaTheme="minorEastAsia" w:hAnsi="Times"/>
          <w:bCs/>
          <w:iCs/>
        </w:rPr>
        <w:t xml:space="preserve"> </w:t>
      </w:r>
      <w:r w:rsidR="000663AD">
        <w:rPr>
          <w:rFonts w:ascii="Cambria Math" w:hAnsi="Cambria Math"/>
        </w:rPr>
        <w:t>⨉</w:t>
      </w:r>
      <w:r w:rsidR="000663AD">
        <w:rPr>
          <w:rFonts w:ascii="Times" w:eastAsiaTheme="minorEastAsia" w:hAnsi="Times"/>
          <w:bCs/>
          <w:iCs/>
        </w:rPr>
        <w:t xml:space="preserve"> 2</w:t>
      </w:r>
      <w:r w:rsidR="000663AD">
        <w:rPr>
          <w:rFonts w:ascii="Times" w:eastAsiaTheme="minorEastAsia" w:hAnsi="Times"/>
          <w:bCs/>
          <w:iCs/>
        </w:rPr>
        <w:sym w:font="Symbol" w:char="F0B0"/>
      </w:r>
      <w:r w:rsidR="000663AD">
        <w:rPr>
          <w:rFonts w:ascii="Times" w:eastAsiaTheme="minorEastAsia" w:hAnsi="Times"/>
          <w:bCs/>
          <w:iCs/>
        </w:rPr>
        <w:t xml:space="preserve"> grid to </w:t>
      </w:r>
      <w:r w:rsidR="00A876DA">
        <w:rPr>
          <w:rFonts w:ascii="Times" w:eastAsiaTheme="minorEastAsia" w:hAnsi="Times"/>
          <w:bCs/>
          <w:iCs/>
        </w:rPr>
        <w:t>account for</w:t>
      </w:r>
      <w:r w:rsidR="000663AD">
        <w:rPr>
          <w:rFonts w:ascii="Times" w:eastAsiaTheme="minorEastAsia" w:hAnsi="Times"/>
          <w:bCs/>
          <w:iCs/>
        </w:rPr>
        <w:t xml:space="preserve"> systematic </w:t>
      </w:r>
      <w:r w:rsidR="00A876DA">
        <w:rPr>
          <w:rFonts w:ascii="Times" w:eastAsiaTheme="minorEastAsia" w:hAnsi="Times"/>
          <w:bCs/>
          <w:iCs/>
        </w:rPr>
        <w:t xml:space="preserve">albedo </w:t>
      </w:r>
      <w:r w:rsidR="000663AD">
        <w:rPr>
          <w:rFonts w:ascii="Times" w:eastAsiaTheme="minorEastAsia" w:hAnsi="Times"/>
          <w:bCs/>
          <w:iCs/>
        </w:rPr>
        <w:t xml:space="preserve">biases in the TROPOMI data.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w:t>
      </w:r>
      <w:r w:rsidR="00536BCE">
        <w:rPr>
          <w:rFonts w:ascii="Times" w:eastAsiaTheme="minorEastAsia" w:hAnsi="Times"/>
          <w:bCs/>
          <w:iCs/>
        </w:rPr>
        <w:t xml:space="preserve"> 820863</w:t>
      </w:r>
      <w:r w:rsidR="00C42943">
        <w:rPr>
          <w:rFonts w:ascii="Times" w:eastAsiaTheme="minorEastAsia" w:hAnsi="Times"/>
          <w:bCs/>
          <w:iCs/>
        </w:rPr>
        <w:t xml:space="preserve"> (28%)</w:t>
      </w:r>
      <w:r w:rsidR="00536BCE">
        <w:rPr>
          <w:rFonts w:ascii="Times" w:eastAsiaTheme="minorEastAsia" w:hAnsi="Times"/>
          <w:bCs/>
          <w:iCs/>
        </w:rPr>
        <w:t xml:space="preserve"> observations. </w:t>
      </w:r>
      <w:r w:rsidR="007A1632">
        <w:rPr>
          <w:rFonts w:ascii="Times" w:eastAsiaTheme="minorEastAsia" w:hAnsi="Times"/>
          <w:bCs/>
          <w:iCs/>
        </w:rPr>
        <w:t xml:space="preserve">We find a mean observational error standard deviation of </w:t>
      </w:r>
      <w:r w:rsidR="00FF34FB">
        <w:rPr>
          <w:rFonts w:ascii="Times" w:eastAsiaTheme="minorEastAsia" w:hAnsi="Times"/>
          <w:bCs/>
          <w:iCs/>
        </w:rPr>
        <w:t>11.64</w:t>
      </w:r>
      <w:r w:rsidR="007A1632">
        <w:rPr>
          <w:rFonts w:ascii="Times" w:eastAsiaTheme="minorEastAsia" w:hAnsi="Times"/>
          <w:bCs/>
          <w:iCs/>
        </w:rPr>
        <w:t xml:space="preserve"> ppb</w:t>
      </w:r>
      <w:r w:rsidR="00C67741">
        <w:rPr>
          <w:rFonts w:ascii="Times" w:eastAsiaTheme="minorEastAsia" w:hAnsi="Times"/>
          <w:bCs/>
          <w:iCs/>
        </w:rPr>
        <w:t xml:space="preserve">, with larger errors in winter and at high latitudes. </w:t>
      </w:r>
      <w:r w:rsidR="007A1632">
        <w:rPr>
          <w:rFonts w:ascii="Times" w:eastAsiaTheme="minorEastAsia" w:hAnsi="Times"/>
          <w:bCs/>
          <w:iCs/>
        </w:rPr>
        <w:t xml:space="preserve">We take the corresponding 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Off-diagonal terms are assumed zero in the absence of better information.</w:t>
      </w:r>
    </w:p>
    <w:p w14:paraId="4546B22D" w14:textId="77777777" w:rsidR="000663AD" w:rsidRDefault="000663AD" w:rsidP="00E334F2">
      <w:pPr>
        <w:rPr>
          <w:rFonts w:ascii="Times" w:eastAsiaTheme="minorEastAsia" w:hAnsi="Times"/>
          <w:bCs/>
          <w:iCs/>
        </w:rPr>
      </w:pPr>
    </w:p>
    <w:p w14:paraId="070F10E2" w14:textId="5578A7FB" w:rsidR="0093788E" w:rsidRDefault="0093788E" w:rsidP="00E334F2">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w:t>
      </w:r>
      <w:r w:rsidR="000663AD">
        <w:rPr>
          <w:rFonts w:ascii="Times" w:eastAsiaTheme="minorEastAsia" w:hAnsi="Times"/>
        </w:rPr>
        <w:t xml:space="preserve">= xx </w:t>
      </w:r>
      <w:r>
        <w:rPr>
          <w:rFonts w:ascii="Times" w:eastAsiaTheme="minorEastAsia" w:hAnsi="Times"/>
        </w:rPr>
        <w:t>(section 2.1) to account for this lack of covariance</w:t>
      </w:r>
      <w:r>
        <w:rPr>
          <w:rFonts w:ascii="Times" w:eastAsiaTheme="minorEastAsia" w:hAnsi="Times"/>
          <w:bCs/>
          <w:iCs/>
        </w:rPr>
        <w:t xml:space="preserve"> </w:t>
      </w:r>
      <w:r w:rsidR="000663AD">
        <w:rPr>
          <w:rFonts w:ascii="Times" w:eastAsiaTheme="minorEastAsia" w:hAnsi="Times"/>
          <w:bCs/>
          <w:iCs/>
        </w:rPr>
        <w:t>(</w:t>
      </w:r>
      <w:proofErr w:type="spellStart"/>
      <w:r>
        <w:rPr>
          <w:rFonts w:ascii="Times" w:eastAsiaTheme="minorEastAsia" w:hAnsi="Times"/>
          <w:bCs/>
          <w:iCs/>
        </w:rPr>
        <w:t>Chevallier</w:t>
      </w:r>
      <w:proofErr w:type="spellEnd"/>
      <w:r>
        <w:rPr>
          <w:rFonts w:ascii="Times" w:eastAsiaTheme="minorEastAsia" w:hAnsi="Times"/>
          <w:bCs/>
          <w:iCs/>
        </w:rPr>
        <w:t xml:space="preserve"> et al.</w:t>
      </w:r>
      <w:r w:rsidR="000663AD">
        <w:rPr>
          <w:rFonts w:ascii="Times" w:eastAsiaTheme="minorEastAsia" w:hAnsi="Times"/>
          <w:bCs/>
          <w:iCs/>
        </w:rPr>
        <w:t xml:space="preserve">, </w:t>
      </w:r>
      <w:r>
        <w:rPr>
          <w:rFonts w:ascii="Times" w:eastAsiaTheme="minorEastAsia" w:hAnsi="Times"/>
          <w:bCs/>
          <w:iCs/>
        </w:rPr>
        <w:t>2007)</w:t>
      </w:r>
      <w:r w:rsidR="000663AD">
        <w:rPr>
          <w:rFonts w:ascii="Times" w:eastAsiaTheme="minorEastAsia" w:hAnsi="Times"/>
          <w:bCs/>
          <w:iCs/>
        </w:rPr>
        <w:t>.</w:t>
      </w:r>
      <w:r w:rsidR="00A876DA">
        <w:rPr>
          <w:rFonts w:ascii="Times" w:eastAsiaTheme="minorEastAsia" w:hAnsi="Times"/>
          <w:bCs/>
          <w:iCs/>
        </w:rPr>
        <w:t xml:space="preserve"> We determine </w:t>
      </w:r>
      <m:oMath>
        <m:r>
          <w:rPr>
            <w:rFonts w:ascii="Cambria Math" w:hAnsi="Cambria Math"/>
          </w:rPr>
          <m:t>γ</m:t>
        </m:r>
      </m:oMath>
      <w:r w:rsidR="00A876DA">
        <w:rPr>
          <w:rFonts w:ascii="Times" w:eastAsiaTheme="minorEastAsia" w:hAnsi="Times"/>
        </w:rPr>
        <w:t xml:space="preserve"> </w:t>
      </w:r>
      <w:commentRangeStart w:id="4"/>
      <w:r w:rsidR="00A876DA">
        <w:rPr>
          <w:rFonts w:ascii="Times" w:eastAsiaTheme="minorEastAsia" w:hAnsi="Times"/>
        </w:rPr>
        <w:t xml:space="preserve">by </w:t>
      </w:r>
      <w:commentRangeEnd w:id="4"/>
      <w:r w:rsidR="00A876DA">
        <w:rPr>
          <w:rStyle w:val="CommentReference"/>
        </w:rPr>
        <w:commentReference w:id="4"/>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7C403E61"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000000"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w:t>
      </w:r>
      <w:proofErr w:type="spellStart"/>
      <w:r>
        <w:rPr>
          <w:rFonts w:ascii="Times" w:eastAsiaTheme="minorEastAsia" w:hAnsi="Times"/>
        </w:rPr>
        <w:t>ssure</w:t>
      </w:r>
      <w:proofErr w:type="spellEnd"/>
      <w:r>
        <w:rPr>
          <w:rFonts w:ascii="Times" w:eastAsiaTheme="minorEastAsia" w:hAnsi="Times"/>
        </w:rPr>
        <w:t xml:space="preserv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AA15A0">
        <w:rPr>
          <w:rFonts w:ascii="Times" w:eastAsiaTheme="minorEastAsia" w:hAnsi="Times"/>
        </w:rPr>
        <w:lastRenderedPageBreak/>
        <w:t xml:space="preserve">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195987B4" w14:textId="44926F28" w:rsidR="006267C3" w:rsidRDefault="00742DA8" w:rsidP="00E334F2">
      <w:pPr>
        <w:rPr>
          <w:rFonts w:ascii="Times" w:eastAsiaTheme="minorEastAsia" w:hAnsi="Time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and on the 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Pr>
          <w:rFonts w:ascii="Times" w:eastAsiaTheme="minorEastAsia" w:hAnsi="Times"/>
        </w:rPr>
        <w:t xml:space="preserve"> </w:t>
      </w:r>
      <w:r w:rsidR="00C96991">
        <w:rPr>
          <w:rFonts w:ascii="Times" w:eastAsiaTheme="minorEastAsia" w:hAnsi="Times"/>
        </w:rPr>
        <w:fldChar w:fldCharType="begin"/>
      </w:r>
      <w:r w:rsidR="00C96991">
        <w:rPr>
          <w:rFonts w:ascii="Times" w:eastAsiaTheme="minorEastAsia" w:hAnsi="Times"/>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Pr>
          <w:rFonts w:ascii="Times" w:eastAsiaTheme="minorEastAsia" w:hAnsi="Times"/>
        </w:rPr>
        <w:fldChar w:fldCharType="separate"/>
      </w:r>
      <w:r w:rsidR="00C96991">
        <w:rPr>
          <w:rFonts w:ascii="Times" w:eastAsiaTheme="minorEastAsia" w:hAnsi="Times"/>
          <w:noProof/>
        </w:rPr>
        <w:t>(Nesser et al., 2021)</w:t>
      </w:r>
      <w:r w:rsidR="00C96991">
        <w:rPr>
          <w:rFonts w:ascii="Times" w:eastAsiaTheme="minorEastAsia" w:hAnsi="Times"/>
        </w:rPr>
        <w:fldChar w:fldCharType="end"/>
      </w:r>
      <w:r w:rsidR="00EB22B4">
        <w:rPr>
          <w:rFonts w:ascii="Times" w:eastAsiaTheme="minorEastAsia" w:hAnsi="Times"/>
        </w:rPr>
        <w:t xml:space="preserve">. </w:t>
      </w:r>
      <w:r>
        <w:rPr>
          <w:rFonts w:ascii="Times" w:eastAsiaTheme="minorEastAsia" w:hAnsi="Times"/>
          <w:iCs/>
        </w:rPr>
        <w:t>The</w:t>
      </w:r>
      <w:r w:rsidR="002072F5">
        <w:rPr>
          <w:rFonts w:ascii="Times" w:eastAsiaTheme="minorEastAsia" w:hAnsi="Times"/>
          <w:iCs/>
        </w:rPr>
        <w:t xml:space="preserve"> </w:t>
      </w:r>
      <w:r w:rsidR="00C96991">
        <w:rPr>
          <w:rFonts w:ascii="Times" w:eastAsiaTheme="minorEastAsia" w:hAnsi="Times"/>
          <w:iCs/>
        </w:rPr>
        <w:t xml:space="preserve">initial </w:t>
      </w:r>
      <w:r w:rsidR="002072F5">
        <w:rPr>
          <w:rFonts w:ascii="Times" w:eastAsiaTheme="minorEastAsia" w:hAnsi="Times"/>
          <w:iCs/>
        </w:rPr>
        <w:t xml:space="preserve">patterns of information content are then </w:t>
      </w:r>
      <w:r w:rsidR="00102AF3">
        <w:rPr>
          <w:rFonts w:ascii="Times" w:eastAsiaTheme="minorEastAsia" w:hAnsi="Times"/>
          <w:iCs/>
        </w:rPr>
        <w:t xml:space="preserve">given by the eigenvectors of the averaging kernel matrix </w:t>
      </w:r>
      <w:r w:rsidR="00262395">
        <w:rPr>
          <w:rFonts w:ascii="Times" w:eastAsiaTheme="minorEastAsia" w:hAnsi="Times"/>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Pr>
          <w:rFonts w:ascii="Times" w:eastAsiaTheme="minorEastAsia" w:hAnsi="Times"/>
          <w:b/>
          <w:bCs/>
        </w:rPr>
        <w:t xml:space="preserve"> </w:t>
      </w:r>
      <w:r w:rsidR="00262395">
        <w:rPr>
          <w:rFonts w:ascii="Times" w:eastAsiaTheme="minorEastAsia" w:hAnsi="Times"/>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Pr>
          <w:rFonts w:ascii="Times" w:eastAsiaTheme="minorEastAsia" w:hAnsi="Times"/>
          <w:iCs/>
        </w:rPr>
        <w:t xml:space="preserve"> is the</w:t>
      </w:r>
      <w:r w:rsidR="00262395">
        <w:rPr>
          <w:rFonts w:ascii="Times" w:eastAsiaTheme="minorEastAsia" w:hAnsi="Times"/>
          <w:iCs/>
        </w:rPr>
        <w:t xml:space="preserve"> </w:t>
      </w:r>
      <m:oMath>
        <m:r>
          <w:rPr>
            <w:rFonts w:ascii="Cambria Math" w:eastAsiaTheme="minorEastAsia" w:hAnsi="Cambria Math"/>
          </w:rPr>
          <m:t>i</m:t>
        </m:r>
      </m:oMath>
      <w:r w:rsidR="00262395">
        <w:rPr>
          <w:rFonts w:ascii="Times" w:eastAsiaTheme="minorEastAsia" w:hAnsi="Times"/>
          <w:iCs/>
        </w:rPr>
        <w:t>th</w:t>
      </w:r>
      <w:r w:rsidR="00102AF3">
        <w:rPr>
          <w:rFonts w:ascii="Times" w:eastAsiaTheme="minorEastAsia" w:hAnsi="Times"/>
          <w:iCs/>
        </w:rPr>
        <w:t xml:space="preserve"> eigenvector of</w:t>
      </w:r>
      <w:r w:rsidR="00C96991">
        <w:rPr>
          <w:rFonts w:ascii="Times" w:eastAsiaTheme="minorEastAsia" w:hAnsi="Times"/>
          <w:iCs/>
        </w:rPr>
        <w:t xml:space="preserve"> the prior-preconditioned Hessian </w:t>
      </w:r>
      <w:r w:rsidR="00C96991">
        <w:rPr>
          <w:rFonts w:ascii="Times" w:eastAsiaTheme="minorEastAsia" w:hAnsi="Times"/>
          <w:iCs/>
        </w:rPr>
        <w:fldChar w:fldCharType="begin"/>
      </w:r>
      <w:r w:rsidR="00C96991">
        <w:rPr>
          <w:rFonts w:ascii="Times" w:eastAsiaTheme="minorEastAsia" w:hAnsi="Times"/>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Pr>
          <w:rFonts w:ascii="Times" w:eastAsiaTheme="minorEastAsia" w:hAnsi="Times"/>
          <w:iCs/>
        </w:rPr>
        <w:fldChar w:fldCharType="separate"/>
      </w:r>
      <w:r w:rsidR="00C96991">
        <w:rPr>
          <w:rFonts w:ascii="Times" w:eastAsiaTheme="minorEastAsia" w:hAnsi="Times"/>
          <w:iCs/>
          <w:noProof/>
        </w:rPr>
        <w:t>(Bousserez and Henze, 2018)</w:t>
      </w:r>
      <w:r w:rsidR="00C96991">
        <w:rPr>
          <w:rFonts w:ascii="Times" w:eastAsiaTheme="minorEastAsia" w:hAnsi="Times"/>
          <w:iCs/>
        </w:rPr>
        <w:fldChar w:fldCharType="end"/>
      </w:r>
      <w:r w:rsidR="00102AF3" w:rsidRPr="00102AF3">
        <w:rPr>
          <w:rFonts w:ascii="Times" w:eastAsiaTheme="minorEastAsia" w:hAnsi="Times"/>
          <w:iCs/>
        </w:rPr>
        <w:t>.</w:t>
      </w:r>
      <w:r w:rsidR="00262395">
        <w:rPr>
          <w:rFonts w:ascii="Times" w:eastAsiaTheme="minorEastAsia" w:hAnsi="Times"/>
          <w:iCs/>
        </w:rPr>
        <w:t xml:space="preserve">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sidR="002072F5">
        <w:rPr>
          <w:rFonts w:ascii="Times" w:eastAsiaTheme="minorEastAsia" w:hAnsi="Times"/>
        </w:rPr>
        <w:t xml:space="preserve">in the forward model. We </w:t>
      </w:r>
      <w:r w:rsidR="00C6508E">
        <w:rPr>
          <w:rFonts w:ascii="Times" w:eastAsiaTheme="minorEastAsia" w:hAnsi="Times"/>
        </w:rPr>
        <w:t xml:space="preserve">apply an optimal operator that restores the original state dimension and minimizes information content loss to the </w:t>
      </w:r>
      <w:r w:rsidR="002072F5">
        <w:rPr>
          <w:rFonts w:ascii="Times" w:eastAsiaTheme="minorEastAsia" w:hAnsi="Times"/>
        </w:rPr>
        <w:t xml:space="preserve">resulting </w:t>
      </w:r>
      <m:oMath>
        <m:r>
          <w:rPr>
            <w:rFonts w:ascii="Cambria Math" w:eastAsiaTheme="minorEastAsia" w:hAnsi="Cambria Math"/>
          </w:rPr>
          <m:t>m×k</m:t>
        </m:r>
      </m:oMath>
      <w:r w:rsidR="002072F5">
        <w:rPr>
          <w:rFonts w:ascii="Times" w:eastAsiaTheme="minorEastAsia" w:hAnsi="Times"/>
        </w:rPr>
        <w:t xml:space="preserve"> matrix </w:t>
      </w:r>
      <w:r w:rsidR="00C6508E">
        <w:rPr>
          <w:rFonts w:ascii="Times" w:eastAsiaTheme="minorEastAsia" w:hAnsi="Times"/>
        </w:rPr>
        <w:t>to yield</w:t>
      </w:r>
      <w:r w:rsidR="00E5292E">
        <w:rPr>
          <w:rFonts w:ascii="Times" w:eastAsiaTheme="minorEastAsia" w:hAnsi="Times"/>
        </w:rPr>
        <w:t xml:space="preserve"> an updated</w:t>
      </w:r>
      <w:r w:rsidR="00FD05AA">
        <w:rPr>
          <w:rFonts w:ascii="Times" w:eastAsiaTheme="minorEastAsia" w:hAnsi="Times"/>
        </w:rPr>
        <w:t xml:space="preserve"> reduced-rank</w:t>
      </w:r>
      <w:r w:rsidR="00E5292E">
        <w:rPr>
          <w:rFonts w:ascii="Times" w:eastAsiaTheme="minorEastAsia" w:hAnsi="Times"/>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Pr>
          <w:rFonts w:ascii="Times" w:eastAsiaTheme="minorEastAsia" w:hAnsi="Times"/>
        </w:rPr>
        <w:t xml:space="preserve">. </w:t>
      </w:r>
      <w:r w:rsidR="00632B26">
        <w:rPr>
          <w:rFonts w:ascii="Times" w:eastAsiaTheme="minorEastAsia" w:hAnsi="Times"/>
        </w:rPr>
        <w:t>We then recompute the eigenvecto</w:t>
      </w:r>
      <w:r w:rsidR="00A109E9">
        <w:rPr>
          <w:rFonts w:ascii="Times" w:eastAsiaTheme="minorEastAsia" w:hAnsi="Times"/>
        </w:rPr>
        <w:t xml:space="preserve">rs, </w:t>
      </w:r>
      <w:r w:rsidR="00632B26">
        <w:rPr>
          <w:rFonts w:ascii="Times" w:eastAsiaTheme="minorEastAsia" w:hAnsi="Times"/>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of the information content</w:t>
      </w:r>
      <w:r w:rsidR="00F5518E">
        <w:rPr>
          <w:rFonts w:ascii="Times" w:eastAsiaTheme="minorEastAsia" w:hAnsi="Times"/>
        </w:rPr>
        <w:t xml:space="preserve">, and construct the updated </w:t>
      </w:r>
      <w:r w:rsidR="00FD05AA">
        <w:rPr>
          <w:rFonts w:ascii="Times" w:eastAsiaTheme="minorEastAsia" w:hAnsi="Times"/>
        </w:rPr>
        <w:t xml:space="preserve">reduced-rank </w:t>
      </w:r>
      <w:r w:rsidR="00F5518E">
        <w:rPr>
          <w:rFonts w:ascii="Times" w:eastAsiaTheme="minorEastAsia" w:hAnsi="Times"/>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optimizes the information content of the posterior solution (Nesser et al., 2021)</w:t>
      </w:r>
      <w:r w:rsidR="00EF3F36">
        <w:rPr>
          <w:rFonts w:ascii="Times" w:eastAsiaTheme="minorEastAsia" w:hAnsi="Times"/>
          <w:iCs/>
        </w:rPr>
        <w:t>.</w:t>
      </w:r>
      <w:r w:rsidR="00F5518E">
        <w:rPr>
          <w:rFonts w:ascii="Times" w:eastAsiaTheme="minorEastAsia" w:hAnsi="Times"/>
        </w:rPr>
        <w:t xml:space="preserve"> </w:t>
      </w:r>
    </w:p>
    <w:p w14:paraId="16A49C59" w14:textId="77777777" w:rsidR="00E334F2" w:rsidRPr="007122CC" w:rsidRDefault="00E334F2">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68C6DA5D" w14:textId="3864F98B" w:rsidR="005B4BA4" w:rsidRDefault="0040254E">
      <w:pPr>
        <w:rPr>
          <w:rFonts w:ascii="Times" w:hAnsi="Times"/>
        </w:rPr>
      </w:pPr>
      <w:r>
        <w:rPr>
          <w:rFonts w:ascii="Times" w:hAnsi="Times"/>
        </w:rPr>
        <w:t xml:space="preserve">Figure </w:t>
      </w:r>
      <w:r w:rsidR="00E87A82">
        <w:rPr>
          <w:rFonts w:ascii="Times" w:hAnsi="Times"/>
        </w:rPr>
        <w:t xml:space="preserve">3 </w:t>
      </w:r>
      <w:r w:rsidR="008648FA">
        <w:rPr>
          <w:rFonts w:ascii="Times" w:hAnsi="Times"/>
        </w:rPr>
        <w:t xml:space="preserve">(right) </w:t>
      </w:r>
      <w:r w:rsidR="00E87A82">
        <w:rPr>
          <w:rFonts w:ascii="Times" w:hAnsi="Times"/>
        </w:rPr>
        <w:t xml:space="preserve">shows the averaging kernel sensitivities </w:t>
      </w:r>
      <w:r w:rsidR="00CC48A6">
        <w:rPr>
          <w:rFonts w:ascii="Times" w:hAnsi="Times"/>
        </w:rPr>
        <w:t xml:space="preserve">greater than or equal to 0.05 </w:t>
      </w:r>
      <w:r w:rsidR="00507DDF">
        <w:rPr>
          <w:rFonts w:ascii="Times" w:hAnsi="Times"/>
        </w:rPr>
        <w:t>for the base inversion</w:t>
      </w:r>
      <w:r w:rsidR="003F3553">
        <w:rPr>
          <w:rFonts w:ascii="Times" w:hAnsi="Times"/>
        </w:rPr>
        <w:t>. The</w:t>
      </w:r>
      <w:r w:rsidR="00CC48A6">
        <w:rPr>
          <w:rFonts w:ascii="Times" w:hAnsi="Times"/>
        </w:rPr>
        <w:t>se</w:t>
      </w:r>
      <w:r w:rsidR="003F3553">
        <w:rPr>
          <w:rFonts w:ascii="Times" w:hAnsi="Times"/>
        </w:rPr>
        <w:t xml:space="preserve"> averaging kernel sensitivities </w:t>
      </w:r>
      <w:r w:rsidR="0090361F">
        <w:rPr>
          <w:rFonts w:ascii="Times" w:hAnsi="Times"/>
        </w:rPr>
        <w:t>show</w:t>
      </w:r>
      <w:r w:rsidR="00FD05AA">
        <w:rPr>
          <w:rFonts w:ascii="Times" w:hAnsi="Times"/>
        </w:rPr>
        <w:t xml:space="preserve"> where the reduced-rank observing system </w:t>
      </w:r>
      <w:r w:rsidR="0090361F">
        <w:rPr>
          <w:rFonts w:ascii="Times" w:hAnsi="Times"/>
        </w:rPr>
        <w:t xml:space="preserve">constrains the </w:t>
      </w:r>
      <w:r w:rsidR="00065213">
        <w:rPr>
          <w:rFonts w:ascii="Times" w:hAnsi="Times"/>
        </w:rPr>
        <w:t>emissions estimate</w:t>
      </w:r>
      <w:r w:rsidR="00CC48A6">
        <w:rPr>
          <w:rFonts w:ascii="Times" w:hAnsi="Times"/>
        </w:rPr>
        <w:t xml:space="preserve"> </w:t>
      </w:r>
      <w:r w:rsidR="00CC48A6">
        <w:rPr>
          <w:rFonts w:ascii="Times" w:hAnsi="Times"/>
        </w:rPr>
        <w:fldChar w:fldCharType="begin"/>
      </w:r>
      <w:r w:rsidR="00CC48A6">
        <w:rPr>
          <w:rFonts w:ascii="Times" w:hAnsi="Times"/>
        </w:rPr>
        <w:instrText xml:space="preserve"> ADDIN ZOTERO_ITEM CSL_CITATION {"citationID":"5Cik3jKn","properties":{"formattedCitation":"(Nesser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C48A6">
        <w:rPr>
          <w:rFonts w:ascii="Times" w:hAnsi="Times"/>
        </w:rPr>
        <w:fldChar w:fldCharType="separate"/>
      </w:r>
      <w:r w:rsidR="00CC48A6">
        <w:rPr>
          <w:rFonts w:ascii="Times" w:hAnsi="Times"/>
          <w:noProof/>
        </w:rPr>
        <w:t>(Nesser et al., 2021)</w:t>
      </w:r>
      <w:r w:rsidR="00CC48A6">
        <w:rPr>
          <w:rFonts w:ascii="Times" w:hAnsi="Times"/>
        </w:rPr>
        <w:fldChar w:fldCharType="end"/>
      </w:r>
      <w:r w:rsidR="00F534F8">
        <w:rPr>
          <w:rFonts w:ascii="Times" w:hAnsi="Times"/>
        </w:rPr>
        <w:t>.</w:t>
      </w:r>
      <w:r w:rsidR="00065213">
        <w:rPr>
          <w:rFonts w:ascii="Times" w:hAnsi="Times"/>
        </w:rPr>
        <w:t xml:space="preserve"> We find </w:t>
      </w:r>
      <w:r w:rsidR="00CC48A6">
        <w:rPr>
          <w:rFonts w:ascii="Times" w:hAnsi="Times"/>
        </w:rPr>
        <w:t xml:space="preserve">a total of </w:t>
      </w:r>
      <w:r w:rsidR="00B641C8">
        <w:rPr>
          <w:rFonts w:ascii="Times" w:hAnsi="Times"/>
        </w:rPr>
        <w:t>807</w:t>
      </w:r>
      <w:r w:rsidR="00065213">
        <w:rPr>
          <w:rFonts w:ascii="Times" w:hAnsi="Times"/>
        </w:rPr>
        <w:t xml:space="preserve"> DOFS</w:t>
      </w:r>
      <w:r w:rsidR="008648FA">
        <w:rPr>
          <w:rFonts w:ascii="Times" w:hAnsi="Times"/>
        </w:rPr>
        <w:t xml:space="preserve">, </w:t>
      </w:r>
      <w:r w:rsidR="00B641C8">
        <w:rPr>
          <w:rFonts w:ascii="Times" w:hAnsi="Times"/>
        </w:rPr>
        <w:t>710</w:t>
      </w:r>
      <w:r w:rsidR="00DB582B">
        <w:rPr>
          <w:rFonts w:ascii="Times" w:hAnsi="Times"/>
        </w:rPr>
        <w:t xml:space="preserve"> </w:t>
      </w:r>
      <w:r w:rsidR="008648FA">
        <w:rPr>
          <w:rFonts w:ascii="Times" w:hAnsi="Times"/>
        </w:rPr>
        <w:t>of which occur</w:t>
      </w:r>
      <w:r w:rsidR="00B641C8">
        <w:rPr>
          <w:rFonts w:ascii="Times" w:hAnsi="Times"/>
        </w:rPr>
        <w:t xml:space="preserve"> in the</w:t>
      </w:r>
      <w:r w:rsidR="002231DD">
        <w:rPr>
          <w:rFonts w:ascii="Times" w:hAnsi="Times"/>
        </w:rPr>
        <w:t xml:space="preserve"> </w:t>
      </w:r>
      <w:r w:rsidR="00B641C8">
        <w:rPr>
          <w:rFonts w:ascii="Times" w:hAnsi="Times"/>
        </w:rPr>
        <w:t>4578</w:t>
      </w:r>
      <w:r w:rsidR="002231DD">
        <w:rPr>
          <w:rFonts w:ascii="Times" w:hAnsi="Times"/>
        </w:rPr>
        <w:t xml:space="preserve"> grid cells with </w:t>
      </w:r>
      <w:r w:rsidR="00F534F8">
        <w:rPr>
          <w:rFonts w:ascii="Times" w:hAnsi="Times"/>
        </w:rPr>
        <w:t xml:space="preserve">averaging kernel sensitivities </w:t>
      </w:r>
      <w:r w:rsidR="00DB582B">
        <w:rPr>
          <w:rFonts w:ascii="Times" w:hAnsi="Times"/>
        </w:rPr>
        <w:t>greater than</w:t>
      </w:r>
      <w:r w:rsidR="00F534F8">
        <w:rPr>
          <w:rFonts w:ascii="Times" w:hAnsi="Times"/>
        </w:rPr>
        <w:t xml:space="preserve"> or equal to</w:t>
      </w:r>
      <w:r w:rsidR="00DB582B">
        <w:rPr>
          <w:rFonts w:ascii="Times" w:hAnsi="Times"/>
        </w:rPr>
        <w:t xml:space="preserve"> </w:t>
      </w:r>
      <w:r w:rsidR="00B641C8">
        <w:rPr>
          <w:rFonts w:ascii="Times" w:hAnsi="Times"/>
        </w:rPr>
        <w:t>0.05</w:t>
      </w:r>
      <w:r w:rsidR="00F534F8">
        <w:rPr>
          <w:rFonts w:ascii="Times" w:hAnsi="Times"/>
        </w:rPr>
        <w:t xml:space="preserve">. </w:t>
      </w:r>
      <w:r w:rsidR="005B4BA4">
        <w:rPr>
          <w:rFonts w:ascii="Times" w:hAnsi="Times"/>
        </w:rPr>
        <w:t xml:space="preserve">These grid cells </w:t>
      </w:r>
      <w:r w:rsidR="00B641C8">
        <w:rPr>
          <w:rFonts w:ascii="Times" w:hAnsi="Times"/>
        </w:rPr>
        <w:t xml:space="preserve">explain </w:t>
      </w:r>
      <w:r w:rsidR="00183AA0">
        <w:rPr>
          <w:rFonts w:ascii="Times" w:hAnsi="Times"/>
        </w:rPr>
        <w:t>73% of prior emissions in CONUS (558 DOFS), 68% in Mexico (88 DOFS), and 30% in Canada (56 DOFS)</w:t>
      </w:r>
      <w:r w:rsidR="00B641C8">
        <w:rPr>
          <w:rFonts w:ascii="Times" w:hAnsi="Times"/>
        </w:rPr>
        <w:t xml:space="preserve">. </w:t>
      </w:r>
      <w:r w:rsidR="005B4BA4">
        <w:rPr>
          <w:rFonts w:ascii="Times" w:hAnsi="Times"/>
        </w:rPr>
        <w:t xml:space="preserve">The discrepancies in </w:t>
      </w:r>
      <w:r w:rsidR="00884168">
        <w:rPr>
          <w:rFonts w:ascii="Times" w:hAnsi="Times"/>
        </w:rPr>
        <w:t>coverage</w:t>
      </w:r>
      <w:r w:rsidR="005B4BA4">
        <w:rPr>
          <w:rFonts w:ascii="Times" w:hAnsi="Times"/>
        </w:rPr>
        <w:t xml:space="preserve"> result from variations in prior emissions (e.g., small total emissions in Northern Mexico as shown in Figure 1) and in the observation density (e.g., little TROPOMI coverage north of 50 degrees latitude as shown in Figure 2).</w:t>
      </w:r>
      <w:r w:rsidR="00507DDF">
        <w:rPr>
          <w:rFonts w:ascii="Times" w:hAnsi="Times"/>
        </w:rPr>
        <w:t xml:space="preserve"> Due to the lack of observing system constraint in Canada, we focus our discussion on CONUS and Mexico.</w:t>
      </w:r>
      <w:r w:rsidR="008A556F">
        <w:rPr>
          <w:rFonts w:ascii="Times" w:hAnsi="Times"/>
        </w:rPr>
        <w:t xml:space="preserve"> Over these domains, we find a large increase in the observing system constraint relative to past inversions over the same domain: Lu et al. (2022) found 114 DOFS in a joint inversion of data from GOSAT and NOAA’s </w:t>
      </w:r>
      <w:proofErr w:type="spellStart"/>
      <w:r w:rsidR="008A556F">
        <w:rPr>
          <w:rFonts w:ascii="Times" w:hAnsi="Times"/>
        </w:rPr>
        <w:t>ObsPack</w:t>
      </w:r>
      <w:proofErr w:type="spellEnd"/>
      <w:r w:rsidR="008A556F">
        <w:rPr>
          <w:rFonts w:ascii="Times" w:hAnsi="Times"/>
        </w:rPr>
        <w:t xml:space="preserve">, while Shen et al. (2022) found 201 DOFS in an inversion of TROPOMI observations over 14 oil and natural gas basins. This increase reflects </w:t>
      </w:r>
      <w:r w:rsidR="008648FA">
        <w:rPr>
          <w:rFonts w:ascii="Times" w:hAnsi="Times"/>
        </w:rPr>
        <w:t xml:space="preserve">both </w:t>
      </w:r>
      <w:r w:rsidR="008A556F">
        <w:rPr>
          <w:rFonts w:ascii="Times" w:hAnsi="Times"/>
        </w:rPr>
        <w:t xml:space="preserve">the </w:t>
      </w:r>
      <w:r w:rsidR="008648FA">
        <w:rPr>
          <w:rFonts w:ascii="Times" w:hAnsi="Times"/>
        </w:rPr>
        <w:t>improved constraint provided by TROPOMI and the benefit of achieving high resolution across the domain.</w:t>
      </w:r>
    </w:p>
    <w:p w14:paraId="782BA17E" w14:textId="3CDF4AAC" w:rsidR="00507DDF" w:rsidRDefault="00507DDF">
      <w:pPr>
        <w:rPr>
          <w:rFonts w:ascii="Times" w:hAnsi="Times"/>
        </w:rPr>
      </w:pPr>
    </w:p>
    <w:p w14:paraId="2B0D49A8" w14:textId="2CFE2838" w:rsidR="005B4BA4" w:rsidRDefault="00507DDF">
      <w:pPr>
        <w:rPr>
          <w:rFonts w:ascii="Times" w:hAnsi="Times"/>
        </w:rPr>
      </w:pPr>
      <w:r>
        <w:rPr>
          <w:rFonts w:ascii="Times" w:hAnsi="Times"/>
        </w:rPr>
        <w:t>F</w:t>
      </w:r>
      <w:r w:rsidR="008648FA">
        <w:rPr>
          <w:rFonts w:ascii="Times" w:hAnsi="Times"/>
        </w:rPr>
        <w:t>igure 3 (left) shows the</w:t>
      </w:r>
      <w:r w:rsidRPr="00507DDF">
        <w:rPr>
          <w:rFonts w:ascii="Times" w:hAnsi="Times"/>
        </w:rPr>
        <w:t xml:space="preserve"> </w:t>
      </w:r>
      <w:r>
        <w:rPr>
          <w:rFonts w:ascii="Times" w:hAnsi="Times"/>
        </w:rPr>
        <w:t>posterior scaling factors relative to the prior emissions and</w:t>
      </w:r>
      <w:r w:rsidR="00CC48A6">
        <w:rPr>
          <w:rFonts w:ascii="Times" w:hAnsi="Times"/>
        </w:rPr>
        <w:t xml:space="preserve"> </w:t>
      </w:r>
      <w:r>
        <w:rPr>
          <w:rFonts w:ascii="Times" w:hAnsi="Times"/>
        </w:rPr>
        <w:t>Table 1 summarizes</w:t>
      </w:r>
      <w:r w:rsidR="008648FA">
        <w:rPr>
          <w:rFonts w:ascii="Times" w:hAnsi="Times"/>
        </w:rPr>
        <w:t xml:space="preserve"> the sectoral results from CONUS and Mexico. </w:t>
      </w:r>
    </w:p>
    <w:p w14:paraId="634901B0" w14:textId="3C0E51E7" w:rsidR="00EB3DE1" w:rsidRDefault="00EB3DE1">
      <w:pPr>
        <w:rPr>
          <w:rFonts w:ascii="Times" w:hAnsi="Times"/>
        </w:rPr>
      </w:pPr>
    </w:p>
    <w:p w14:paraId="0C68CBF6" w14:textId="77310051" w:rsidR="00EB3DE1" w:rsidRDefault="00EB3DE1">
      <w:pPr>
        <w:rPr>
          <w:rFonts w:ascii="Times" w:hAnsi="Times"/>
        </w:rPr>
      </w:pPr>
      <w:r>
        <w:rPr>
          <w:rFonts w:ascii="Times" w:hAnsi="Times"/>
        </w:rPr>
        <w:t xml:space="preserve">Figure 4 shows </w:t>
      </w:r>
    </w:p>
    <w:p w14:paraId="43069562" w14:textId="77777777" w:rsidR="00507DDF" w:rsidRDefault="00507DDF">
      <w:pPr>
        <w:rPr>
          <w:rFonts w:ascii="Times" w:hAnsi="Times"/>
        </w:rPr>
      </w:pPr>
    </w:p>
    <w:p w14:paraId="44D774FA" w14:textId="77777777" w:rsidR="00134F62" w:rsidRPr="00134F62" w:rsidRDefault="00134F62" w:rsidP="00134F62">
      <w:pPr>
        <w:numPr>
          <w:ilvl w:val="0"/>
          <w:numId w:val="14"/>
        </w:numPr>
      </w:pPr>
      <w:r w:rsidRPr="00134F62">
        <w:t>Summary paragraph for total U.S., Canada, and Mexico emissions results</w:t>
      </w:r>
    </w:p>
    <w:p w14:paraId="18AF8452" w14:textId="77777777" w:rsidR="00134F62" w:rsidRPr="00134F62" w:rsidRDefault="00134F62" w:rsidP="00134F62">
      <w:pPr>
        <w:numPr>
          <w:ilvl w:val="0"/>
          <w:numId w:val="14"/>
        </w:numPr>
      </w:pPr>
      <w:r w:rsidRPr="00134F62">
        <w:t>Paragraph on posterior evaluation (posterior concentrations vs. TROPOMI, posterior concentrations vs. surface/aircraft)</w:t>
      </w:r>
    </w:p>
    <w:p w14:paraId="20740E0A" w14:textId="77777777" w:rsidR="00134F62" w:rsidRPr="00134F62" w:rsidRDefault="00134F62" w:rsidP="00134F62">
      <w:pPr>
        <w:numPr>
          <w:ilvl w:val="0"/>
          <w:numId w:val="14"/>
        </w:numPr>
      </w:pPr>
      <w:r w:rsidRPr="00134F62">
        <w:t>Go through sectoral results:</w:t>
      </w:r>
    </w:p>
    <w:p w14:paraId="1F4B5DB7" w14:textId="77777777" w:rsidR="00134F62" w:rsidRPr="00134F62" w:rsidRDefault="00134F62" w:rsidP="00134F62">
      <w:pPr>
        <w:numPr>
          <w:ilvl w:val="1"/>
          <w:numId w:val="14"/>
        </w:numPr>
      </w:pPr>
      <w:r w:rsidRPr="00134F62">
        <w:lastRenderedPageBreak/>
        <w:t>Top-line summary paragraph (describing the prior/posterior bar graph figure, including error bars, and describing sectoral averaging kernel values).</w:t>
      </w:r>
    </w:p>
    <w:p w14:paraId="29570548" w14:textId="77777777" w:rsidR="00134F62" w:rsidRPr="00134F62" w:rsidRDefault="00134F62" w:rsidP="00134F62">
      <w:pPr>
        <w:numPr>
          <w:ilvl w:val="1"/>
          <w:numId w:val="14"/>
        </w:numPr>
      </w:pPr>
      <w:r w:rsidRPr="00134F62">
        <w:t xml:space="preserve">Oil and natural gas, including a basin-by-basin analysis using Lu's basins (and expanding to other regions included in our state vector that were excluded by Lu, </w:t>
      </w:r>
      <w:proofErr w:type="gramStart"/>
      <w:r w:rsidRPr="00134F62">
        <w:t>e.g.</w:t>
      </w:r>
      <w:proofErr w:type="gramEnd"/>
      <w:r w:rsidRPr="00134F62">
        <w:t xml:space="preserve"> the Saskatchewan oil sands). We'll also need to explain the different results in Mexico and in the Marcellus.</w:t>
      </w:r>
    </w:p>
    <w:p w14:paraId="60D1B0E8" w14:textId="740C59CE" w:rsidR="00134F62" w:rsidRDefault="00134F62" w:rsidP="00134F62">
      <w:pPr>
        <w:numPr>
          <w:ilvl w:val="1"/>
          <w:numId w:val="14"/>
        </w:numPr>
      </w:pPr>
      <w:r w:rsidRPr="00134F62">
        <w:t>Coal, since we find such a large decrease that is consistent with EPA trends (and it may explain the Marcellus result)</w:t>
      </w:r>
    </w:p>
    <w:p w14:paraId="18DE2069" w14:textId="634F5A0B" w:rsidR="00F864CC" w:rsidRDefault="00F864CC" w:rsidP="00F864CC">
      <w:pPr>
        <w:numPr>
          <w:ilvl w:val="1"/>
          <w:numId w:val="14"/>
        </w:numPr>
      </w:pPr>
      <w:r w:rsidRPr="00134F62">
        <w:t>Livestock, including (if interesting) a breakdown by manure management vs. enteric fermentation, since I think a lot of our corrections may correspond with manure management</w:t>
      </w:r>
    </w:p>
    <w:p w14:paraId="763E54C0" w14:textId="5BB50543" w:rsidR="00A6720E" w:rsidRDefault="00A6720E" w:rsidP="00F864CC">
      <w:pPr>
        <w:numPr>
          <w:ilvl w:val="1"/>
          <w:numId w:val="14"/>
        </w:numPr>
      </w:pPr>
      <w:r>
        <w:t>Wetlands</w:t>
      </w:r>
    </w:p>
    <w:p w14:paraId="7209A4C8" w14:textId="117D221E" w:rsidR="00F864CC" w:rsidRDefault="00F864CC" w:rsidP="00F864CC">
      <w:pPr>
        <w:numPr>
          <w:ilvl w:val="0"/>
          <w:numId w:val="14"/>
        </w:numPr>
      </w:pPr>
      <w:r>
        <w:t>Other interesting results:</w:t>
      </w:r>
    </w:p>
    <w:p w14:paraId="08928316" w14:textId="6D77260F" w:rsidR="00F864CC" w:rsidRPr="00134F62" w:rsidRDefault="00F864CC" w:rsidP="00F864CC">
      <w:pPr>
        <w:numPr>
          <w:ilvl w:val="1"/>
          <w:numId w:val="14"/>
        </w:numPr>
      </w:pPr>
      <w:r>
        <w:t>Cities</w:t>
      </w:r>
    </w:p>
    <w:p w14:paraId="39A84291" w14:textId="795EDF78" w:rsidR="002231DD" w:rsidRDefault="002231DD"/>
    <w:p w14:paraId="547ED0F1" w14:textId="77777777" w:rsidR="00ED5363" w:rsidRPr="0042686C" w:rsidRDefault="00ED5363"/>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11:00Z" w:initials="HN">
    <w:p w14:paraId="0D80203A" w14:textId="77777777" w:rsidR="00630107" w:rsidRDefault="00630107" w:rsidP="00003DFD">
      <w:r>
        <w:rPr>
          <w:rStyle w:val="CommentReference"/>
        </w:rPr>
        <w:annotationRef/>
      </w:r>
      <w:r>
        <w:rPr>
          <w:sz w:val="20"/>
          <w:szCs w:val="20"/>
        </w:rPr>
        <w:t>I’ll update this when I have the exact configuration of RF/Sa</w:t>
      </w:r>
    </w:p>
  </w:comment>
  <w:comment w:id="1" w:author="Hannah Nesser" w:date="2022-08-01T15:31:00Z" w:initials="HN">
    <w:p w14:paraId="2D4C0CE3" w14:textId="77777777" w:rsidR="00FB7ECB" w:rsidRDefault="00FB7ECB" w:rsidP="001D690D">
      <w:r>
        <w:rPr>
          <w:rStyle w:val="CommentReference"/>
        </w:rPr>
        <w:annotationRef/>
      </w:r>
      <w:r>
        <w:rPr>
          <w:sz w:val="20"/>
          <w:szCs w:val="20"/>
        </w:rPr>
        <w:t>Calculate</w:t>
      </w:r>
    </w:p>
  </w:comment>
  <w:comment w:id="2" w:author="Hannah Nesser" w:date="2022-08-01T15:41:00Z" w:initials="HN">
    <w:p w14:paraId="10201B26" w14:textId="77777777" w:rsidR="00C42943" w:rsidRDefault="00C42943" w:rsidP="00C42943">
      <w:r>
        <w:rPr>
          <w:rStyle w:val="CommentReference"/>
        </w:rPr>
        <w:annotationRef/>
      </w:r>
      <w:r>
        <w:rPr>
          <w:sz w:val="20"/>
          <w:szCs w:val="20"/>
        </w:rPr>
        <w:t>Update once we decide whether or not to use the latitudinal correction</w:t>
      </w:r>
    </w:p>
  </w:comment>
  <w:comment w:id="3" w:author="Hannah Nesser" w:date="2022-08-03T18:44:00Z" w:initials="HN">
    <w:p w14:paraId="59D23594" w14:textId="77777777" w:rsidR="00C67741" w:rsidRDefault="00C67741" w:rsidP="00D508C9">
      <w:r>
        <w:rPr>
          <w:rStyle w:val="CommentReference"/>
        </w:rPr>
        <w:annotationRef/>
      </w:r>
      <w:r>
        <w:rPr>
          <w:sz w:val="20"/>
          <w:szCs w:val="20"/>
        </w:rPr>
        <w:t>DJF</w:t>
      </w:r>
    </w:p>
    <w:p w14:paraId="705E5A83" w14:textId="77777777" w:rsidR="00C67741" w:rsidRDefault="00C67741" w:rsidP="00D508C9">
      <w:r>
        <w:rPr>
          <w:sz w:val="20"/>
          <w:szCs w:val="20"/>
        </w:rPr>
        <w:t xml:space="preserve">  R2            : 0.30</w:t>
      </w:r>
    </w:p>
    <w:p w14:paraId="6EC33512" w14:textId="77777777" w:rsidR="00C67741" w:rsidRDefault="00C67741" w:rsidP="00D508C9">
      <w:r>
        <w:rPr>
          <w:sz w:val="20"/>
          <w:szCs w:val="20"/>
        </w:rPr>
        <w:t xml:space="preserve">  bias          : -11.73</w:t>
      </w:r>
    </w:p>
    <w:p w14:paraId="51D7D984" w14:textId="77777777" w:rsidR="00C67741" w:rsidRDefault="00C67741" w:rsidP="00D508C9">
      <w:r>
        <w:rPr>
          <w:sz w:val="20"/>
          <w:szCs w:val="20"/>
        </w:rPr>
        <w:t xml:space="preserve">  std           : 16.29</w:t>
      </w:r>
    </w:p>
    <w:p w14:paraId="60C07F08" w14:textId="77777777" w:rsidR="00C67741" w:rsidRDefault="00C67741" w:rsidP="00D508C9">
      <w:r>
        <w:rPr>
          <w:sz w:val="20"/>
          <w:szCs w:val="20"/>
        </w:rPr>
        <w:t xml:space="preserve">  regional bias : 16.30</w:t>
      </w:r>
    </w:p>
    <w:p w14:paraId="53D64D31" w14:textId="77777777" w:rsidR="00C67741" w:rsidRDefault="00C67741" w:rsidP="00D508C9">
      <w:r>
        <w:rPr>
          <w:sz w:val="20"/>
          <w:szCs w:val="20"/>
        </w:rPr>
        <w:t>JJA</w:t>
      </w:r>
    </w:p>
    <w:p w14:paraId="5F5C313B" w14:textId="77777777" w:rsidR="00C67741" w:rsidRDefault="00C67741" w:rsidP="00D508C9">
      <w:r>
        <w:rPr>
          <w:sz w:val="20"/>
          <w:szCs w:val="20"/>
        </w:rPr>
        <w:t xml:space="preserve">  R2            : 0.44</w:t>
      </w:r>
    </w:p>
    <w:p w14:paraId="6ED99BDE" w14:textId="77777777" w:rsidR="00C67741" w:rsidRDefault="00C67741" w:rsidP="00D508C9">
      <w:r>
        <w:rPr>
          <w:sz w:val="20"/>
          <w:szCs w:val="20"/>
        </w:rPr>
        <w:t xml:space="preserve">  bias          : -4.99</w:t>
      </w:r>
    </w:p>
    <w:p w14:paraId="2D3D8205" w14:textId="77777777" w:rsidR="00C67741" w:rsidRDefault="00C67741" w:rsidP="00D508C9">
      <w:r>
        <w:rPr>
          <w:sz w:val="20"/>
          <w:szCs w:val="20"/>
        </w:rPr>
        <w:t xml:space="preserve">  std           : 13.88</w:t>
      </w:r>
    </w:p>
    <w:p w14:paraId="2BB1C2B9" w14:textId="77777777" w:rsidR="00C67741" w:rsidRDefault="00C67741" w:rsidP="00D508C9">
      <w:r>
        <w:rPr>
          <w:sz w:val="20"/>
          <w:szCs w:val="20"/>
        </w:rPr>
        <w:t xml:space="preserve">  regional bias : 13.88</w:t>
      </w:r>
    </w:p>
    <w:p w14:paraId="5D8802EE" w14:textId="77777777" w:rsidR="00C67741" w:rsidRDefault="00C67741" w:rsidP="00D508C9">
      <w:r>
        <w:rPr>
          <w:sz w:val="20"/>
          <w:szCs w:val="20"/>
        </w:rPr>
        <w:t>MAM</w:t>
      </w:r>
    </w:p>
    <w:p w14:paraId="45E5487D" w14:textId="77777777" w:rsidR="00C67741" w:rsidRDefault="00C67741" w:rsidP="00D508C9">
      <w:r>
        <w:rPr>
          <w:sz w:val="20"/>
          <w:szCs w:val="20"/>
        </w:rPr>
        <w:t xml:space="preserve">  R2            : 0.49</w:t>
      </w:r>
    </w:p>
    <w:p w14:paraId="081AD00F" w14:textId="77777777" w:rsidR="00C67741" w:rsidRDefault="00C67741" w:rsidP="00D508C9">
      <w:r>
        <w:rPr>
          <w:sz w:val="20"/>
          <w:szCs w:val="20"/>
        </w:rPr>
        <w:t xml:space="preserve">  bias          : -13.21</w:t>
      </w:r>
    </w:p>
    <w:p w14:paraId="07AC9177" w14:textId="77777777" w:rsidR="00C67741" w:rsidRDefault="00C67741" w:rsidP="00D508C9">
      <w:r>
        <w:rPr>
          <w:sz w:val="20"/>
          <w:szCs w:val="20"/>
        </w:rPr>
        <w:t xml:space="preserve">  std           : 13.31</w:t>
      </w:r>
    </w:p>
    <w:p w14:paraId="025536AF" w14:textId="77777777" w:rsidR="00C67741" w:rsidRDefault="00C67741" w:rsidP="00D508C9">
      <w:r>
        <w:rPr>
          <w:sz w:val="20"/>
          <w:szCs w:val="20"/>
        </w:rPr>
        <w:t xml:space="preserve">  regional bias : 13.32</w:t>
      </w:r>
    </w:p>
    <w:p w14:paraId="1A1F90BF" w14:textId="77777777" w:rsidR="00C67741" w:rsidRDefault="00C67741" w:rsidP="00D508C9">
      <w:r>
        <w:rPr>
          <w:sz w:val="20"/>
          <w:szCs w:val="20"/>
        </w:rPr>
        <w:t>SON</w:t>
      </w:r>
    </w:p>
    <w:p w14:paraId="4800B991" w14:textId="77777777" w:rsidR="00C67741" w:rsidRDefault="00C67741" w:rsidP="00D508C9">
      <w:r>
        <w:rPr>
          <w:sz w:val="20"/>
          <w:szCs w:val="20"/>
        </w:rPr>
        <w:t xml:space="preserve">  R2            : 0.44</w:t>
      </w:r>
    </w:p>
    <w:p w14:paraId="5EDBD9C6" w14:textId="77777777" w:rsidR="00C67741" w:rsidRDefault="00C67741" w:rsidP="00D508C9">
      <w:r>
        <w:rPr>
          <w:sz w:val="20"/>
          <w:szCs w:val="20"/>
        </w:rPr>
        <w:t xml:space="preserve">  bias          : -9.05</w:t>
      </w:r>
    </w:p>
    <w:p w14:paraId="333E6290" w14:textId="77777777" w:rsidR="00C67741" w:rsidRDefault="00C67741" w:rsidP="00D508C9">
      <w:r>
        <w:rPr>
          <w:sz w:val="20"/>
          <w:szCs w:val="20"/>
        </w:rPr>
        <w:t xml:space="preserve">  std           : 14.84</w:t>
      </w:r>
    </w:p>
    <w:p w14:paraId="3BFA0A93" w14:textId="77777777" w:rsidR="00C67741" w:rsidRDefault="00C67741" w:rsidP="00D508C9">
      <w:r>
        <w:rPr>
          <w:sz w:val="20"/>
          <w:szCs w:val="20"/>
        </w:rPr>
        <w:t xml:space="preserve">  regional bias : 14.84</w:t>
      </w:r>
    </w:p>
  </w:comment>
  <w:comment w:id="4" w:author="Hannah Nesser" w:date="2022-08-05T13:21:00Z" w:initials="HN">
    <w:p w14:paraId="10D13283" w14:textId="77777777" w:rsidR="00A876DA" w:rsidRDefault="00A876DA" w:rsidP="00BA61E9">
      <w:r>
        <w:rPr>
          <w:rStyle w:val="CommentReference"/>
        </w:rPr>
        <w:annotationRef/>
      </w:r>
      <w:r>
        <w:rPr>
          <w:sz w:val="20"/>
          <w:szCs w:val="20"/>
        </w:rPr>
        <w:t>Write this after deciding whether to use it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80203A" w15:done="0"/>
  <w15:commentEx w15:paraId="2D4C0CE3" w15:done="0"/>
  <w15:commentEx w15:paraId="10201B26" w15:done="0"/>
  <w15:commentEx w15:paraId="3BFA0A93" w15:done="0"/>
  <w15:commentEx w15:paraId="10D13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6B9A" w16cex:dateUtc="2022-08-01T19:11:00Z"/>
  <w16cex:commentExtensible w16cex:durableId="2692703D" w16cex:dateUtc="2022-08-01T19:31:00Z"/>
  <w16cex:commentExtensible w16cex:durableId="26927298" w16cex:dateUtc="2022-08-01T19:41:00Z"/>
  <w16cex:commentExtensible w16cex:durableId="269540A6" w16cex:dateUtc="2022-08-03T22:44:00Z"/>
  <w16cex:commentExtensible w16cex:durableId="269797F6" w16cex:dateUtc="2022-08-05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80203A" w16cid:durableId="26926B9A"/>
  <w16cid:commentId w16cid:paraId="2D4C0CE3" w16cid:durableId="2692703D"/>
  <w16cid:commentId w16cid:paraId="10201B26" w16cid:durableId="26927298"/>
  <w16cid:commentId w16cid:paraId="3BFA0A93" w16cid:durableId="269540A6"/>
  <w16cid:commentId w16cid:paraId="10D13283" w16cid:durableId="26979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2F49" w14:textId="77777777" w:rsidR="00C160F0" w:rsidRDefault="00C160F0" w:rsidP="00112218">
      <w:r>
        <w:separator/>
      </w:r>
    </w:p>
  </w:endnote>
  <w:endnote w:type="continuationSeparator" w:id="0">
    <w:p w14:paraId="0C9F9961" w14:textId="77777777" w:rsidR="00C160F0" w:rsidRDefault="00C160F0"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97A37" w14:textId="77777777" w:rsidR="00C160F0" w:rsidRDefault="00C160F0" w:rsidP="00112218">
      <w:r>
        <w:separator/>
      </w:r>
    </w:p>
  </w:footnote>
  <w:footnote w:type="continuationSeparator" w:id="0">
    <w:p w14:paraId="6A2E8BED" w14:textId="77777777" w:rsidR="00C160F0" w:rsidRDefault="00C160F0"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4"/>
  </w:num>
  <w:num w:numId="2" w16cid:durableId="2029478264">
    <w:abstractNumId w:val="7"/>
  </w:num>
  <w:num w:numId="3" w16cid:durableId="492382351">
    <w:abstractNumId w:val="13"/>
  </w:num>
  <w:num w:numId="4" w16cid:durableId="157117379">
    <w:abstractNumId w:val="8"/>
  </w:num>
  <w:num w:numId="5" w16cid:durableId="2126462295">
    <w:abstractNumId w:val="1"/>
  </w:num>
  <w:num w:numId="6" w16cid:durableId="1841193393">
    <w:abstractNumId w:val="2"/>
  </w:num>
  <w:num w:numId="7" w16cid:durableId="1319772984">
    <w:abstractNumId w:val="11"/>
  </w:num>
  <w:num w:numId="8" w16cid:durableId="206721741">
    <w:abstractNumId w:val="10"/>
  </w:num>
  <w:num w:numId="9" w16cid:durableId="1635718399">
    <w:abstractNumId w:val="12"/>
  </w:num>
  <w:num w:numId="10" w16cid:durableId="2056001632">
    <w:abstractNumId w:val="9"/>
  </w:num>
  <w:num w:numId="11" w16cid:durableId="1043554619">
    <w:abstractNumId w:val="6"/>
  </w:num>
  <w:num w:numId="12" w16cid:durableId="924456509">
    <w:abstractNumId w:val="5"/>
  </w:num>
  <w:num w:numId="13" w16cid:durableId="952201917">
    <w:abstractNumId w:val="0"/>
  </w:num>
  <w:num w:numId="14" w16cid:durableId="351416279">
    <w:abstractNumId w:val="14"/>
  </w:num>
  <w:num w:numId="15" w16cid:durableId="1792937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1160D"/>
    <w:rsid w:val="0002114F"/>
    <w:rsid w:val="00025A13"/>
    <w:rsid w:val="00037EE2"/>
    <w:rsid w:val="000471CC"/>
    <w:rsid w:val="00060237"/>
    <w:rsid w:val="00065213"/>
    <w:rsid w:val="000663AD"/>
    <w:rsid w:val="0008317E"/>
    <w:rsid w:val="00085A48"/>
    <w:rsid w:val="000C43DF"/>
    <w:rsid w:val="000C60C6"/>
    <w:rsid w:val="000C6DDD"/>
    <w:rsid w:val="000C7673"/>
    <w:rsid w:val="000F230B"/>
    <w:rsid w:val="00102AF3"/>
    <w:rsid w:val="00112218"/>
    <w:rsid w:val="00112E18"/>
    <w:rsid w:val="00116066"/>
    <w:rsid w:val="00125BEA"/>
    <w:rsid w:val="00132DAA"/>
    <w:rsid w:val="00134F62"/>
    <w:rsid w:val="00146D72"/>
    <w:rsid w:val="00152FED"/>
    <w:rsid w:val="001568F5"/>
    <w:rsid w:val="00157961"/>
    <w:rsid w:val="001765E5"/>
    <w:rsid w:val="00183AA0"/>
    <w:rsid w:val="0019599B"/>
    <w:rsid w:val="001B4A42"/>
    <w:rsid w:val="001B5212"/>
    <w:rsid w:val="001C41E7"/>
    <w:rsid w:val="001C61E6"/>
    <w:rsid w:val="001F7B45"/>
    <w:rsid w:val="00202404"/>
    <w:rsid w:val="0020458F"/>
    <w:rsid w:val="002072F5"/>
    <w:rsid w:val="00216EC7"/>
    <w:rsid w:val="002231DD"/>
    <w:rsid w:val="00257F6B"/>
    <w:rsid w:val="00262395"/>
    <w:rsid w:val="00267AB0"/>
    <w:rsid w:val="002A1950"/>
    <w:rsid w:val="002C00EB"/>
    <w:rsid w:val="002D111D"/>
    <w:rsid w:val="003166C7"/>
    <w:rsid w:val="00317652"/>
    <w:rsid w:val="0033785E"/>
    <w:rsid w:val="00347B67"/>
    <w:rsid w:val="003569D5"/>
    <w:rsid w:val="00357B8D"/>
    <w:rsid w:val="00366780"/>
    <w:rsid w:val="00367D8C"/>
    <w:rsid w:val="00381CA9"/>
    <w:rsid w:val="003A1BC7"/>
    <w:rsid w:val="003B15AB"/>
    <w:rsid w:val="003B4F4C"/>
    <w:rsid w:val="003C3729"/>
    <w:rsid w:val="003D01B0"/>
    <w:rsid w:val="003D698A"/>
    <w:rsid w:val="003D7A11"/>
    <w:rsid w:val="003E1CC1"/>
    <w:rsid w:val="003E6295"/>
    <w:rsid w:val="003F32EE"/>
    <w:rsid w:val="003F3553"/>
    <w:rsid w:val="004021AF"/>
    <w:rsid w:val="0040254E"/>
    <w:rsid w:val="004040FD"/>
    <w:rsid w:val="00417E6F"/>
    <w:rsid w:val="0042686C"/>
    <w:rsid w:val="004438A4"/>
    <w:rsid w:val="00490EB9"/>
    <w:rsid w:val="004937F6"/>
    <w:rsid w:val="004A31EF"/>
    <w:rsid w:val="004C3387"/>
    <w:rsid w:val="004F7D1B"/>
    <w:rsid w:val="00507010"/>
    <w:rsid w:val="00507DDF"/>
    <w:rsid w:val="005178BE"/>
    <w:rsid w:val="00521D0D"/>
    <w:rsid w:val="00522565"/>
    <w:rsid w:val="005258BF"/>
    <w:rsid w:val="00536BCE"/>
    <w:rsid w:val="00544FE5"/>
    <w:rsid w:val="00545BFE"/>
    <w:rsid w:val="00554F6C"/>
    <w:rsid w:val="00565423"/>
    <w:rsid w:val="00567AFF"/>
    <w:rsid w:val="0057503D"/>
    <w:rsid w:val="005B4BA4"/>
    <w:rsid w:val="005C44B9"/>
    <w:rsid w:val="005C76E6"/>
    <w:rsid w:val="005D1672"/>
    <w:rsid w:val="005D2126"/>
    <w:rsid w:val="005D50EC"/>
    <w:rsid w:val="005F2417"/>
    <w:rsid w:val="005F5428"/>
    <w:rsid w:val="005F5CFD"/>
    <w:rsid w:val="006046B6"/>
    <w:rsid w:val="00606F50"/>
    <w:rsid w:val="006128E7"/>
    <w:rsid w:val="00620767"/>
    <w:rsid w:val="00623654"/>
    <w:rsid w:val="006267C3"/>
    <w:rsid w:val="00626899"/>
    <w:rsid w:val="0062723A"/>
    <w:rsid w:val="00630107"/>
    <w:rsid w:val="00632B26"/>
    <w:rsid w:val="00645B23"/>
    <w:rsid w:val="00655EC7"/>
    <w:rsid w:val="006572FD"/>
    <w:rsid w:val="00662572"/>
    <w:rsid w:val="00663B5D"/>
    <w:rsid w:val="00664282"/>
    <w:rsid w:val="00664966"/>
    <w:rsid w:val="00664A9F"/>
    <w:rsid w:val="00667142"/>
    <w:rsid w:val="006A6CBE"/>
    <w:rsid w:val="006B39B7"/>
    <w:rsid w:val="006F2CD6"/>
    <w:rsid w:val="006F5AB6"/>
    <w:rsid w:val="007038D6"/>
    <w:rsid w:val="00706960"/>
    <w:rsid w:val="007122CC"/>
    <w:rsid w:val="00715764"/>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30C59"/>
    <w:rsid w:val="00863BE8"/>
    <w:rsid w:val="008648FA"/>
    <w:rsid w:val="008778AC"/>
    <w:rsid w:val="00884168"/>
    <w:rsid w:val="008A556F"/>
    <w:rsid w:val="008C1F0D"/>
    <w:rsid w:val="008D0F19"/>
    <w:rsid w:val="008D7CFF"/>
    <w:rsid w:val="008E0E09"/>
    <w:rsid w:val="008E2D46"/>
    <w:rsid w:val="008E7712"/>
    <w:rsid w:val="008F0BC7"/>
    <w:rsid w:val="008F4611"/>
    <w:rsid w:val="008F5D43"/>
    <w:rsid w:val="00902065"/>
    <w:rsid w:val="0090361F"/>
    <w:rsid w:val="00914C58"/>
    <w:rsid w:val="0092425A"/>
    <w:rsid w:val="00932054"/>
    <w:rsid w:val="009348A6"/>
    <w:rsid w:val="0093788E"/>
    <w:rsid w:val="00940EB7"/>
    <w:rsid w:val="00946FDA"/>
    <w:rsid w:val="00963310"/>
    <w:rsid w:val="009770AD"/>
    <w:rsid w:val="00980A29"/>
    <w:rsid w:val="009824F2"/>
    <w:rsid w:val="00987FB3"/>
    <w:rsid w:val="00996F51"/>
    <w:rsid w:val="009A6DFD"/>
    <w:rsid w:val="009C1320"/>
    <w:rsid w:val="009C13BF"/>
    <w:rsid w:val="009C5A27"/>
    <w:rsid w:val="009E0287"/>
    <w:rsid w:val="00A109E9"/>
    <w:rsid w:val="00A1169A"/>
    <w:rsid w:val="00A13ABB"/>
    <w:rsid w:val="00A156A8"/>
    <w:rsid w:val="00A23C43"/>
    <w:rsid w:val="00A349EF"/>
    <w:rsid w:val="00A3776F"/>
    <w:rsid w:val="00A53589"/>
    <w:rsid w:val="00A60146"/>
    <w:rsid w:val="00A61A17"/>
    <w:rsid w:val="00A634C4"/>
    <w:rsid w:val="00A6433B"/>
    <w:rsid w:val="00A6720E"/>
    <w:rsid w:val="00A72C09"/>
    <w:rsid w:val="00A759DF"/>
    <w:rsid w:val="00A876DA"/>
    <w:rsid w:val="00A95FA6"/>
    <w:rsid w:val="00AA15A0"/>
    <w:rsid w:val="00AA2343"/>
    <w:rsid w:val="00AB5662"/>
    <w:rsid w:val="00AD706D"/>
    <w:rsid w:val="00AE7A4E"/>
    <w:rsid w:val="00B11F0C"/>
    <w:rsid w:val="00B158AB"/>
    <w:rsid w:val="00B17D47"/>
    <w:rsid w:val="00B2589F"/>
    <w:rsid w:val="00B3556E"/>
    <w:rsid w:val="00B40A20"/>
    <w:rsid w:val="00B44582"/>
    <w:rsid w:val="00B60536"/>
    <w:rsid w:val="00B641C8"/>
    <w:rsid w:val="00B67DCF"/>
    <w:rsid w:val="00B746C6"/>
    <w:rsid w:val="00BB64E5"/>
    <w:rsid w:val="00BC14A8"/>
    <w:rsid w:val="00BC181E"/>
    <w:rsid w:val="00BC409C"/>
    <w:rsid w:val="00BD679D"/>
    <w:rsid w:val="00BF094E"/>
    <w:rsid w:val="00C15C02"/>
    <w:rsid w:val="00C160F0"/>
    <w:rsid w:val="00C200EB"/>
    <w:rsid w:val="00C42943"/>
    <w:rsid w:val="00C47960"/>
    <w:rsid w:val="00C47ECB"/>
    <w:rsid w:val="00C53212"/>
    <w:rsid w:val="00C6508E"/>
    <w:rsid w:val="00C67741"/>
    <w:rsid w:val="00C942C7"/>
    <w:rsid w:val="00C96991"/>
    <w:rsid w:val="00C976E9"/>
    <w:rsid w:val="00CA7EA4"/>
    <w:rsid w:val="00CB0013"/>
    <w:rsid w:val="00CC48A6"/>
    <w:rsid w:val="00CC7F7C"/>
    <w:rsid w:val="00CF42A3"/>
    <w:rsid w:val="00D0742F"/>
    <w:rsid w:val="00D3266C"/>
    <w:rsid w:val="00D3580B"/>
    <w:rsid w:val="00D41E21"/>
    <w:rsid w:val="00D767D2"/>
    <w:rsid w:val="00D81712"/>
    <w:rsid w:val="00D81B11"/>
    <w:rsid w:val="00D8280E"/>
    <w:rsid w:val="00D8311E"/>
    <w:rsid w:val="00DA00BD"/>
    <w:rsid w:val="00DB582B"/>
    <w:rsid w:val="00E0372F"/>
    <w:rsid w:val="00E14379"/>
    <w:rsid w:val="00E20A10"/>
    <w:rsid w:val="00E20E29"/>
    <w:rsid w:val="00E213E6"/>
    <w:rsid w:val="00E30AFE"/>
    <w:rsid w:val="00E332C1"/>
    <w:rsid w:val="00E334F2"/>
    <w:rsid w:val="00E372F2"/>
    <w:rsid w:val="00E4108E"/>
    <w:rsid w:val="00E5292E"/>
    <w:rsid w:val="00E63085"/>
    <w:rsid w:val="00E8511B"/>
    <w:rsid w:val="00E87A82"/>
    <w:rsid w:val="00EA6C55"/>
    <w:rsid w:val="00EB22B4"/>
    <w:rsid w:val="00EB3DE1"/>
    <w:rsid w:val="00EC3AB1"/>
    <w:rsid w:val="00ED5363"/>
    <w:rsid w:val="00EF3F36"/>
    <w:rsid w:val="00F06DE2"/>
    <w:rsid w:val="00F11D2A"/>
    <w:rsid w:val="00F215E4"/>
    <w:rsid w:val="00F236F8"/>
    <w:rsid w:val="00F372C5"/>
    <w:rsid w:val="00F46957"/>
    <w:rsid w:val="00F534F8"/>
    <w:rsid w:val="00F5518E"/>
    <w:rsid w:val="00F56149"/>
    <w:rsid w:val="00F603F1"/>
    <w:rsid w:val="00F864CC"/>
    <w:rsid w:val="00F86E2A"/>
    <w:rsid w:val="00F87536"/>
    <w:rsid w:val="00FA3FAA"/>
    <w:rsid w:val="00FA4A08"/>
    <w:rsid w:val="00FB7ECB"/>
    <w:rsid w:val="00FD05AA"/>
    <w:rsid w:val="00FD0A57"/>
    <w:rsid w:val="00FD3469"/>
    <w:rsid w:val="00FD7094"/>
    <w:rsid w:val="00FE6A00"/>
    <w:rsid w:val="00FF1C87"/>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351493608">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che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6094</TotalTime>
  <Pages>9</Pages>
  <Words>6921</Words>
  <Characters>39450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77</cp:revision>
  <dcterms:created xsi:type="dcterms:W3CDTF">2021-02-25T20:21:00Z</dcterms:created>
  <dcterms:modified xsi:type="dcterms:W3CDTF">2022-10-04T19:35:00Z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