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C01462" w:rsidRDefault="00664966">
      <w:pPr>
        <w:rPr>
          <w:b/>
          <w:bCs/>
          <w:sz w:val="30"/>
          <w:szCs w:val="30"/>
        </w:rPr>
      </w:pPr>
      <w:r w:rsidRPr="00C01462">
        <w:rPr>
          <w:b/>
          <w:bCs/>
          <w:sz w:val="30"/>
          <w:szCs w:val="30"/>
        </w:rPr>
        <w:t xml:space="preserve">High-resolution </w:t>
      </w:r>
      <w:r w:rsidR="00B44582" w:rsidRPr="00C01462">
        <w:rPr>
          <w:b/>
          <w:bCs/>
          <w:sz w:val="30"/>
          <w:szCs w:val="30"/>
        </w:rPr>
        <w:t>North American methane emissions inferred from an inversion of 2019 TROPOMI satellite data</w:t>
      </w:r>
    </w:p>
    <w:p w14:paraId="3174176E" w14:textId="59374D7B" w:rsidR="00BF094E" w:rsidRPr="00C01462" w:rsidRDefault="00BF094E" w:rsidP="00BF094E">
      <w:r w:rsidRPr="00C01462">
        <w:t>Hannah Nesser</w:t>
      </w:r>
      <w:r w:rsidRPr="00C01462">
        <w:rPr>
          <w:vertAlign w:val="superscript"/>
        </w:rPr>
        <w:t>1</w:t>
      </w:r>
      <w:r w:rsidRPr="00C01462">
        <w:t>, Daniel J. Jacob</w:t>
      </w:r>
      <w:r w:rsidRPr="00C01462">
        <w:rPr>
          <w:vertAlign w:val="superscript"/>
        </w:rPr>
        <w:t>1</w:t>
      </w:r>
      <w:r w:rsidRPr="00C01462">
        <w:t xml:space="preserve">, </w:t>
      </w:r>
      <w:proofErr w:type="spellStart"/>
      <w:r w:rsidRPr="00C01462">
        <w:t>Joannes</w:t>
      </w:r>
      <w:proofErr w:type="spellEnd"/>
      <w:r w:rsidRPr="00C01462">
        <w:t xml:space="preserve"> D. Maasakkers</w:t>
      </w:r>
      <w:r w:rsidRPr="00C01462">
        <w:rPr>
          <w:vertAlign w:val="superscript"/>
        </w:rPr>
        <w:t>2</w:t>
      </w:r>
      <w:r w:rsidRPr="00C01462">
        <w:t xml:space="preserve">, Xiao </w:t>
      </w:r>
      <w:commentRangeStart w:id="0"/>
      <w:r w:rsidRPr="00C01462">
        <w:t>Lu</w:t>
      </w:r>
      <w:r w:rsidR="00EF55DC">
        <w:rPr>
          <w:vertAlign w:val="superscript"/>
        </w:rPr>
        <w:t>1</w:t>
      </w:r>
      <w:r w:rsidR="007B190B">
        <w:rPr>
          <w:vertAlign w:val="superscript"/>
        </w:rPr>
        <w:t>,3</w:t>
      </w:r>
      <w:commentRangeEnd w:id="0"/>
      <w:r w:rsidR="007B190B">
        <w:rPr>
          <w:rStyle w:val="CommentReference"/>
        </w:rPr>
        <w:commentReference w:id="0"/>
      </w:r>
      <w:r w:rsidRPr="00C01462">
        <w:t>, Lu Shen</w:t>
      </w:r>
      <w:r w:rsidR="00001BA0">
        <w:rPr>
          <w:vertAlign w:val="superscript"/>
        </w:rPr>
        <w:t>1</w:t>
      </w:r>
      <w:r w:rsidR="007B190B">
        <w:rPr>
          <w:vertAlign w:val="superscript"/>
        </w:rPr>
        <w:t>,4</w:t>
      </w:r>
      <w:r w:rsidRPr="00C01462">
        <w:t>, Zhen Qu</w:t>
      </w:r>
      <w:r w:rsidRPr="00C01462">
        <w:rPr>
          <w:vertAlign w:val="superscript"/>
        </w:rPr>
        <w:t>1</w:t>
      </w:r>
      <w:r w:rsidR="00EF55DC">
        <w:rPr>
          <w:vertAlign w:val="superscript"/>
        </w:rPr>
        <w:t>,</w:t>
      </w:r>
      <w:r w:rsidR="007B190B">
        <w:rPr>
          <w:vertAlign w:val="superscript"/>
        </w:rPr>
        <w:t>5</w:t>
      </w:r>
      <w:r w:rsidRPr="00C01462">
        <w:t xml:space="preserve">, </w:t>
      </w:r>
      <w:proofErr w:type="spellStart"/>
      <w:r w:rsidR="00EF55DC">
        <w:t>Zichong</w:t>
      </w:r>
      <w:proofErr w:type="spellEnd"/>
      <w:r w:rsidR="00EF55DC">
        <w:t xml:space="preserve"> Chen</w:t>
      </w:r>
      <w:r w:rsidR="00EF55DC" w:rsidRPr="00C01462">
        <w:rPr>
          <w:vertAlign w:val="superscript"/>
        </w:rPr>
        <w:t>1</w:t>
      </w:r>
      <w:r w:rsidR="00EF55DC">
        <w:t xml:space="preserve">, </w:t>
      </w:r>
      <w:r w:rsidRPr="00C01462">
        <w:t>Tia Scarpelli</w:t>
      </w:r>
      <w:r w:rsidR="007B190B">
        <w:rPr>
          <w:vertAlign w:val="superscript"/>
        </w:rPr>
        <w:t>6</w:t>
      </w:r>
      <w:r w:rsidRPr="00C01462">
        <w:t>, Melissa P. Sulprizio</w:t>
      </w:r>
      <w:r w:rsidRPr="00C01462">
        <w:rPr>
          <w:vertAlign w:val="superscript"/>
        </w:rPr>
        <w:t>1</w:t>
      </w:r>
      <w:r w:rsidRPr="00C01462">
        <w:t>, Margaux Winter</w:t>
      </w:r>
      <w:r w:rsidRPr="00C01462">
        <w:rPr>
          <w:vertAlign w:val="superscript"/>
        </w:rPr>
        <w:t>1</w:t>
      </w:r>
      <w:r w:rsidRPr="00C01462">
        <w:t>, Jeremy S. Brandman</w:t>
      </w:r>
      <w:r w:rsidR="007B190B">
        <w:rPr>
          <w:vertAlign w:val="superscript"/>
        </w:rPr>
        <w:t>7</w:t>
      </w:r>
      <w:r w:rsidRPr="00C01462">
        <w:t>, Cynthia A. Randles</w:t>
      </w:r>
      <w:r w:rsidR="007B190B">
        <w:rPr>
          <w:vertAlign w:val="superscript"/>
        </w:rPr>
        <w:t>7</w:t>
      </w:r>
      <w:r w:rsidRPr="00C01462">
        <w:t>, Ashutosh Tewari</w:t>
      </w:r>
      <w:r w:rsidR="007B190B">
        <w:rPr>
          <w:vertAlign w:val="superscript"/>
        </w:rPr>
        <w:t>7</w:t>
      </w:r>
      <w:r w:rsidRPr="00C01462">
        <w:t>, A. Anthony Bloom</w:t>
      </w:r>
      <w:r w:rsidR="007B190B">
        <w:rPr>
          <w:vertAlign w:val="superscript"/>
        </w:rPr>
        <w:t>8</w:t>
      </w:r>
      <w:r w:rsidRPr="00C01462">
        <w:t>, Shuang Ma</w:t>
      </w:r>
      <w:r w:rsidR="007B190B">
        <w:rPr>
          <w:vertAlign w:val="superscript"/>
        </w:rPr>
        <w:t>8</w:t>
      </w:r>
      <w:r w:rsidR="007B190B">
        <w:t xml:space="preserve">, </w:t>
      </w:r>
      <w:r w:rsidRPr="00C01462">
        <w:t>John Worden</w:t>
      </w:r>
      <w:r w:rsidR="007B190B">
        <w:rPr>
          <w:vertAlign w:val="superscript"/>
        </w:rPr>
        <w:t>8</w:t>
      </w:r>
      <w:r w:rsidRPr="00C01462">
        <w:t>…</w:t>
      </w:r>
    </w:p>
    <w:p w14:paraId="4DB3B5E5" w14:textId="77777777" w:rsidR="00BF094E" w:rsidRPr="00C01462" w:rsidRDefault="00BF094E" w:rsidP="00BF094E">
      <w:pPr>
        <w:pStyle w:val="Affiliation"/>
      </w:pPr>
      <w:r w:rsidRPr="00C01462">
        <w:rPr>
          <w:vertAlign w:val="superscript"/>
        </w:rPr>
        <w:t>1</w:t>
      </w:r>
      <w:r w:rsidRPr="00C01462">
        <w:t>School of Engineering and Applied Sciences, Harvard University, Cambridge, MA, USA</w:t>
      </w:r>
    </w:p>
    <w:p w14:paraId="0255F15B" w14:textId="317E420A" w:rsidR="00BF094E" w:rsidRDefault="00BF094E" w:rsidP="00BF094E">
      <w:pPr>
        <w:pStyle w:val="Affiliation"/>
      </w:pPr>
      <w:r w:rsidRPr="00C01462">
        <w:rPr>
          <w:vertAlign w:val="superscript"/>
        </w:rPr>
        <w:t>2</w:t>
      </w:r>
      <w:r w:rsidRPr="00C01462">
        <w:t>SRON Netherlands Institute for Space Research, Utrecht, the Netherlands</w:t>
      </w:r>
    </w:p>
    <w:p w14:paraId="53B83BCB" w14:textId="589EE42C" w:rsidR="00EF55DC" w:rsidRDefault="00EF55DC" w:rsidP="00BF094E">
      <w:pPr>
        <w:pStyle w:val="Affiliation"/>
      </w:pPr>
      <w:r>
        <w:rPr>
          <w:vertAlign w:val="superscript"/>
        </w:rPr>
        <w:t>3</w:t>
      </w:r>
      <w:r>
        <w:t xml:space="preserve">School of Atmospheric Sciences, Sun </w:t>
      </w:r>
      <w:proofErr w:type="spellStart"/>
      <w:r>
        <w:t>Yat-sen</w:t>
      </w:r>
      <w:proofErr w:type="spellEnd"/>
      <w:r>
        <w:t xml:space="preserve"> University, Zhuhai, Guangdong Province, China</w:t>
      </w:r>
    </w:p>
    <w:p w14:paraId="62A4472C" w14:textId="74024BDB" w:rsidR="00001BA0" w:rsidRPr="00EF55DC" w:rsidRDefault="00001BA0" w:rsidP="00BF094E">
      <w:pPr>
        <w:pStyle w:val="Affiliation"/>
      </w:pPr>
      <w:r w:rsidRPr="00001BA0">
        <w:rPr>
          <w:vertAlign w:val="superscript"/>
        </w:rPr>
        <w:t>4</w:t>
      </w:r>
      <w:r>
        <w:t>Department of Atmospheric and Oceanic Sciences, School of Physics, Peking University, Beijing 100871, China</w:t>
      </w:r>
    </w:p>
    <w:p w14:paraId="326403AC" w14:textId="20B3C706" w:rsidR="00EF55DC" w:rsidRDefault="007B190B" w:rsidP="00BF094E">
      <w:pPr>
        <w:pStyle w:val="Affiliation"/>
      </w:pPr>
      <w:r>
        <w:rPr>
          <w:vertAlign w:val="superscript"/>
        </w:rPr>
        <w:t>5</w:t>
      </w:r>
      <w:r w:rsidR="00EF55DC">
        <w:t>Department of Marine, Earth and Atmospheric Sciences, North Carolina State University, Raleigh, NC, USA</w:t>
      </w:r>
    </w:p>
    <w:p w14:paraId="3618D766" w14:textId="6F04F13E" w:rsidR="00BF094E" w:rsidRPr="00C01462" w:rsidRDefault="007B190B" w:rsidP="00BF094E">
      <w:pPr>
        <w:pStyle w:val="Affiliation"/>
      </w:pPr>
      <w:r>
        <w:rPr>
          <w:vertAlign w:val="superscript"/>
        </w:rPr>
        <w:t>6</w:t>
      </w:r>
      <w:r w:rsidR="00BF094E" w:rsidRPr="00C01462">
        <w:t>Department of Earth and Planetary Sciences, Harvard University, Cambridge, MA, USA</w:t>
      </w:r>
    </w:p>
    <w:p w14:paraId="720C2564" w14:textId="60C10FAE" w:rsidR="00BF094E" w:rsidRPr="00C01462" w:rsidRDefault="007B190B" w:rsidP="00BF094E">
      <w:pPr>
        <w:pStyle w:val="Affiliation"/>
        <w:rPr>
          <w:lang w:val="en-US"/>
        </w:rPr>
      </w:pPr>
      <w:r>
        <w:rPr>
          <w:vertAlign w:val="superscript"/>
          <w:lang w:val="en-US"/>
        </w:rPr>
        <w:t>7</w:t>
      </w:r>
      <w:r w:rsidR="00BF094E" w:rsidRPr="00C01462">
        <w:rPr>
          <w:lang w:val="en-US"/>
        </w:rPr>
        <w:t>ExxonMobil Research and Engineering Company, Annandale, NJ, USA</w:t>
      </w:r>
    </w:p>
    <w:p w14:paraId="57036D28" w14:textId="10D55028" w:rsidR="00BF094E" w:rsidRPr="00C01462" w:rsidRDefault="007B190B" w:rsidP="00BF094E">
      <w:pPr>
        <w:pStyle w:val="Affiliation"/>
        <w:rPr>
          <w:lang w:val="en-US"/>
        </w:rPr>
      </w:pPr>
      <w:r>
        <w:rPr>
          <w:vertAlign w:val="superscript"/>
          <w:lang w:val="en-US"/>
        </w:rPr>
        <w:t>8</w:t>
      </w:r>
      <w:r w:rsidR="00BF094E" w:rsidRPr="00C01462">
        <w:rPr>
          <w:lang w:val="en-US"/>
        </w:rPr>
        <w:t>Jet Propulsion Laboratory, California Institute of Technology, Pasadena, California, USA</w:t>
      </w:r>
    </w:p>
    <w:p w14:paraId="397F6CE0" w14:textId="77777777" w:rsidR="00BF094E" w:rsidRPr="00C01462" w:rsidRDefault="00BF094E" w:rsidP="00BF094E"/>
    <w:p w14:paraId="6A72191C" w14:textId="212D184B" w:rsidR="009F13B5" w:rsidRPr="00C01462" w:rsidRDefault="00A440C1" w:rsidP="00A440C1">
      <w:r w:rsidRPr="00C01462">
        <w:t xml:space="preserve">We quantify 2019 North American methane emissions at 0.25° </w:t>
      </w:r>
      <w:r w:rsidRPr="00C01462">
        <w:rPr>
          <w:rFonts w:ascii="Cambria Math" w:hAnsi="Cambria Math" w:cs="Cambria Math"/>
        </w:rPr>
        <w:t>⨉</w:t>
      </w:r>
      <w:r w:rsidRPr="00C01462">
        <w:t xml:space="preserve"> 0.3125° resolution by inverse analysis of atmospheric methane columns measured by the Tropospheric Monitoring Instrument (TROPOMI). We perform substantial cleaning of the TROPOMI data to avoid regional biases associated with snow and ice cover. Prior methane emission estimates for the inversion are given by gridded versions of the national inventories reported by individual countries under the Paris Agreement in 2015 (Mexico), 2012 (the United States), and 2018 (Canada). We update United States oil and natural gas emission to match 2018 infrastructure and emissions. We generate </w:t>
      </w:r>
      <w:r w:rsidR="009F13B5">
        <w:t>a 15-member</w:t>
      </w:r>
      <w:r w:rsidRPr="00C01462">
        <w:t xml:space="preserve"> ensemble of improved emissions estimates through analytical minimization of a Bayesian cost function, yielding explicit quantification of the information content of the observing system</w:t>
      </w:r>
      <w:r w:rsidR="009F13B5">
        <w:t xml:space="preserve"> and improved quantification of inversion errors</w:t>
      </w:r>
      <w:r w:rsidRPr="00C01462">
        <w:t xml:space="preserve">. We achieve high resolution results with a reduced-rank characterization of the observing system that maximizes information content while decreasing computational cost by an order of magnitude. </w:t>
      </w:r>
      <w:r w:rsidR="004C2B85" w:rsidRPr="00C01462">
        <w:t xml:space="preserve">We report the ensemble spread for sectoral, state, and urban emissions. </w:t>
      </w:r>
      <w:r w:rsidR="009F13B5">
        <w:t xml:space="preserve">Our reduced-rank inversion achieves 784 (338 - 1278) degrees of freedom for signal (DOFS), a measure of the number of independent pieces of information constrained by the inversion, and </w:t>
      </w:r>
      <w:r w:rsidRPr="00C01462">
        <w:t xml:space="preserve">optimizes </w:t>
      </w:r>
      <w:r w:rsidR="004C2B85" w:rsidRPr="004C2B85">
        <w:t xml:space="preserve">70.8 (56.5 - </w:t>
      </w:r>
      <w:proofErr w:type="gramStart"/>
      <w:r w:rsidR="004C2B85" w:rsidRPr="004C2B85">
        <w:t>78.3)%</w:t>
      </w:r>
      <w:proofErr w:type="gramEnd"/>
      <w:r w:rsidR="004C2B85">
        <w:t xml:space="preserve"> of prior anthropogenic emissions. </w:t>
      </w:r>
      <w:r w:rsidR="0043500C">
        <w:t xml:space="preserve">We find the largest constraint in the contiguous U.S. (CONUS, where we find emissions increase </w:t>
      </w:r>
      <w:r w:rsidR="0043500C" w:rsidRPr="00C01462">
        <w:t xml:space="preserve">3.1 (1.5 - 4.7) </w:t>
      </w:r>
      <w:proofErr w:type="spellStart"/>
      <w:r w:rsidR="0043500C" w:rsidRPr="00C01462">
        <w:t>Tg</w:t>
      </w:r>
      <w:proofErr w:type="spellEnd"/>
      <w:r w:rsidR="0043500C" w:rsidRPr="00C01462">
        <w:t xml:space="preserve"> a</w:t>
      </w:r>
      <w:r w:rsidR="0043500C" w:rsidRPr="00C01462">
        <w:rPr>
          <w:vertAlign w:val="superscript"/>
        </w:rPr>
        <w:t>-1</w:t>
      </w:r>
      <w:r w:rsidR="0043500C">
        <w:t xml:space="preserve"> relative to the prior for a total of </w:t>
      </w:r>
      <w:r w:rsidR="0043500C" w:rsidRPr="00C01462">
        <w:t xml:space="preserve">31.4 (30.0 - 33.0) </w:t>
      </w:r>
      <w:proofErr w:type="spellStart"/>
      <w:r w:rsidR="0043500C" w:rsidRPr="00C01462">
        <w:t>Tg</w:t>
      </w:r>
      <w:proofErr w:type="spellEnd"/>
      <w:r w:rsidR="0043500C" w:rsidRPr="00C01462">
        <w:t xml:space="preserve"> a</w:t>
      </w:r>
      <w:r w:rsidR="0043500C" w:rsidRPr="00C01462">
        <w:rPr>
          <w:vertAlign w:val="superscript"/>
        </w:rPr>
        <w:t>-1</w:t>
      </w:r>
      <w:r w:rsidR="0043500C">
        <w:t xml:space="preserve">. </w:t>
      </w:r>
      <w:r w:rsidR="004C2B85">
        <w:t xml:space="preserve">We find the largest relative and absolute sectoral change in landfill emissions, reflecting the importance of our high-resolution optimization and the significance of urban emissions. We partition our optimized emissions to the 48 states in the contiguous U.S. (CONUS) and find the consolidation of emissions in the largest methane-producing states, with more than 50% of posterior emissions emitted by 7 states. We also find a consolidation of emissions in urban areas, where we find that our initial emissions estimate increases by </w:t>
      </w:r>
      <w:r w:rsidR="004C2B85" w:rsidRPr="00C01462">
        <w:t>29% (16% - 44%)</w:t>
      </w:r>
      <w:r w:rsidR="004C2B85">
        <w:t xml:space="preserve">. Although urban areas occupy less than 3% of surface area in CONUS, posterior emissions explain </w:t>
      </w:r>
      <w:r w:rsidR="004C2B85" w:rsidRPr="00C01462">
        <w:t xml:space="preserve">8.3% (7.7% - 7.2%) of </w:t>
      </w:r>
      <w:r w:rsidR="004C2B85">
        <w:t>the national total.</w:t>
      </w:r>
      <w:r w:rsidR="0043500C">
        <w:t xml:space="preserve"> We also find a significant increase in livestock emissions that correlates with hog and dairy cattle operations, suggesting underestimated manure management </w:t>
      </w:r>
      <w:commentRangeStart w:id="1"/>
      <w:r w:rsidR="0043500C">
        <w:t>emissions</w:t>
      </w:r>
      <w:commentRangeEnd w:id="1"/>
      <w:r w:rsidR="0043500C">
        <w:rPr>
          <w:rStyle w:val="CommentReference"/>
        </w:rPr>
        <w:commentReference w:id="1"/>
      </w:r>
      <w:r w:rsidR="0043500C">
        <w:t xml:space="preserve">. </w:t>
      </w:r>
      <w:r w:rsidR="00E91E2A">
        <w:t xml:space="preserve">The significance of our results over both point and area sources demonstrates the importance of </w:t>
      </w:r>
      <w:r w:rsidR="003C65F3">
        <w:t>achieving</w:t>
      </w:r>
      <w:r w:rsidR="00E91E2A">
        <w:t xml:space="preserve"> high resolution at continent</w:t>
      </w:r>
      <w:r w:rsidR="003C65F3">
        <w:t>al</w:t>
      </w:r>
      <w:r w:rsidR="00E91E2A">
        <w:t xml:space="preserve"> scales and the potential </w:t>
      </w:r>
      <w:r w:rsidRPr="00C01462">
        <w:t>to improve the attribution of inferred greenhouse gas emissions to sectors, nations, states, and urban areas.</w:t>
      </w:r>
    </w:p>
    <w:p w14:paraId="5092385D" w14:textId="1D29391D" w:rsidR="00B44582" w:rsidRPr="00C01462" w:rsidRDefault="00B44582">
      <w:r w:rsidRPr="00C01462">
        <w:br w:type="page"/>
      </w:r>
      <w:r w:rsidRPr="00C01462">
        <w:rPr>
          <w:b/>
          <w:bCs/>
        </w:rPr>
        <w:lastRenderedPageBreak/>
        <w:t>1 Introduction</w:t>
      </w:r>
    </w:p>
    <w:p w14:paraId="3B901380" w14:textId="340BEF35"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sidRPr="00C01462">
        <w:t xml:space="preserve">sectoral </w:t>
      </w:r>
      <w:r w:rsidRPr="00C01462">
        <w:t xml:space="preserve">activity levels and emission factors. However, considerable uncertainty exists in the spatial and temporal distribution of </w:t>
      </w:r>
      <w:r w:rsidR="00B85757" w:rsidRPr="00C01462">
        <w:t>these parameters</w:t>
      </w:r>
      <w:r w:rsidRPr="00C01462">
        <w:t xml:space="preserve">. </w:t>
      </w:r>
      <w:r w:rsidR="009B6046" w:rsidRPr="00C01462">
        <w:t>S</w:t>
      </w:r>
      <w:r w:rsidRPr="00C01462">
        <w:t>atellite</w:t>
      </w:r>
      <w:r w:rsidR="005F5CFD" w:rsidRPr="00C01462">
        <w:t xml:space="preserve"> </w:t>
      </w:r>
      <w:r w:rsidRPr="00C01462">
        <w:t xml:space="preserve">observations </w:t>
      </w:r>
      <w:r w:rsidR="009B6046" w:rsidRPr="00C01462">
        <w:t>can</w:t>
      </w:r>
      <w:r w:rsidRPr="00C01462">
        <w:t xml:space="preserve"> evaluate inventori</w:t>
      </w:r>
      <w:r w:rsidR="005F5CFD" w:rsidRPr="00C01462">
        <w:t>es</w:t>
      </w:r>
      <w:r w:rsidR="009B6046" w:rsidRPr="00C01462">
        <w:t xml:space="preserve"> through inverse analyses</w:t>
      </w:r>
      <w:r w:rsidRPr="00C01462">
        <w:t xml:space="preserve">. </w:t>
      </w:r>
      <w:r w:rsidR="005F5CFD" w:rsidRPr="00C01462">
        <w:t xml:space="preserve">To accurately quantify sectoral emissions at a national or subnational level, </w:t>
      </w:r>
      <w:r w:rsidR="009B6046" w:rsidRPr="00C01462">
        <w:t xml:space="preserve">inversions </w:t>
      </w:r>
      <w:r w:rsidRPr="00C01462">
        <w:t xml:space="preserve">must </w:t>
      </w:r>
      <w:r w:rsidR="005F5CFD" w:rsidRPr="00C01462">
        <w:t xml:space="preserve">both </w:t>
      </w:r>
      <w:r w:rsidRPr="00C01462">
        <w:t>achieve high resolution</w:t>
      </w:r>
      <w:r w:rsidR="005F5CFD" w:rsidRPr="00C01462">
        <w:t xml:space="preserve"> and quantify the information content of the observing system. Here we use column methane observations from the TROPOMI satellite instrument to infer methane emissions and the associated information content at 0.25° </w:t>
      </w:r>
      <w:r w:rsidR="005F5CFD" w:rsidRPr="00C01462">
        <w:rPr>
          <w:rFonts w:ascii="Cambria Math" w:hAnsi="Cambria Math" w:cs="Cambria Math"/>
        </w:rPr>
        <w:t>⨉</w:t>
      </w:r>
      <w:r w:rsidR="005F5CFD" w:rsidRPr="00C01462">
        <w:t xml:space="preserve"> 0.3125° resolution over North America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4658B824" w:rsidR="00AE7BA5" w:rsidRPr="00C01462" w:rsidRDefault="00AE7BA5" w:rsidP="00AE7BA5">
      <w:r>
        <w:t xml:space="preserve">Satellite measurements of atmospheric methane column concentrations inferred from observation of backscattered sunlight in the shortwave infrared </w:t>
      </w:r>
      <w:r>
        <w:t xml:space="preserve">can improve methane emission estimates at continental scales (Streets et al., 2013; Jacob et al., 2022). Previous satellite instruments supported the optimization of methane emissions </w:t>
      </w:r>
      <w:r w:rsidR="009861E2">
        <w:t>(</w:t>
      </w:r>
      <w:r w:rsidR="005D7D3C">
        <w:t xml:space="preserve">e.g., Miller et al., 2013; </w:t>
      </w:r>
      <w:proofErr w:type="spellStart"/>
      <w:r w:rsidR="005D7D3C">
        <w:t>Saunois</w:t>
      </w:r>
      <w:proofErr w:type="spellEnd"/>
      <w:r w:rsidR="005D7D3C">
        <w:t xml:space="preserve"> et al., 2020; </w:t>
      </w:r>
      <w:r w:rsidR="009861E2">
        <w:t>Qu et al., 2021</w:t>
      </w:r>
      <w:r w:rsidR="005D7D3C">
        <w:t>; Lu et al., 2022</w:t>
      </w:r>
      <w:r w:rsidR="009861E2">
        <w:t xml:space="preserve">), but were limited by low information content resulting from </w:t>
      </w:r>
      <w:r>
        <w:t xml:space="preserve">coarse pixel resolution (SCIAMCHY, 2003 – 2012) or their spatially and temporally sparse sampling (GOSAT, 2009 - present). </w:t>
      </w:r>
      <w:r>
        <w:t xml:space="preserve">The TROPOMI satellite instrument now provides daily, global observations of atmospheric methane columns at 5.5 km </w:t>
      </w:r>
      <w:r w:rsidRPr="00C01462">
        <w:rPr>
          <w:rFonts w:ascii="Cambria Math" w:hAnsi="Cambria Math" w:cs="Cambria Math"/>
        </w:rPr>
        <w:t>⨉</w:t>
      </w:r>
      <w:r>
        <w:t xml:space="preserve"> 7 km nadir pixel resolution over land (Hu et al., 2018; </w:t>
      </w:r>
      <w:proofErr w:type="spellStart"/>
      <w:r>
        <w:t>Lorente</w:t>
      </w:r>
      <w:proofErr w:type="spellEnd"/>
      <w:r>
        <w:t xml:space="preserve"> et al., 2021). </w:t>
      </w:r>
      <w:r>
        <w:t>TROPOMI has a 3% retrieval rate limited by cloud cover, optically dark surfaces, and heterogeneous albedo or topography (</w:t>
      </w:r>
      <w:proofErr w:type="spellStart"/>
      <w:r>
        <w:t>Hasekamp</w:t>
      </w:r>
      <w:proofErr w:type="spellEnd"/>
      <w:r>
        <w:t xml:space="preserve"> et al., 2019). The </w:t>
      </w:r>
      <w:r w:rsidR="009861E2">
        <w:t>dense, high resolution, spatially heterogenous data allows for high resolution emission quantification, but accurate interpretation requires understand the actual information content of the observations.</w:t>
      </w:r>
    </w:p>
    <w:p w14:paraId="5EE09E94" w14:textId="77777777" w:rsidR="00AE7BA5" w:rsidRPr="00C01462" w:rsidRDefault="00AE7BA5"/>
    <w:p w14:paraId="29D28677" w14:textId="15FF9BC4" w:rsidR="00D3580B" w:rsidRDefault="005F5CFD">
      <w:r w:rsidRPr="00C01462">
        <w:t xml:space="preserve">Inverse analyses </w:t>
      </w:r>
      <w:r w:rsidR="00A269E0" w:rsidRPr="00C01462">
        <w:t xml:space="preserve">optimize methane emissions estimates by fitting </w:t>
      </w:r>
      <w:r w:rsidR="009B6046" w:rsidRPr="00C01462">
        <w:t>observations</w:t>
      </w:r>
      <w:r w:rsidR="00A269E0" w:rsidRPr="00C01462">
        <w:t xml:space="preserve"> to simulated concentrations from a chemical transport model (CTM). </w:t>
      </w:r>
      <w:r w:rsidR="00722719" w:rsidRPr="00C01462">
        <w:t>When</w:t>
      </w:r>
      <w:r w:rsidR="009B6046" w:rsidRPr="00C01462">
        <w:t xml:space="preserve"> a linear relationship </w:t>
      </w:r>
      <w:r w:rsidR="00722719" w:rsidRPr="00C01462">
        <w:t xml:space="preserve">exists </w:t>
      </w:r>
      <w:r w:rsidR="009B6046" w:rsidRPr="00C01462">
        <w:t>between emissions and concentrations, t</w:t>
      </w:r>
      <w:r w:rsidR="00A269E0" w:rsidRPr="00C01462">
        <w:t xml:space="preserve">he optimal </w:t>
      </w:r>
      <w:r w:rsidR="0095372F" w:rsidRPr="00C01462">
        <w:t xml:space="preserve">(posterior) </w:t>
      </w:r>
      <w:r w:rsidR="00A269E0" w:rsidRPr="00C01462">
        <w:t>solution</w:t>
      </w:r>
      <w:r w:rsidR="0017357A" w:rsidRPr="00C01462">
        <w:t xml:space="preserve"> </w:t>
      </w:r>
      <w:r w:rsidR="00722719" w:rsidRPr="00C01462">
        <w:t>can be</w:t>
      </w:r>
      <w:r w:rsidR="00A269E0" w:rsidRPr="00C01462">
        <w:t xml:space="preserve"> found by </w:t>
      </w:r>
      <w:r w:rsidR="0095372F" w:rsidRPr="00C01462">
        <w:t xml:space="preserve">numerically or analytically </w:t>
      </w:r>
      <w:r w:rsidR="00A269E0" w:rsidRPr="00C01462">
        <w:t xml:space="preserve">minimizing a Bayesian cost function </w:t>
      </w:r>
      <w:r w:rsidR="0095372F" w:rsidRPr="00C01462">
        <w:t>regularized by a prior emissions estimate. The</w:t>
      </w:r>
      <w:r w:rsidR="00506381" w:rsidRPr="00C01462">
        <w:t xml:space="preserve"> numerical </w:t>
      </w:r>
      <w:r w:rsidR="009B6046" w:rsidRPr="00C01462">
        <w:t>(</w:t>
      </w:r>
      <w:r w:rsidR="0095372F" w:rsidRPr="00C01462">
        <w:t>variational</w:t>
      </w:r>
      <w:r w:rsidR="009B6046" w:rsidRPr="00C01462">
        <w:t>)</w:t>
      </w:r>
      <w:r w:rsidR="0095372F" w:rsidRPr="00C01462">
        <w:t xml:space="preserve"> approach uses </w:t>
      </w:r>
      <w:r w:rsidR="00722719" w:rsidRPr="00C01462">
        <w:t xml:space="preserve">gradient descent algorithms together with </w:t>
      </w:r>
      <w:r w:rsidR="0095372F" w:rsidRPr="00C01462">
        <w:t xml:space="preserve">the adjoint of the CTM. </w:t>
      </w:r>
      <w:r w:rsidR="005B57BC">
        <w:t>In the case of inversions of satellite data where the number of observations greatly exceeds the number of optimized emissions elements, t</w:t>
      </w:r>
      <w:r w:rsidR="0095372F" w:rsidRPr="00C01462">
        <w:t>he computational cost of this approach scales less-than-exponentially with the resolution of the emissions estimat</w:t>
      </w:r>
      <w:r w:rsidR="00D63ADD" w:rsidRPr="00C01462">
        <w:t>e</w:t>
      </w:r>
      <w:r w:rsidR="005B57BC">
        <w:t>.</w:t>
      </w:r>
      <w:r w:rsidR="00D63ADD" w:rsidRPr="00C01462">
        <w:t xml:space="preserve"> </w:t>
      </w:r>
      <w:r w:rsidR="005B57BC">
        <w:t>Th</w:t>
      </w:r>
      <w:r w:rsidR="00D63ADD" w:rsidRPr="00C01462">
        <w:t>e computational cost can still be prohibitive at high resolution</w:t>
      </w:r>
      <w:r w:rsidR="0017357A" w:rsidRPr="00C01462">
        <w:t xml:space="preserve"> due to </w:t>
      </w:r>
      <w:r w:rsidR="00890594" w:rsidRPr="00C01462">
        <w:t>long convergence</w:t>
      </w:r>
      <w:r w:rsidR="0017357A" w:rsidRPr="00C01462">
        <w:t xml:space="preserve"> time</w:t>
      </w:r>
      <w:r w:rsidR="00890594" w:rsidRPr="00C01462">
        <w:t>s</w:t>
      </w:r>
      <w:r w:rsidR="00D63ADD" w:rsidRPr="00C01462">
        <w:t>. Moreover,</w:t>
      </w:r>
      <w:r w:rsidR="0095372F" w:rsidRPr="00C01462">
        <w:t xml:space="preserve"> </w:t>
      </w:r>
      <w:r w:rsidR="00D63ADD" w:rsidRPr="00C01462">
        <w:t xml:space="preserve">the ensemble </w:t>
      </w:r>
      <w:r w:rsidR="0095372F" w:rsidRPr="00C01462">
        <w:t xml:space="preserve">or low-rank </w:t>
      </w:r>
      <w:r w:rsidR="00D63ADD" w:rsidRPr="00C01462">
        <w:t xml:space="preserve">approaches used to estimate the information content </w:t>
      </w:r>
      <w:r w:rsidR="00890594" w:rsidRPr="00C01462">
        <w:t xml:space="preserve">of the observing system </w:t>
      </w:r>
      <w:r w:rsidR="00D63ADD" w:rsidRPr="00C01462">
        <w:t xml:space="preserve">are computationally </w:t>
      </w:r>
      <w:r w:rsidR="0017357A" w:rsidRPr="00C01462">
        <w:t>expensive</w:t>
      </w:r>
      <w:r w:rsidR="00D63ADD" w:rsidRPr="00C01462">
        <w:t xml:space="preserve"> and </w:t>
      </w:r>
      <w:r w:rsidR="0017357A" w:rsidRPr="00C01462">
        <w:t xml:space="preserve">often </w:t>
      </w:r>
      <w:r w:rsidR="00D63ADD" w:rsidRPr="00C01462">
        <w:t>incomplete.</w:t>
      </w:r>
      <w:r w:rsidR="0017357A" w:rsidRPr="00C01462">
        <w:t xml:space="preserve"> </w:t>
      </w:r>
      <w:r w:rsidR="00D63ADD" w:rsidRPr="00C01462">
        <w:t xml:space="preserve">The analytical approach provides closed-form expressions for the posterior emissions and the associated error and information content. </w:t>
      </w:r>
      <w:r w:rsidR="00506381" w:rsidRPr="00C01462">
        <w:t>However</w:t>
      </w:r>
      <w:r w:rsidR="00D63ADD" w:rsidRPr="00C01462">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Pr="00C01462" w:rsidRDefault="0017357A"/>
    <w:p w14:paraId="02AE2EF3" w14:textId="4997A624" w:rsidR="009B17D8" w:rsidRDefault="00D93715" w:rsidP="009B17D8">
      <w:r w:rsidRPr="00C01462">
        <w:t xml:space="preserve">Past inversions </w:t>
      </w:r>
      <w:r w:rsidR="000C0D2F" w:rsidRPr="00C01462">
        <w:t xml:space="preserve">of satellite data </w:t>
      </w:r>
      <w:r w:rsidRPr="00C01462">
        <w:t xml:space="preserve">achieved high-resolution at the </w:t>
      </w:r>
      <w:r w:rsidR="00EF19E1">
        <w:t xml:space="preserve">sectoral and national </w:t>
      </w:r>
      <w:r w:rsidRPr="00C01462">
        <w:t xml:space="preserve">level </w:t>
      </w:r>
      <w:r w:rsidR="00762FD2" w:rsidRPr="00C01462">
        <w:t>using variational approaches,</w:t>
      </w:r>
      <w:r w:rsidR="00714C03">
        <w:t xml:space="preserve"> by</w:t>
      </w:r>
      <w:r w:rsidR="00762FD2" w:rsidRPr="00C01462">
        <w:t xml:space="preserve"> </w:t>
      </w:r>
      <w:proofErr w:type="spellStart"/>
      <w:r w:rsidRPr="00C01462">
        <w:t>regridding</w:t>
      </w:r>
      <w:proofErr w:type="spellEnd"/>
      <w:r w:rsidRPr="00C01462">
        <w:t xml:space="preserve"> </w:t>
      </w:r>
      <w:r w:rsidR="00714C03">
        <w:t>coarse</w:t>
      </w:r>
      <w:r w:rsidR="00DE1CE2" w:rsidRPr="00C01462">
        <w:t xml:space="preserve"> </w:t>
      </w:r>
      <w:r w:rsidR="002456E8">
        <w:t>results</w:t>
      </w:r>
      <w:r w:rsidR="00762FD2" w:rsidRPr="00C01462">
        <w:t>,</w:t>
      </w:r>
      <w:r w:rsidR="00DE1CE2" w:rsidRPr="00C01462">
        <w:t xml:space="preserve"> or </w:t>
      </w:r>
      <w:r w:rsidR="002456E8">
        <w:t>by</w:t>
      </w:r>
      <w:r w:rsidR="00714C03">
        <w:t xml:space="preserve"> </w:t>
      </w:r>
      <w:r w:rsidR="002456E8">
        <w:t>reducing the dimension of the optimized emissions</w:t>
      </w:r>
      <w:r w:rsidR="00DE1CE2" w:rsidRPr="00C01462">
        <w:t xml:space="preserve">. </w:t>
      </w:r>
      <w:r w:rsidR="00762FD2" w:rsidRPr="00C01462">
        <w:t xml:space="preserve">Wecht et al. (2014) used the GEOS-Chem adjoint to optimize methane </w:t>
      </w:r>
      <w:r w:rsidR="00762FD2" w:rsidRPr="00C01462">
        <w:lastRenderedPageBreak/>
        <w:t>emissions over North America at 1/2</w:t>
      </w:r>
      <w:r w:rsidR="00762FD2" w:rsidRPr="00C01462">
        <w:t xml:space="preserve">° </w:t>
      </w:r>
      <w:r w:rsidR="00762FD2" w:rsidRPr="00C01462">
        <w:rPr>
          <w:rFonts w:ascii="Cambria Math" w:hAnsi="Cambria Math" w:cs="Cambria Math"/>
        </w:rPr>
        <w:t>⨉</w:t>
      </w:r>
      <w:r w:rsidR="00762FD2" w:rsidRPr="00C01462">
        <w:t xml:space="preserve"> 2/3</w:t>
      </w:r>
      <w:r w:rsidR="00762FD2" w:rsidRPr="00C01462">
        <w:t xml:space="preserve">° </w:t>
      </w:r>
      <w:r w:rsidR="00762FD2" w:rsidRPr="00C01462">
        <w:t>resolution using data from the SCI</w:t>
      </w:r>
      <w:r w:rsidR="00C01462" w:rsidRPr="00C01462">
        <w:t>AMACHY satellite</w:t>
      </w:r>
      <w:r w:rsidR="00C01462">
        <w:t xml:space="preserve">, but </w:t>
      </w:r>
      <w:r w:rsidR="009B17D8">
        <w:t xml:space="preserve">they </w:t>
      </w:r>
      <w:r w:rsidR="00C01462">
        <w:t>estimated errors using only 8 inversions</w:t>
      </w:r>
      <w:r w:rsidR="00C01462" w:rsidRPr="00C01462">
        <w:t>.</w:t>
      </w:r>
      <w:r w:rsidR="00762FD2" w:rsidRPr="00C01462">
        <w:t xml:space="preserve"> </w:t>
      </w:r>
      <w:r w:rsidR="00DE1CE2" w:rsidRPr="00C01462">
        <w:t xml:space="preserve">Deng et al. (2022) </w:t>
      </w:r>
      <w:r w:rsidR="00C421E9">
        <w:t>partitioned</w:t>
      </w:r>
      <w:r w:rsidR="0074675F" w:rsidRPr="00C01462">
        <w:t xml:space="preserve"> </w:t>
      </w:r>
      <w:r w:rsidR="00C421E9">
        <w:t xml:space="preserve">into national emissions </w:t>
      </w:r>
      <w:r w:rsidR="0051007C" w:rsidRPr="00C01462">
        <w:t>21 inversions from the global methane budget (</w:t>
      </w:r>
      <w:proofErr w:type="spellStart"/>
      <w:r w:rsidR="0051007C" w:rsidRPr="00C01462">
        <w:t>Saunois</w:t>
      </w:r>
      <w:proofErr w:type="spellEnd"/>
      <w:r w:rsidR="0051007C" w:rsidRPr="00C01462">
        <w:t xml:space="preserve"> et al., 2020), </w:t>
      </w:r>
      <w:r w:rsidR="00C421E9">
        <w:t>with emissions</w:t>
      </w:r>
      <w:r w:rsidR="0051007C" w:rsidRPr="00C01462">
        <w:t xml:space="preserve"> rang</w:t>
      </w:r>
      <w:r w:rsidR="00C421E9">
        <w:t>ing</w:t>
      </w:r>
      <w:r w:rsidR="0051007C" w:rsidRPr="00C01462">
        <w:t xml:space="preserve"> in resolution from </w:t>
      </w:r>
      <w:r w:rsidR="000C0D2F" w:rsidRPr="00C01462">
        <w:t>2.5</w:t>
      </w:r>
      <w:r w:rsidR="000C0D2F" w:rsidRPr="00C01462">
        <w:t>°</w:t>
      </w:r>
      <w:r w:rsidR="000C0D2F" w:rsidRPr="00C01462">
        <w:t xml:space="preserve"> </w:t>
      </w:r>
      <w:r w:rsidR="000C0D2F" w:rsidRPr="00C01462">
        <w:rPr>
          <w:rFonts w:ascii="Cambria Math" w:hAnsi="Cambria Math" w:cs="Cambria Math"/>
        </w:rPr>
        <w:t>⨉</w:t>
      </w:r>
      <w:r w:rsidR="000C0D2F" w:rsidRPr="00C01462">
        <w:t xml:space="preserve"> 2.5</w:t>
      </w:r>
      <w:r w:rsidR="000C0D2F" w:rsidRPr="00C01462">
        <w:t>°</w:t>
      </w:r>
      <w:r w:rsidR="000C0D2F" w:rsidRPr="00C01462">
        <w:t xml:space="preserve"> to 6</w:t>
      </w:r>
      <w:r w:rsidR="000C0D2F" w:rsidRPr="00C01462">
        <w:t>°</w:t>
      </w:r>
      <w:r w:rsidR="000C0D2F" w:rsidRPr="00C01462">
        <w:t xml:space="preserve"> </w:t>
      </w:r>
      <w:r w:rsidR="000C0D2F" w:rsidRPr="00C01462">
        <w:rPr>
          <w:rFonts w:ascii="Cambria Math" w:hAnsi="Cambria Math" w:cs="Cambria Math"/>
        </w:rPr>
        <w:t>⨉</w:t>
      </w:r>
      <w:r w:rsidR="000C0D2F" w:rsidRPr="00C01462">
        <w:t xml:space="preserve"> 4</w:t>
      </w:r>
      <w:r w:rsidR="000C0D2F" w:rsidRPr="00C01462">
        <w:t>°</w:t>
      </w:r>
      <w:r w:rsidR="000C0D2F" w:rsidRPr="00C01462">
        <w:t xml:space="preserve"> </w:t>
      </w:r>
      <w:r w:rsidR="0074675F" w:rsidRPr="00C01462">
        <w:t>downscaled</w:t>
      </w:r>
      <w:r w:rsidR="000C0D2F" w:rsidRPr="00C01462">
        <w:t xml:space="preserve"> to 1</w:t>
      </w:r>
      <w:r w:rsidR="000C0D2F" w:rsidRPr="00C01462">
        <w:t>°</w:t>
      </w:r>
      <w:r w:rsidR="000C0D2F" w:rsidRPr="00C01462">
        <w:t xml:space="preserve"> </w:t>
      </w:r>
      <w:r w:rsidR="000C0D2F" w:rsidRPr="00C01462">
        <w:rPr>
          <w:rFonts w:ascii="Cambria Math" w:hAnsi="Cambria Math" w:cs="Cambria Math"/>
        </w:rPr>
        <w:t>⨉</w:t>
      </w:r>
      <w:r w:rsidR="000C0D2F" w:rsidRPr="00C01462">
        <w:t xml:space="preserve"> 1</w:t>
      </w:r>
      <w:r w:rsidR="000C0D2F" w:rsidRPr="00C01462">
        <w:t>°</w:t>
      </w:r>
      <w:r w:rsidR="0074675F" w:rsidRPr="00C01462">
        <w:t xml:space="preserve">, but this approach relied on prior information and may have suffered from biases </w:t>
      </w:r>
      <w:r w:rsidR="00C421E9">
        <w:t>along borders</w:t>
      </w:r>
      <w:r w:rsidR="000C0D2F" w:rsidRPr="00C01462">
        <w:t>.</w:t>
      </w:r>
      <w:r w:rsidR="0074675F" w:rsidRPr="00C01462">
        <w:t xml:space="preserve"> Cusworth et al. (2021) derived</w:t>
      </w:r>
      <w:r w:rsidR="00762FD2" w:rsidRPr="00C01462">
        <w:t xml:space="preserve"> and demonstrated </w:t>
      </w:r>
      <w:r w:rsidR="0074675F" w:rsidRPr="00C01462">
        <w:t>a</w:t>
      </w:r>
      <w:r w:rsidR="00C421E9">
        <w:t>n</w:t>
      </w:r>
      <w:r w:rsidR="0074675F" w:rsidRPr="00C01462">
        <w:t xml:space="preserve"> approach to optimally </w:t>
      </w:r>
      <w:r w:rsidR="00C421E9">
        <w:t>determine</w:t>
      </w:r>
      <w:r w:rsidR="00762FD2" w:rsidRPr="00C01462">
        <w:t xml:space="preserve"> gridded sectoral emissions </w:t>
      </w:r>
      <w:r w:rsidR="0074675F" w:rsidRPr="00C01462">
        <w:t>using the uncertainty structure of the prior estimate</w:t>
      </w:r>
      <w:r w:rsidR="009B17D8">
        <w:t>, but this approach is limited by the quality of the prior error estimate</w:t>
      </w:r>
      <w:r w:rsidR="00C01462">
        <w:t xml:space="preserve">. Turner et al. (2015) solved </w:t>
      </w:r>
      <w:r w:rsidR="00EF19E1">
        <w:t>for</w:t>
      </w:r>
      <w:r w:rsidR="00C421E9">
        <w:t xml:space="preserve"> emissions</w:t>
      </w:r>
      <w:r w:rsidR="00C01462">
        <w:t xml:space="preserve"> </w:t>
      </w:r>
      <w:proofErr w:type="gramStart"/>
      <w:r w:rsidR="00C01462">
        <w:t>on the basis of</w:t>
      </w:r>
      <w:proofErr w:type="gramEnd"/>
      <w:r w:rsidR="00C01462">
        <w:t xml:space="preserve"> Gaussian functions. This technique has been applied </w:t>
      </w:r>
      <w:r w:rsidR="00C421E9">
        <w:t xml:space="preserve">in inversions of GOSAT data </w:t>
      </w:r>
      <w:r w:rsidR="00C01462">
        <w:t xml:space="preserve">over North America (Turner et al., 2015; </w:t>
      </w:r>
      <w:proofErr w:type="spellStart"/>
      <w:r w:rsidR="00C01462">
        <w:t>Maas</w:t>
      </w:r>
      <w:r w:rsidR="005C3B98">
        <w:t>ak</w:t>
      </w:r>
      <w:r w:rsidR="009B17D8">
        <w:t>k</w:t>
      </w:r>
      <w:r w:rsidR="005C3B98">
        <w:t>e</w:t>
      </w:r>
      <w:r w:rsidR="00C01462">
        <w:t>rs</w:t>
      </w:r>
      <w:proofErr w:type="spellEnd"/>
      <w:r w:rsidR="00C01462">
        <w:t xml:space="preserve"> et al., 2021; Lu et al., 2022) and China (Chen et al., 2022)</w:t>
      </w:r>
      <w:r w:rsidR="00C421E9">
        <w:t xml:space="preserve"> </w:t>
      </w:r>
      <w:r w:rsidR="009B17D8">
        <w:t xml:space="preserve">but is limited in its ability to </w:t>
      </w:r>
      <w:r w:rsidR="00D701C6">
        <w:t>resolve</w:t>
      </w:r>
      <w:r w:rsidR="009B17D8">
        <w:t xml:space="preserve"> </w:t>
      </w:r>
      <w:r w:rsidR="00D701C6">
        <w:t xml:space="preserve">unidentified </w:t>
      </w:r>
      <w:r w:rsidR="009B17D8">
        <w:t xml:space="preserve">emission hotspots because of the aggregation scheme’s reliance on the initial estimate. </w:t>
      </w:r>
      <w:r w:rsidR="00C421E9">
        <w:t>Nesser et al. (2021) proposed solv</w:t>
      </w:r>
      <w:r w:rsidR="00D701C6">
        <w:t>ing</w:t>
      </w:r>
      <w:r w:rsidR="00C421E9">
        <w:t xml:space="preserve"> for emissions along the patterns of maximum information content, but </w:t>
      </w:r>
      <w:r w:rsidR="00D701C6">
        <w:t>the method</w:t>
      </w:r>
      <w:r w:rsidR="00C421E9">
        <w:t xml:space="preserve"> has never been implemented in practice. </w:t>
      </w:r>
      <w:r w:rsidR="000C0D2F" w:rsidRPr="00C01462">
        <w:t xml:space="preserve">Other inversions </w:t>
      </w:r>
      <w:r w:rsidR="00697043">
        <w:t>reduced the dimension of the emissions by vector by</w:t>
      </w:r>
      <w:r w:rsidR="000C0D2F" w:rsidRPr="00C01462">
        <w:t xml:space="preserve"> optimizing emissions over</w:t>
      </w:r>
      <w:r w:rsidR="004C2B85">
        <w:t xml:space="preserve"> selected</w:t>
      </w:r>
      <w:r w:rsidR="000C0D2F" w:rsidRPr="00C01462">
        <w:t xml:space="preserve"> source regions </w:t>
      </w:r>
      <w:r w:rsidR="005D551E">
        <w:t xml:space="preserve">instead </w:t>
      </w:r>
      <w:r w:rsidR="000C0D2F" w:rsidRPr="00C01462">
        <w:t>(</w:t>
      </w:r>
      <w:r w:rsidR="009B17D8">
        <w:t xml:space="preserve">e.g., </w:t>
      </w:r>
      <w:r w:rsidR="000C0D2F" w:rsidRPr="00C01462">
        <w:t>Yu et al., 2021; Shen et al., 2022</w:t>
      </w:r>
      <w:r w:rsidR="009F13B5">
        <w:t>; Plant et al., 2022</w:t>
      </w:r>
      <w:r w:rsidR="000C0D2F" w:rsidRPr="00C01462">
        <w:t>)</w:t>
      </w:r>
      <w:r w:rsidR="00EF19E1">
        <w:t xml:space="preserve">, but these studies are </w:t>
      </w:r>
      <w:r w:rsidR="009F13B5">
        <w:t xml:space="preserve">also </w:t>
      </w:r>
      <w:r w:rsidR="00EF19E1">
        <w:t>limited by prior knowledge of source locations</w:t>
      </w:r>
      <w:r w:rsidR="009F13B5">
        <w:t xml:space="preserve"> and by their ability to accurately capture source statistics with</w:t>
      </w:r>
      <w:r w:rsidR="004C2B85">
        <w:t xml:space="preserve"> a small sample size</w:t>
      </w:r>
      <w:commentRangeStart w:id="2"/>
      <w:r w:rsidR="009B17D8">
        <w:t>.</w:t>
      </w:r>
      <w:commentRangeEnd w:id="2"/>
      <w:r w:rsidR="009B17D8">
        <w:rPr>
          <w:rStyle w:val="CommentReference"/>
        </w:rPr>
        <w:commentReference w:id="2"/>
      </w:r>
    </w:p>
    <w:p w14:paraId="3BAAD8E5" w14:textId="36C3891C" w:rsidR="00A3776F" w:rsidRDefault="00A3776F"/>
    <w:p w14:paraId="066FCA45" w14:textId="12553ECC" w:rsidR="005D7D3C" w:rsidRPr="00C01462" w:rsidRDefault="005D7D3C">
      <w:r>
        <w:t xml:space="preserve">High-resolution inversions of TROPOMI satellite observations offer the opportunity to </w:t>
      </w:r>
      <w:r w:rsidR="00EF19E1">
        <w:t xml:space="preserve">optimize national, regional, and sectoral methane emissions at high </w:t>
      </w:r>
      <w:r w:rsidR="007E295F">
        <w:t>resolution</w:t>
      </w:r>
      <w:r w:rsidR="00C5624D">
        <w:t xml:space="preserve">. We used TROPOMI observations over North America for 2019 to optimize emissions and information content at </w:t>
      </w:r>
      <w:r w:rsidR="00C5624D" w:rsidRPr="00C01462">
        <w:t xml:space="preserve">0.25° </w:t>
      </w:r>
      <w:r w:rsidR="00C5624D" w:rsidRPr="00C01462">
        <w:rPr>
          <w:rFonts w:ascii="Cambria Math" w:hAnsi="Cambria Math" w:cs="Cambria Math"/>
        </w:rPr>
        <w:t>⨉</w:t>
      </w:r>
      <w:r w:rsidR="00C5624D" w:rsidRPr="00C01462">
        <w:t xml:space="preserve"> 0.3125° resolution</w:t>
      </w:r>
      <w:r w:rsidR="00C5624D">
        <w:t xml:space="preserve"> where the observing system provides a constraint (</w:t>
      </w:r>
      <w:r w:rsidR="00F82B44">
        <w:t>sections 2.1 and 2.6</w:t>
      </w:r>
      <w:proofErr w:type="gramStart"/>
      <w:r w:rsidR="00F82B44">
        <w:t xml:space="preserve">;  </w:t>
      </w:r>
      <w:r w:rsidR="00C5624D">
        <w:t>Nesser</w:t>
      </w:r>
      <w:proofErr w:type="gramEnd"/>
      <w:r w:rsidR="00C5624D">
        <w:t xml:space="preserve"> et al., 2021). </w:t>
      </w:r>
      <w:r w:rsidR="00433A5F">
        <w:t>Our prior emission estimate is provided by gridded versions of the inventories prepared by Mexico, the United States, and Canada under the Paris Agreement so that our corrections are policy relevant (section 2.2). We used cleaned TROPOMI data that avoids the largest biases with respect to albedo and snow- and ice-cover (section 2.4) to generate a 15</w:t>
      </w:r>
      <w:r w:rsidR="00F82B44">
        <w:t>-</w:t>
      </w:r>
      <w:r w:rsidR="00433A5F">
        <w:t xml:space="preserve">member, quality-controlled inversion ensemble that improves our estimation of errors (section 2.7). </w:t>
      </w:r>
      <w:r w:rsidR="00C5624D">
        <w:t>The high-resolution of the results improves our ability to accurately partition the emissions to sectors and source region</w:t>
      </w:r>
      <w:r w:rsidR="00433A5F">
        <w:t>s (section 2.8)</w:t>
      </w:r>
      <w:r w:rsidR="00C5624D">
        <w:t>, which we demonstrate in our analysis of sectors (section 3.1), states (section 3.2), urban areas (section 3.3), and livestock (section 3.4).</w:t>
      </w:r>
    </w:p>
    <w:p w14:paraId="4A5F3097" w14:textId="77777777" w:rsidR="00F603F1" w:rsidRPr="00C01462" w:rsidRDefault="00F603F1"/>
    <w:p w14:paraId="099AC0FD" w14:textId="673AE23A" w:rsidR="00B44582" w:rsidRPr="00C01462" w:rsidRDefault="00B44582">
      <w:pPr>
        <w:rPr>
          <w:b/>
          <w:bCs/>
        </w:rPr>
      </w:pPr>
      <w:r w:rsidRPr="00C01462">
        <w:rPr>
          <w:b/>
          <w:bCs/>
        </w:rPr>
        <w:t>2</w:t>
      </w:r>
      <w:r w:rsidRPr="00C01462">
        <w:t xml:space="preserve"> </w:t>
      </w:r>
      <w:r w:rsidRPr="00C01462">
        <w:rPr>
          <w:b/>
          <w:bCs/>
        </w:rPr>
        <w:t>Data and methods</w:t>
      </w:r>
    </w:p>
    <w:p w14:paraId="3EFA07AA" w14:textId="2854F1D1" w:rsidR="00F603F1" w:rsidRPr="00C01462" w:rsidRDefault="004040FD" w:rsidP="00F603F1">
      <w:r w:rsidRPr="00C01462">
        <w:t xml:space="preserve">We </w:t>
      </w:r>
      <w:r w:rsidR="000C7673" w:rsidRPr="00C01462">
        <w:t xml:space="preserve">conduct an inversion of 2019 TROPOMI methane observations over North America. The TROPOMI observations are fit to simulated concentrations from the GEOS-Chem chemical transport model (CTM, </w:t>
      </w:r>
      <w:hyperlink r:id="rId12" w:history="1">
        <w:r w:rsidR="000C7673" w:rsidRPr="00C01462">
          <w:rPr>
            <w:rStyle w:val="Hyperlink"/>
          </w:rPr>
          <w:t>www.geos-chem.org</w:t>
        </w:r>
      </w:hyperlink>
      <w:r w:rsidR="000C7673" w:rsidRPr="00C01462">
        <w:t xml:space="preserve">) to </w:t>
      </w:r>
      <w:r w:rsidR="00623654" w:rsidRPr="00C01462">
        <w:t>optimize</w:t>
      </w:r>
      <w:r w:rsidR="000C7673" w:rsidRPr="00C01462">
        <w:t xml:space="preserve"> mean methane emissions at 0.25° </w:t>
      </w:r>
      <w:r w:rsidR="000663AD" w:rsidRPr="00C01462">
        <w:rPr>
          <w:rFonts w:ascii="Cambria Math" w:hAnsi="Cambria Math" w:cs="Cambria Math"/>
        </w:rPr>
        <w:t>⨉</w:t>
      </w:r>
      <w:r w:rsidR="000C7673" w:rsidRPr="00C01462">
        <w:t xml:space="preserve"> 0.3125° spatial resolution. </w:t>
      </w:r>
      <w:r w:rsidRPr="00C01462">
        <w:t>We calculate the optimal emissions</w:t>
      </w:r>
      <w:r w:rsidR="00E63085" w:rsidRPr="00C01462">
        <w:t xml:space="preserve"> and the associated error covariance and information content</w:t>
      </w:r>
      <w:r w:rsidRPr="00C01462">
        <w:t xml:space="preserve"> by finding the analytical minimum of a Bayesian cost function regularized by a prior emissions estimate</w:t>
      </w:r>
      <w:r w:rsidR="00E63085" w:rsidRPr="00C01462">
        <w:t xml:space="preserve"> (section 2.1). Section</w:t>
      </w:r>
      <w:r w:rsidR="00E334F2" w:rsidRPr="00C01462">
        <w:t>s 2.2 through 2.</w:t>
      </w:r>
      <w:r w:rsidR="001B317B" w:rsidRPr="00C01462">
        <w:t>6</w:t>
      </w:r>
      <w:r w:rsidR="00E334F2" w:rsidRPr="00C01462">
        <w:t xml:space="preserve"> describe the components of the inversion: s</w:t>
      </w:r>
      <w:r w:rsidR="009770AD" w:rsidRPr="00C01462">
        <w:t>ection 2.</w:t>
      </w:r>
      <w:r w:rsidR="00E334F2" w:rsidRPr="00C01462">
        <w:t>2</w:t>
      </w:r>
      <w:r w:rsidR="009770AD" w:rsidRPr="00C01462">
        <w:t xml:space="preserve"> describes the state vector, prior emissions, and prior errors</w:t>
      </w:r>
      <w:r w:rsidR="00E334F2" w:rsidRPr="00C01462">
        <w:t>; s</w:t>
      </w:r>
      <w:r w:rsidR="009770AD" w:rsidRPr="00C01462">
        <w:t>ection 2.</w:t>
      </w:r>
      <w:r w:rsidR="00E334F2" w:rsidRPr="00C01462">
        <w:t>3</w:t>
      </w:r>
      <w:r w:rsidR="009770AD" w:rsidRPr="00C01462">
        <w:t xml:space="preserve"> describes </w:t>
      </w:r>
      <w:r w:rsidR="009348A6" w:rsidRPr="00C01462">
        <w:t>GEOS-Chem; section 2.4 describes</w:t>
      </w:r>
      <w:r w:rsidR="009770AD" w:rsidRPr="00C01462">
        <w:t xml:space="preserve"> TROPOMI observations</w:t>
      </w:r>
      <w:r w:rsidR="009348A6" w:rsidRPr="00C01462">
        <w:t xml:space="preserve">; section 2.5 describes </w:t>
      </w:r>
      <w:r w:rsidR="009770AD" w:rsidRPr="00C01462">
        <w:t>the observing system errors</w:t>
      </w:r>
      <w:r w:rsidR="00E334F2" w:rsidRPr="00C01462">
        <w:t>; and section 2.</w:t>
      </w:r>
      <w:r w:rsidR="009348A6" w:rsidRPr="00C01462">
        <w:t>6</w:t>
      </w:r>
      <w:r w:rsidR="00E334F2" w:rsidRPr="00C01462">
        <w:t xml:space="preserve"> describes the novel, reduced-rank method used to calculate the Jacobian matrix</w:t>
      </w:r>
      <w:r w:rsidR="009770AD" w:rsidRPr="00C01462">
        <w:t xml:space="preserve">. </w:t>
      </w:r>
      <w:r w:rsidR="001B317B" w:rsidRPr="00C01462">
        <w:t>Section 2.7 summarizes the inversion ensemble. Section 2.8 describes the method used to attribute the posterior emissions to sectors, states, and urban areas.</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563F837" w:rsidR="00F215E4" w:rsidRPr="00C01462" w:rsidRDefault="00A349EF">
      <w:pPr>
        <w:rPr>
          <w:rFonts w:eastAsiaTheme="minorEastAsia"/>
        </w:rPr>
      </w:pPr>
      <w:r w:rsidRPr="00C01462">
        <w:lastRenderedPageBreak/>
        <w:t xml:space="preserve">We </w:t>
      </w:r>
      <w:r w:rsidR="00664A9F" w:rsidRPr="00C01462">
        <w:t xml:space="preserve">optimize </w:t>
      </w:r>
      <w:r w:rsidRPr="00C01462">
        <w:t xml:space="preserve">the </w:t>
      </w:r>
      <w:r w:rsidR="00664A9F" w:rsidRPr="00C01462">
        <w:t>state vector</w:t>
      </w:r>
      <w:r w:rsidRPr="00C01462">
        <w:t xml:space="preserve"> of </w:t>
      </w:r>
      <m:oMath>
        <m:r>
          <w:rPr>
            <w:rFonts w:ascii="Cambria Math" w:eastAsiaTheme="minorEastAsia" w:hAnsi="Cambria Math"/>
          </w:rPr>
          <m:t>n</m:t>
        </m:r>
      </m:oMath>
      <w:r w:rsidR="005178BE" w:rsidRPr="00C01462">
        <w:t xml:space="preserve"> </w:t>
      </w:r>
      <w:r w:rsidRPr="00C01462">
        <w:t>gridded emissions</w:t>
      </w:r>
      <w:r w:rsidR="00664A9F" w:rsidRPr="00C01462">
        <w:t xml:space="preserve"> </w:t>
      </w:r>
      <m:oMath>
        <m:r>
          <m:rPr>
            <m:sty m:val="b"/>
          </m:rPr>
          <w:rPr>
            <w:rFonts w:ascii="Cambria Math" w:hAnsi="Cambria Math"/>
          </w:rPr>
          <m:t>x</m:t>
        </m:r>
      </m:oMath>
      <w:r w:rsidR="00664A9F" w:rsidRPr="00C01462">
        <w:t xml:space="preserve"> </w:t>
      </w:r>
      <w:r w:rsidRPr="00C01462">
        <w:t xml:space="preserve">assuming normal errors </w:t>
      </w:r>
      <w:r w:rsidR="008302D7" w:rsidRPr="00C01462">
        <w:t>by minimizing a Bayesian cost function</w:t>
      </w:r>
    </w:p>
    <w:p w14:paraId="32666FFA" w14:textId="77777777" w:rsidR="00367D8C" w:rsidRPr="00C01462" w:rsidRDefault="00367D8C"/>
    <w:p w14:paraId="09F82F96" w14:textId="26597665"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Pr="00C01462" w:rsidRDefault="00367D8C"/>
    <w:p w14:paraId="34BBE846" w14:textId="7DB74C9D" w:rsidR="00B746C6" w:rsidRPr="00C01462" w:rsidRDefault="00367D8C" w:rsidP="00664A9F">
      <w:r w:rsidRPr="00C01462">
        <w:t>where</w:t>
      </w:r>
      <w:r w:rsidR="00E213E6" w:rsidRPr="00C01462">
        <w:rPr>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Pr="00C01462">
        <w:rPr>
          <w:rFonts w:eastAsiaTheme="minorEastAsia"/>
          <w:bCs/>
        </w:rPr>
        <w:t xml:space="preserve"> </w:t>
      </w:r>
      <w:r w:rsidR="00E63085" w:rsidRPr="00C01462">
        <w:rPr>
          <w:rFonts w:eastAsiaTheme="minorEastAsia"/>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sidRPr="00C01462">
        <w:rPr>
          <w:rFonts w:eastAsiaTheme="minorEastAsia"/>
          <w:bCs/>
          <w:iCs/>
        </w:rPr>
        <w:t xml:space="preserve"> </w:t>
      </w:r>
      <w:r w:rsidR="00E63085" w:rsidRPr="00C01462">
        <w:rPr>
          <w:rFonts w:eastAsiaTheme="minorEastAsia"/>
          <w:bCs/>
        </w:rPr>
        <w:t>are</w:t>
      </w:r>
      <w:r w:rsidRPr="00C01462">
        <w:rPr>
          <w:rFonts w:eastAsiaTheme="minorEastAsia"/>
          <w:bCs/>
        </w:rPr>
        <w:t xml:space="preserve"> the prior emissions estimate</w:t>
      </w:r>
      <w:r w:rsidR="00E63085" w:rsidRPr="00C01462">
        <w:rPr>
          <w:rFonts w:eastAsiaTheme="minorEastAsia"/>
          <w:bCs/>
        </w:rPr>
        <w:t xml:space="preserve"> and error covariance</w:t>
      </w:r>
      <w:r w:rsidR="005178BE" w:rsidRPr="00C01462">
        <w:rPr>
          <w:rFonts w:eastAsiaTheme="minorEastAsia"/>
          <w:bCs/>
        </w:rPr>
        <w:t xml:space="preserve"> matrix</w:t>
      </w:r>
      <w:r w:rsidR="00E63085" w:rsidRPr="00C01462">
        <w:rPr>
          <w:rFonts w:eastAsiaTheme="minorEastAsia"/>
          <w:bCs/>
        </w:rPr>
        <w:t>, respectively (section 2.</w:t>
      </w:r>
      <w:r w:rsidR="005D50EC" w:rsidRPr="00C01462">
        <w:rPr>
          <w:rFonts w:eastAsiaTheme="minorEastAsia"/>
          <w:bCs/>
        </w:rPr>
        <w:t>4</w:t>
      </w:r>
      <w:r w:rsidR="00E63085" w:rsidRPr="00C01462">
        <w:rPr>
          <w:rFonts w:eastAsiaTheme="minorEastAsia"/>
          <w:bCs/>
        </w:rPr>
        <w:t>);</w:t>
      </w:r>
      <w:r w:rsidRPr="00C01462">
        <w:rPr>
          <w:rFonts w:eastAsiaTheme="minorEastAsia"/>
          <w:bCs/>
        </w:rPr>
        <w:t xml:space="preserve"> </w:t>
      </w:r>
      <m:oMath>
        <m:r>
          <m:rPr>
            <m:sty m:val="b"/>
          </m:rPr>
          <w:rPr>
            <w:rFonts w:ascii="Cambria Math" w:eastAsiaTheme="minorEastAsia" w:hAnsi="Cambria Math"/>
          </w:rPr>
          <m:t>y</m:t>
        </m:r>
      </m:oMath>
      <w:r w:rsidRPr="00C01462">
        <w:rPr>
          <w:rFonts w:eastAsiaTheme="minorEastAsia"/>
          <w:bCs/>
          <w:iCs/>
        </w:rPr>
        <w:t xml:space="preserve"> </w:t>
      </w:r>
      <w:r w:rsidR="00664A9F" w:rsidRPr="00C01462">
        <w:rPr>
          <w:rFonts w:eastAsiaTheme="minorEastAsia"/>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sidRPr="00C01462">
        <w:rPr>
          <w:rFonts w:eastAsiaTheme="minorEastAsia"/>
          <w:bCs/>
          <w:iCs/>
        </w:rPr>
        <w:t xml:space="preserve"> are the </w:t>
      </w:r>
      <w:r w:rsidR="00E63085" w:rsidRPr="00C01462">
        <w:rPr>
          <w:rFonts w:eastAsiaTheme="minorEastAsia"/>
          <w:bCs/>
          <w:iCs/>
        </w:rPr>
        <w:t>vector</w:t>
      </w:r>
      <w:r w:rsidR="005178BE" w:rsidRPr="00C01462">
        <w:rPr>
          <w:rFonts w:eastAsiaTheme="minorEastAsia"/>
          <w:bCs/>
          <w:iCs/>
        </w:rPr>
        <w:t xml:space="preserve"> of </w:t>
      </w:r>
      <m:oMath>
        <m:r>
          <w:rPr>
            <w:rFonts w:ascii="Cambria Math" w:eastAsiaTheme="minorEastAsia" w:hAnsi="Cambria Math"/>
          </w:rPr>
          <m:t>m</m:t>
        </m:r>
      </m:oMath>
      <w:r w:rsidR="005178BE" w:rsidRPr="00C01462">
        <w:rPr>
          <w:rFonts w:eastAsiaTheme="minorEastAsia"/>
          <w:bCs/>
          <w:iCs/>
        </w:rPr>
        <w:t xml:space="preserve"> observations</w:t>
      </w:r>
      <w:r w:rsidR="00E63085" w:rsidRPr="00C01462">
        <w:rPr>
          <w:rFonts w:eastAsiaTheme="minorEastAsia"/>
          <w:bCs/>
          <w:iCs/>
        </w:rPr>
        <w:t xml:space="preserve"> and </w:t>
      </w:r>
      <w:r w:rsidR="005178BE" w:rsidRPr="00C01462">
        <w:rPr>
          <w:rFonts w:eastAsiaTheme="minorEastAsia"/>
          <w:bCs/>
          <w:iCs/>
        </w:rPr>
        <w:t xml:space="preserve">the </w:t>
      </w:r>
      <w:r w:rsidR="00E63085" w:rsidRPr="00C01462">
        <w:rPr>
          <w:rFonts w:eastAsiaTheme="minorEastAsia"/>
          <w:bCs/>
          <w:iCs/>
        </w:rPr>
        <w:t>error covariance</w:t>
      </w:r>
      <w:r w:rsidR="005178BE" w:rsidRPr="00C01462">
        <w:rPr>
          <w:rFonts w:eastAsiaTheme="minorEastAsia"/>
          <w:bCs/>
          <w:iCs/>
        </w:rPr>
        <w:t xml:space="preserve"> matrix</w:t>
      </w:r>
      <w:r w:rsidR="00E63085" w:rsidRPr="00C01462">
        <w:rPr>
          <w:rFonts w:eastAsiaTheme="minorEastAsia"/>
          <w:bCs/>
          <w:iCs/>
        </w:rPr>
        <w:t>, respectively (section 2.</w:t>
      </w:r>
      <w:r w:rsidR="005D50EC" w:rsidRPr="00C01462">
        <w:rPr>
          <w:rFonts w:eastAsiaTheme="minorEastAsia"/>
          <w:bCs/>
          <w:iCs/>
        </w:rPr>
        <w:t>5</w:t>
      </w:r>
      <w:r w:rsidR="00E63085" w:rsidRPr="00C01462">
        <w:rPr>
          <w:rFonts w:eastAsiaTheme="minorEastAsia"/>
          <w:bCs/>
          <w:iCs/>
        </w:rPr>
        <w:t>);</w:t>
      </w:r>
      <w:r w:rsidR="00E213E6" w:rsidRPr="00C01462">
        <w:rPr>
          <w:rFonts w:eastAsiaTheme="minorEastAsia"/>
          <w:bCs/>
          <w:iCs/>
        </w:rPr>
        <w:t xml:space="preserve"> </w:t>
      </w:r>
      <m:oMath>
        <m:r>
          <m:rPr>
            <m:sty m:val="b"/>
          </m:rPr>
          <w:rPr>
            <w:rFonts w:ascii="Cambria Math" w:hAnsi="Cambria Math"/>
          </w:rPr>
          <m:t>F</m:t>
        </m:r>
      </m:oMath>
      <w:r w:rsidR="00664A9F" w:rsidRPr="00C01462">
        <w:rPr>
          <w:rFonts w:eastAsiaTheme="minorEastAsia"/>
          <w:bCs/>
          <w:iCs/>
        </w:rPr>
        <w:t xml:space="preserve"> is the chemical transport model (CTM) that simulates observations as a function of emissions </w:t>
      </w:r>
      <w:r w:rsidR="00E63085" w:rsidRPr="00C01462">
        <w:rPr>
          <w:rFonts w:eastAsiaTheme="minorEastAsia"/>
          <w:bCs/>
          <w:iCs/>
        </w:rPr>
        <w:t>(section 2.</w:t>
      </w:r>
      <w:r w:rsidR="005D50EC" w:rsidRPr="00C01462">
        <w:rPr>
          <w:rFonts w:eastAsiaTheme="minorEastAsia"/>
          <w:bCs/>
          <w:iCs/>
        </w:rPr>
        <w:t>2</w:t>
      </w:r>
      <w:r w:rsidR="00E63085" w:rsidRPr="00C01462">
        <w:rPr>
          <w:rFonts w:eastAsiaTheme="minorEastAsia"/>
          <w:bCs/>
          <w:iCs/>
        </w:rPr>
        <w:t>)</w:t>
      </w:r>
      <w:r w:rsidR="003D698A" w:rsidRPr="00C01462">
        <w:rPr>
          <w:rFonts w:eastAsiaTheme="minorEastAsia"/>
          <w:bCs/>
          <w:iCs/>
        </w:rPr>
        <w:t xml:space="preserve">; and </w:t>
      </w:r>
      <m:oMath>
        <m:r>
          <w:rPr>
            <w:rFonts w:ascii="Cambria Math" w:hAnsi="Cambria Math"/>
          </w:rPr>
          <m:t>γ</m:t>
        </m:r>
      </m:oMath>
      <w:r w:rsidR="003D698A" w:rsidRPr="00C01462">
        <w:rPr>
          <w:rFonts w:eastAsiaTheme="minorEastAsia"/>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sidRPr="00C01462">
        <w:rPr>
          <w:rFonts w:eastAsiaTheme="minorEastAsia"/>
          <w:bCs/>
          <w:iCs/>
        </w:rPr>
        <w:t xml:space="preserve"> (section 2.4)</w:t>
      </w:r>
      <w:r w:rsidR="005178BE" w:rsidRPr="00C01462">
        <w:rPr>
          <w:rFonts w:eastAsiaTheme="minorEastAsia"/>
          <w:bCs/>
          <w:iCs/>
        </w:rPr>
        <w:t xml:space="preserve"> </w:t>
      </w:r>
      <w:r w:rsidR="005178BE" w:rsidRPr="00C01462">
        <w:rPr>
          <w:rFonts w:eastAsiaTheme="minorEastAsia"/>
          <w:bCs/>
          <w:iCs/>
        </w:rPr>
        <w:fldChar w:fldCharType="begin"/>
      </w:r>
      <w:r w:rsidR="005178BE" w:rsidRPr="00C01462">
        <w:rPr>
          <w:rFonts w:eastAsiaTheme="minorEastAsia"/>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sidRPr="00C01462">
        <w:rPr>
          <w:rFonts w:eastAsiaTheme="minorEastAsia"/>
          <w:bCs/>
          <w:iCs/>
        </w:rPr>
        <w:fldChar w:fldCharType="separate"/>
      </w:r>
      <w:r w:rsidR="005178BE" w:rsidRPr="00C01462">
        <w:rPr>
          <w:rFonts w:eastAsiaTheme="minorEastAsia"/>
          <w:bCs/>
          <w:iCs/>
          <w:noProof/>
        </w:rPr>
        <w:t>(Brasseur and Jacob, 2017)</w:t>
      </w:r>
      <w:r w:rsidR="005178BE" w:rsidRPr="00C01462">
        <w:rPr>
          <w:rFonts w:eastAsiaTheme="minorEastAsia"/>
          <w:bCs/>
          <w:iCs/>
        </w:rPr>
        <w:fldChar w:fldCharType="end"/>
      </w:r>
      <w:r w:rsidR="00664A9F" w:rsidRPr="00C01462">
        <w:rPr>
          <w:rFonts w:eastAsiaTheme="minorEastAsia"/>
        </w:rPr>
        <w:t xml:space="preserve">. </w:t>
      </w:r>
      <w:r w:rsidR="001B4A42" w:rsidRPr="00C01462">
        <w:rPr>
          <w:rFonts w:eastAsiaTheme="minorEastAsia"/>
        </w:rPr>
        <w:t>The</w:t>
      </w:r>
      <w:r w:rsidR="00664A9F" w:rsidRPr="00C01462">
        <w:rPr>
          <w:rFonts w:eastAsiaTheme="minorEastAsia"/>
        </w:rPr>
        <w:t xml:space="preserve"> </w:t>
      </w:r>
      <w:r w:rsidR="001B4A42" w:rsidRPr="00C01462">
        <w:rPr>
          <w:rFonts w:eastAsiaTheme="minorEastAsia"/>
        </w:rPr>
        <w:t xml:space="preserve">nested methane CTM </w:t>
      </w:r>
      <w:r w:rsidR="00664A9F" w:rsidRPr="00C01462">
        <w:rPr>
          <w:rFonts w:eastAsiaTheme="minorEastAsia"/>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sidRPr="00C01462">
        <w:rPr>
          <w:rFonts w:eastAsiaTheme="minorEastAsia"/>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sidRPr="00C01462">
        <w:rPr>
          <w:rFonts w:eastAsiaTheme="minorEastAsia"/>
          <w:bCs/>
          <w:iCs/>
        </w:rPr>
        <w:t xml:space="preserve"> is the Jacobian matrix</w:t>
      </w:r>
      <w:r w:rsidR="00E63085" w:rsidRPr="00C01462">
        <w:rPr>
          <w:rFonts w:eastAsiaTheme="minorEastAsia"/>
          <w:bCs/>
          <w:iCs/>
        </w:rPr>
        <w:t xml:space="preserve"> </w:t>
      </w:r>
      <w:r w:rsidR="00664A9F" w:rsidRPr="00C01462">
        <w:rPr>
          <w:rFonts w:eastAsiaTheme="minorEastAsia"/>
          <w:bCs/>
          <w:iCs/>
        </w:rPr>
        <w:t xml:space="preserve">and </w:t>
      </w:r>
      <m:oMath>
        <m:r>
          <m:rPr>
            <m:sty m:val="b"/>
          </m:rPr>
          <w:rPr>
            <w:rFonts w:ascii="Cambria Math" w:eastAsiaTheme="minorEastAsia" w:hAnsi="Cambria Math"/>
          </w:rPr>
          <m:t>c</m:t>
        </m:r>
      </m:oMath>
      <w:r w:rsidR="00664A9F" w:rsidRPr="00C01462">
        <w:rPr>
          <w:rFonts w:eastAsiaTheme="minorEastAsia"/>
          <w:bCs/>
        </w:rPr>
        <w:t xml:space="preserve"> is constan</w:t>
      </w:r>
      <w:r w:rsidR="001B4A42" w:rsidRPr="00C01462">
        <w:rPr>
          <w:rFonts w:eastAsiaTheme="minorEastAsia"/>
          <w:bCs/>
        </w:rPr>
        <w:t>t</w:t>
      </w:r>
      <w:r w:rsidR="00257F6B" w:rsidRPr="00C01462">
        <w:rPr>
          <w:rFonts w:eastAsiaTheme="minorEastAsia"/>
          <w:bCs/>
        </w:rPr>
        <w:t xml:space="preserve">. </w:t>
      </w:r>
      <w:r w:rsidR="005178BE" w:rsidRPr="00C01462">
        <w:rPr>
          <w:rFonts w:eastAsiaTheme="minorEastAsia"/>
          <w:bCs/>
        </w:rPr>
        <w:t>A</w:t>
      </w:r>
      <w:r w:rsidR="001B4A42" w:rsidRPr="00C01462">
        <w:rPr>
          <w:rFonts w:eastAsiaTheme="minorEastAsia"/>
          <w:bCs/>
        </w:rPr>
        <w:t xml:space="preserve">nalytical minimization of the cost function </w:t>
      </w:r>
      <w:r w:rsidR="005178BE" w:rsidRPr="00C01462">
        <w:rPr>
          <w:rFonts w:eastAsiaTheme="minorEastAsia"/>
          <w:bCs/>
        </w:rPr>
        <w:t>then 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sidRPr="00C01462">
        <w:rPr>
          <w:rFonts w:eastAsiaTheme="minorEastAsia"/>
          <w:bCs/>
        </w:rPr>
        <w:t xml:space="preserve">, which </w:t>
      </w:r>
      <w:r w:rsidR="00940EB7" w:rsidRPr="00C01462">
        <w:rPr>
          <w:rFonts w:eastAsiaTheme="minorEastAsia"/>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r w:rsidR="00FD0A57" w:rsidRPr="00C01462">
        <w:rPr>
          <w:rFonts w:eastAsiaTheme="minorEastAsia"/>
          <w:bCs/>
          <w:noProof/>
        </w:rPr>
        <w:t>(Rodgers, 2000)</w:t>
      </w:r>
      <w:r w:rsidR="00FD0A57" w:rsidRPr="00C01462">
        <w:rPr>
          <w:rFonts w:eastAsiaTheme="minorEastAsia"/>
          <w:bCs/>
        </w:rPr>
        <w:fldChar w:fldCharType="end"/>
      </w:r>
      <w:r w:rsidR="005178BE" w:rsidRPr="00C01462">
        <w:rPr>
          <w:rFonts w:eastAsiaTheme="minorEastAsia"/>
          <w:bCs/>
        </w:rPr>
        <w:t>.</w:t>
      </w:r>
      <w:r w:rsidR="00A440C1" w:rsidRPr="00C01462">
        <w:rPr>
          <w:rFonts w:eastAsiaTheme="minorEastAsia"/>
          <w:bCs/>
        </w:rPr>
        <w:t xml:space="preserve"> </w:t>
      </w:r>
      <w:r w:rsidR="00A440C1" w:rsidRPr="00C01462">
        <w:t>We generate an inversion ensemble using a range of prior emissions, prior errors, observations, and observing system errors, giving an additional estimate of inversion error (section 2.7).</w:t>
      </w:r>
    </w:p>
    <w:p w14:paraId="22361849" w14:textId="77777777" w:rsidR="00B746C6" w:rsidRPr="00C01462" w:rsidRDefault="00B746C6" w:rsidP="00664A9F">
      <w:pPr>
        <w:rPr>
          <w:rFonts w:eastAsiaTheme="minorEastAsia"/>
          <w:bCs/>
        </w:rPr>
      </w:pPr>
    </w:p>
    <w:p w14:paraId="293775C7" w14:textId="4D903350" w:rsidR="00E14379" w:rsidRPr="00C01462" w:rsidRDefault="00381CA9" w:rsidP="0092425A">
      <w:pPr>
        <w:rPr>
          <w:rFonts w:eastAsiaTheme="minorEastAsia"/>
          <w:bCs/>
        </w:rPr>
      </w:pPr>
      <w:r w:rsidRPr="00C01462">
        <w:rPr>
          <w:rFonts w:eastAsiaTheme="minorEastAsia"/>
          <w:bCs/>
        </w:rPr>
        <w:t>T</w:t>
      </w:r>
      <w:r w:rsidR="00914C58" w:rsidRPr="00C01462">
        <w:rPr>
          <w:rFonts w:eastAsiaTheme="minorEastAsia"/>
          <w:bCs/>
        </w:rPr>
        <w:t xml:space="preserve">he </w:t>
      </w:r>
      <w:r w:rsidRPr="00C01462">
        <w:rPr>
          <w:rFonts w:eastAsiaTheme="minorEastAsia"/>
          <w:bCs/>
        </w:rPr>
        <w:t xml:space="preserve">standard </w:t>
      </w:r>
      <w:r w:rsidR="00914C58" w:rsidRPr="00C01462">
        <w:rPr>
          <w:rFonts w:eastAsiaTheme="minorEastAsia"/>
          <w:bCs/>
        </w:rPr>
        <w:t>analytical</w:t>
      </w:r>
      <w:r w:rsidR="00940EB7" w:rsidRPr="00C01462">
        <w:rPr>
          <w:rFonts w:eastAsiaTheme="minorEastAsia"/>
          <w:bCs/>
        </w:rPr>
        <w:t xml:space="preserve"> solution </w:t>
      </w:r>
      <w:r w:rsidR="005178BE" w:rsidRPr="00C01462">
        <w:rPr>
          <w:rFonts w:eastAsiaTheme="minorEastAsia"/>
          <w:bCs/>
        </w:rPr>
        <w:t xml:space="preserve">is numerically unstable for large </w:t>
      </w:r>
      <m:oMath>
        <m:r>
          <w:rPr>
            <w:rFonts w:ascii="Cambria Math" w:eastAsiaTheme="minorEastAsia" w:hAnsi="Cambria Math"/>
          </w:rPr>
          <m:t>n</m:t>
        </m:r>
      </m:oMath>
      <w:r w:rsidR="005178BE" w:rsidRPr="00C01462">
        <w:rPr>
          <w:rFonts w:eastAsiaTheme="minorEastAsia"/>
          <w:bCs/>
        </w:rPr>
        <w:t xml:space="preserve"> since it requires inverting a non-sparse </w:t>
      </w:r>
      <m:oMath>
        <m:r>
          <w:rPr>
            <w:rFonts w:ascii="Cambria Math" w:eastAsiaTheme="minorEastAsia" w:hAnsi="Cambria Math"/>
          </w:rPr>
          <m:t>n×n</m:t>
        </m:r>
      </m:oMath>
      <w:r w:rsidR="005178BE" w:rsidRPr="00C01462">
        <w:rPr>
          <w:rFonts w:eastAsiaTheme="minorEastAsia"/>
          <w:bCs/>
        </w:rPr>
        <w:t xml:space="preserve"> matrix. </w:t>
      </w:r>
      <w:r w:rsidR="00940EB7" w:rsidRPr="00C01462">
        <w:rPr>
          <w:rFonts w:eastAsiaTheme="minorEastAsia"/>
          <w:bCs/>
        </w:rPr>
        <w:t xml:space="preserve">We </w:t>
      </w:r>
      <w:r w:rsidRPr="00C01462">
        <w:rPr>
          <w:rFonts w:eastAsiaTheme="minorEastAsia"/>
          <w:bCs/>
        </w:rPr>
        <w:t>use</w:t>
      </w:r>
      <w:r w:rsidR="005178BE" w:rsidRPr="00C01462">
        <w:rPr>
          <w:rFonts w:eastAsiaTheme="minorEastAsia"/>
          <w:bCs/>
        </w:rPr>
        <w:t xml:space="preserve"> reduced-rank approximations </w:t>
      </w:r>
      <w:r w:rsidR="009348A6" w:rsidRPr="00C01462">
        <w:rPr>
          <w:rFonts w:eastAsiaTheme="minorEastAsia"/>
          <w:bCs/>
        </w:rPr>
        <w:t>that</w:t>
      </w:r>
      <w:r w:rsidR="008778AC" w:rsidRPr="00C01462">
        <w:rPr>
          <w:rFonts w:eastAsiaTheme="minorEastAsia"/>
          <w:bCs/>
        </w:rPr>
        <w:t xml:space="preserve"> </w:t>
      </w:r>
      <w:r w:rsidR="00940EB7" w:rsidRPr="00C01462">
        <w:rPr>
          <w:rFonts w:eastAsiaTheme="minorEastAsia"/>
          <w:bCs/>
        </w:rPr>
        <w:t xml:space="preserve">solve the </w:t>
      </w:r>
      <w:r w:rsidR="00914C58" w:rsidRPr="00C01462">
        <w:rPr>
          <w:rFonts w:eastAsiaTheme="minorEastAsia"/>
          <w:bCs/>
        </w:rPr>
        <w:t>inversion</w:t>
      </w:r>
      <w:r w:rsidR="00940EB7" w:rsidRPr="00C01462">
        <w:rPr>
          <w:rFonts w:eastAsiaTheme="minorEastAsia"/>
          <w:bCs/>
        </w:rPr>
        <w:t xml:space="preserve"> on </w:t>
      </w:r>
      <w:r w:rsidR="001B317B" w:rsidRPr="00C01462">
        <w:rPr>
          <w:rFonts w:eastAsiaTheme="minorEastAsia"/>
          <w:bCs/>
        </w:rPr>
        <w:t xml:space="preserve">an </w:t>
      </w:r>
      <w:r w:rsidRPr="00C01462">
        <w:rPr>
          <w:rFonts w:eastAsiaTheme="minorEastAsia"/>
          <w:bCs/>
        </w:rPr>
        <w:t>orthonormal</w:t>
      </w:r>
      <w:r w:rsidR="00914C58" w:rsidRPr="00C01462">
        <w:rPr>
          <w:rFonts w:eastAsiaTheme="minorEastAsia"/>
          <w:bCs/>
        </w:rPr>
        <w:t xml:space="preserve"> </w:t>
      </w:r>
      <w:r w:rsidR="008778AC" w:rsidRPr="00C01462">
        <w:rPr>
          <w:rFonts w:eastAsiaTheme="minorEastAsia"/>
          <w:bCs/>
        </w:rPr>
        <w:t xml:space="preserve">basis </w:t>
      </w:r>
      <w:r w:rsidR="00940EB7" w:rsidRPr="00C01462">
        <w:rPr>
          <w:rFonts w:eastAsiaTheme="minorEastAsia"/>
          <w:bCs/>
        </w:rPr>
        <w:t>that optimally span</w:t>
      </w:r>
      <w:r w:rsidRPr="00C01462">
        <w:rPr>
          <w:rFonts w:eastAsiaTheme="minorEastAsia"/>
          <w:bCs/>
        </w:rPr>
        <w:t>s</w:t>
      </w:r>
      <w:r w:rsidR="00940EB7" w:rsidRPr="00C01462">
        <w:rPr>
          <w:rFonts w:eastAsiaTheme="minorEastAsia"/>
          <w:bCs/>
        </w:rPr>
        <w:t xml:space="preserve"> the information content </w:t>
      </w:r>
      <w:r w:rsidR="00914C58" w:rsidRPr="00C01462">
        <w:rPr>
          <w:rFonts w:eastAsiaTheme="minorEastAsia"/>
          <w:bCs/>
        </w:rPr>
        <w:t>of the</w:t>
      </w:r>
      <w:r w:rsidR="0092425A" w:rsidRPr="00C01462">
        <w:rPr>
          <w:rFonts w:eastAsiaTheme="minorEastAsia"/>
          <w:bCs/>
        </w:rPr>
        <w:t xml:space="preserve"> </w:t>
      </w:r>
      <w:r w:rsidR="00914C58" w:rsidRPr="00C01462">
        <w:rPr>
          <w:rFonts w:eastAsiaTheme="minorEastAsia"/>
          <w:bCs/>
        </w:rPr>
        <w:t>satellite</w:t>
      </w:r>
      <w:r w:rsidRPr="00C01462">
        <w:rPr>
          <w:rFonts w:eastAsiaTheme="minorEastAsia"/>
          <w:bCs/>
        </w:rPr>
        <w:t>–</w:t>
      </w:r>
      <w:r w:rsidR="00914C58" w:rsidRPr="00C01462">
        <w:rPr>
          <w:rFonts w:eastAsiaTheme="minorEastAsia"/>
          <w:bCs/>
        </w:rPr>
        <w:t xml:space="preserve">forward model </w:t>
      </w:r>
      <w:r w:rsidR="0092425A" w:rsidRPr="00C01462">
        <w:rPr>
          <w:rFonts w:eastAsiaTheme="minorEastAsia"/>
          <w:bCs/>
        </w:rPr>
        <w:t>observing system</w:t>
      </w:r>
      <w:r w:rsidR="009348A6" w:rsidRPr="00C01462">
        <w:rPr>
          <w:rFonts w:eastAsiaTheme="minorEastAsia"/>
          <w:bCs/>
        </w:rPr>
        <w:t xml:space="preserve"> </w:t>
      </w:r>
      <w:r w:rsidR="009348A6" w:rsidRPr="00C01462">
        <w:rPr>
          <w:rFonts w:eastAsiaTheme="minorEastAsia"/>
          <w:bCs/>
        </w:rPr>
        <w:fldChar w:fldCharType="begin"/>
      </w:r>
      <w:r w:rsidR="009348A6" w:rsidRPr="00C01462">
        <w:rPr>
          <w:rFonts w:eastAsiaTheme="minorEastAsia"/>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sidRPr="00C01462">
        <w:rPr>
          <w:rFonts w:eastAsiaTheme="minorEastAsia"/>
          <w:bCs/>
        </w:rPr>
        <w:fldChar w:fldCharType="separate"/>
      </w:r>
      <w:r w:rsidR="009348A6" w:rsidRPr="00C01462">
        <w:rPr>
          <w:rFonts w:eastAsiaTheme="minorEastAsia"/>
          <w:bCs/>
          <w:noProof/>
        </w:rPr>
        <w:t>(Bousserez and Henze, 2018)</w:t>
      </w:r>
      <w:r w:rsidR="009348A6" w:rsidRPr="00C01462">
        <w:rPr>
          <w:rFonts w:eastAsiaTheme="minorEastAsia"/>
          <w:bCs/>
        </w:rPr>
        <w:fldChar w:fldCharType="end"/>
      </w:r>
      <w:r w:rsidR="0092425A" w:rsidRPr="00C01462">
        <w:rPr>
          <w:rFonts w:eastAsiaTheme="minorEastAsia"/>
          <w:bCs/>
        </w:rPr>
        <w:t>. The</w:t>
      </w:r>
      <w:r w:rsidRPr="00C01462">
        <w:rPr>
          <w:rFonts w:eastAsiaTheme="minorEastAsia"/>
          <w:bCs/>
        </w:rPr>
        <w:t xml:space="preserve"> basis</w:t>
      </w:r>
      <w:r w:rsidR="0092425A" w:rsidRPr="00C01462">
        <w:rPr>
          <w:rFonts w:eastAsiaTheme="minorEastAsia"/>
          <w:bCs/>
        </w:rPr>
        <w:t xml:space="preserve"> </w:t>
      </w:r>
      <w:r w:rsidRPr="00C01462">
        <w:rPr>
          <w:rFonts w:eastAsiaTheme="minorEastAsia"/>
          <w:bCs/>
        </w:rPr>
        <w:t>is</w:t>
      </w:r>
      <w:r w:rsidR="0092425A" w:rsidRPr="00C01462">
        <w:rPr>
          <w:rFonts w:eastAsiaTheme="minorEastAsia"/>
          <w:bCs/>
        </w:rPr>
        <w:t xml:space="preserve"> given by the eigendecomposition </w:t>
      </w:r>
      <w:r w:rsidR="008778AC" w:rsidRPr="00C01462">
        <w:rPr>
          <w:rFonts w:eastAsiaTheme="minorEastAsia"/>
          <w:bCs/>
        </w:rPr>
        <w:t>of the prior-preconditioned Hessian</w:t>
      </w:r>
      <w:r w:rsidR="005178BE" w:rsidRPr="00C01462">
        <w:rPr>
          <w:rFonts w:eastAsiaTheme="minorEastAsia"/>
          <w:bCs/>
        </w:rPr>
        <w:t xml:space="preserve"> </w:t>
      </w:r>
    </w:p>
    <w:p w14:paraId="63494277" w14:textId="77777777" w:rsidR="00E14379" w:rsidRPr="00C01462" w:rsidRDefault="00E14379" w:rsidP="0092425A">
      <w:pPr>
        <w:rPr>
          <w:rFonts w:eastAsiaTheme="minorEastAsia"/>
          <w:bCs/>
        </w:rPr>
      </w:pPr>
    </w:p>
    <w:p w14:paraId="48C6E47E" w14:textId="1138917D" w:rsidR="0032207F" w:rsidRPr="00C01462" w:rsidRDefault="00000000" w:rsidP="0092425A">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3A8E9DCD" w14:textId="77777777" w:rsidR="00E14379" w:rsidRPr="00C01462" w:rsidRDefault="00E14379" w:rsidP="0092425A">
      <w:pPr>
        <w:rPr>
          <w:rFonts w:eastAsiaTheme="minorEastAsia"/>
        </w:rPr>
      </w:pPr>
    </w:p>
    <w:p w14:paraId="567B3760" w14:textId="7F2E9ECA" w:rsidR="005178BE" w:rsidRPr="00C01462" w:rsidRDefault="00C976E9" w:rsidP="0092425A">
      <w:pPr>
        <w:rPr>
          <w:rFonts w:eastAsiaTheme="minorEastAsia"/>
          <w:bCs/>
        </w:rPr>
      </w:pPr>
      <w:r w:rsidRPr="00C01462">
        <w:rPr>
          <w:rFonts w:eastAsiaTheme="minorEastAsia"/>
        </w:rPr>
        <w:t>where</w:t>
      </w:r>
      <w:r w:rsidR="00381CA9" w:rsidRPr="00C01462">
        <w:rPr>
          <w:rFonts w:eastAsiaTheme="minorEastAsia"/>
        </w:rPr>
        <w:t xml:space="preserve"> the columns of</w:t>
      </w:r>
      <w:r w:rsidRPr="00C01462">
        <w:rPr>
          <w:rFonts w:eastAsiaTheme="minorEastAsia"/>
        </w:rPr>
        <w:t xml:space="preserve"> </w:t>
      </w:r>
      <m:oMath>
        <m:r>
          <m:rPr>
            <m:sty m:val="b"/>
          </m:rPr>
          <w:rPr>
            <w:rFonts w:ascii="Cambria Math" w:eastAsiaTheme="minorEastAsia" w:hAnsi="Cambria Math"/>
          </w:rPr>
          <m:t>V</m:t>
        </m:r>
      </m:oMath>
      <w:r w:rsidRPr="00C01462">
        <w:rPr>
          <w:rFonts w:eastAsiaTheme="minorEastAsia"/>
        </w:rPr>
        <w:t xml:space="preserve"> </w:t>
      </w:r>
      <w:r w:rsidR="00381CA9" w:rsidRPr="00C01462">
        <w:rPr>
          <w:rFonts w:eastAsiaTheme="minorEastAsia"/>
        </w:rPr>
        <w:t>are</w:t>
      </w:r>
      <w:r w:rsidRPr="00C01462">
        <w:rPr>
          <w:rFonts w:eastAsiaTheme="minorEastAsia"/>
        </w:rPr>
        <w:t xml:space="preserve"> the eigenvectors </w:t>
      </w:r>
      <w:r w:rsidRPr="00C01462">
        <w:rPr>
          <w:rFonts w:eastAsiaTheme="minorEastAsia"/>
          <w:bCs/>
        </w:rPr>
        <w:t>and</w:t>
      </w:r>
      <w:r w:rsidR="00381CA9" w:rsidRPr="00C01462">
        <w:rPr>
          <w:rFonts w:eastAsiaTheme="minorEastAsia"/>
          <w:bCs/>
        </w:rPr>
        <w:t xml:space="preserve"> the diagonal of</w:t>
      </w:r>
      <w:r w:rsidRPr="00C01462">
        <w:rPr>
          <w:rFonts w:eastAsiaTheme="minorEastAsia"/>
          <w:bCs/>
        </w:rPr>
        <w:t xml:space="preserve"> </w:t>
      </w:r>
      <m:oMath>
        <m:r>
          <m:rPr>
            <m:sty m:val="b"/>
          </m:rPr>
          <w:rPr>
            <w:rFonts w:ascii="Cambria Math" w:eastAsiaTheme="minorEastAsia" w:hAnsi="Cambria Math"/>
          </w:rPr>
          <m:t>Λ</m:t>
        </m:r>
      </m:oMath>
      <w:r w:rsidRPr="00C01462">
        <w:rPr>
          <w:rFonts w:eastAsiaTheme="minorEastAsia"/>
          <w:bCs/>
        </w:rPr>
        <w:t xml:space="preserve"> gives the eigenvalues. Then</w:t>
      </w:r>
      <w:r w:rsidR="00914C58" w:rsidRPr="00C01462">
        <w:rPr>
          <w:rFonts w:eastAsiaTheme="minorEastAsia"/>
          <w:bCs/>
        </w:rPr>
        <w:t>,</w:t>
      </w:r>
    </w:p>
    <w:p w14:paraId="0268D00C" w14:textId="0A020AAB" w:rsidR="001B4A42" w:rsidRPr="00C01462" w:rsidRDefault="001B4A42" w:rsidP="00664A9F">
      <w:pPr>
        <w:rPr>
          <w:rFonts w:eastAsiaTheme="minorEastAsia"/>
          <w:bCs/>
          <w:iCs/>
        </w:rPr>
      </w:pPr>
    </w:p>
    <w:p w14:paraId="42103669" w14:textId="669BC720" w:rsidR="001B4A42" w:rsidRPr="00C01462"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C01462" w:rsidRDefault="001B4A42" w:rsidP="00664A9F">
      <w:pPr>
        <w:rPr>
          <w:rFonts w:eastAsiaTheme="minorEastAsia"/>
          <w:bCs/>
        </w:rPr>
      </w:pPr>
    </w:p>
    <w:p w14:paraId="7198447E" w14:textId="409EEDD8" w:rsidR="001B317B" w:rsidRPr="00C01462" w:rsidRDefault="00FD0A57" w:rsidP="00E63085">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is </w:t>
      </w:r>
      <w:r w:rsidR="008778AC" w:rsidRPr="00C01462">
        <w:t xml:space="preserve">the full-rank approximation </w:t>
      </w:r>
      <w:r w:rsidR="00914C58" w:rsidRPr="00C01462">
        <w:t xml:space="preserve">that </w:t>
      </w:r>
      <w:r w:rsidR="003D01B0" w:rsidRPr="00C01462">
        <w:t>minimizes error relative to the standard solution</w:t>
      </w:r>
      <w:r w:rsidR="009348A6" w:rsidRPr="00C01462">
        <w:t>;</w:t>
      </w:r>
      <w:r w:rsidR="003D01B0" w:rsidRPr="00C01462">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sidRPr="00C01462">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sidRPr="00C01462">
        <w:t xml:space="preserve"> </w:t>
      </w:r>
      <w:r w:rsidR="009348A6" w:rsidRPr="00C01462">
        <w:t>are</w:t>
      </w:r>
      <w:r w:rsidR="003D01B0" w:rsidRPr="00C01462">
        <w:t xml:space="preserve"> the posterior error covariance matrix </w:t>
      </w:r>
      <w:r w:rsidR="009348A6" w:rsidRPr="00C01462">
        <w:t xml:space="preserve">and averaging kernel matrix </w:t>
      </w:r>
      <w:r w:rsidR="003D01B0" w:rsidRPr="00C01462">
        <w:t xml:space="preserve">associated with the </w:t>
      </w:r>
      <w:r w:rsidR="009348A6" w:rsidRPr="00C01462">
        <w:t>reduced-rank Jacobian</w:t>
      </w:r>
      <w:r w:rsidR="0057503D" w:rsidRPr="00C01462">
        <w:t xml:space="preserve"> matrix</w:t>
      </w:r>
      <w:r w:rsidR="009348A6" w:rsidRPr="00C01462">
        <w:t xml:space="preserve"> (section 2.6)</w:t>
      </w:r>
      <w:r w:rsidR="0062723A" w:rsidRPr="00C01462">
        <w:t>, respectively</w:t>
      </w:r>
      <w:r w:rsidR="009348A6" w:rsidRPr="00C01462">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sidRPr="00C01462">
        <w:t xml:space="preserve"> is the matrix of the first </w:t>
      </w:r>
      <m:oMath>
        <m:r>
          <w:rPr>
            <w:rFonts w:ascii="Cambria Math" w:hAnsi="Cambria Math"/>
          </w:rPr>
          <m:t>k</m:t>
        </m:r>
      </m:oMath>
      <w:r w:rsidR="0062723A" w:rsidRPr="00C01462">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sidRPr="00C01462">
        <w:t xml:space="preserve"> is </w:t>
      </w:r>
      <w:r w:rsidR="001B317B" w:rsidRPr="00C01462">
        <w:t>a diagonal</w:t>
      </w:r>
      <w:r w:rsidR="0062723A" w:rsidRPr="00C01462">
        <w:t xml:space="preserve"> matrix </w:t>
      </w:r>
      <w:r w:rsidR="001B317B" w:rsidRPr="00C01462">
        <w:t>containing</w:t>
      </w:r>
      <w:r w:rsidR="0062723A" w:rsidRPr="00C01462">
        <w:t xml:space="preserve"> the </w:t>
      </w:r>
      <w:r w:rsidR="001B317B" w:rsidRPr="00C01462">
        <w:t>largest</w:t>
      </w:r>
      <w:r w:rsidR="0062723A" w:rsidRPr="00C01462">
        <w:t xml:space="preserve"> </w:t>
      </w:r>
      <m:oMath>
        <m:r>
          <w:rPr>
            <w:rFonts w:ascii="Cambria Math" w:hAnsi="Cambria Math"/>
          </w:rPr>
          <m:t>k</m:t>
        </m:r>
      </m:oMath>
      <w:r w:rsidR="0062723A" w:rsidRPr="00C01462">
        <w:t xml:space="preserve"> eigenvalues.</w:t>
      </w:r>
      <w:r w:rsidR="0057503D" w:rsidRPr="00C01462">
        <w:t xml:space="preserve"> We choose </w:t>
      </w:r>
      <m:oMath>
        <m:r>
          <w:rPr>
            <w:rFonts w:ascii="Cambria Math" w:hAnsi="Cambria Math"/>
          </w:rPr>
          <m:t>k</m:t>
        </m:r>
      </m:oMath>
      <w:r w:rsidR="0057503D" w:rsidRPr="00C01462">
        <w:t xml:space="preserve"> = 1952 to match the rank of the Jacobian matrix</w:t>
      </w:r>
      <w:r w:rsidR="00A440C1" w:rsidRPr="00C01462">
        <w:t>.</w:t>
      </w:r>
      <w:r w:rsidR="0032207F" w:rsidRPr="00C01462">
        <w:t xml:space="preserve"> To reduce errors associated with the rank reduction, we filter out grid cells with averaging kernel sensitivities less than 0.05. </w:t>
      </w:r>
      <w:r w:rsidR="001B317B" w:rsidRPr="00C01462">
        <w:t xml:space="preserve">The calculation of the prior pre-conditioned Hessian still requires significant memory for large </w:t>
      </w:r>
      <m:oMath>
        <m:r>
          <w:rPr>
            <w:rFonts w:ascii="Cambria Math" w:hAnsi="Cambria Math"/>
          </w:rPr>
          <m:t>m</m:t>
        </m:r>
      </m:oMath>
      <w:r w:rsidR="001B317B" w:rsidRPr="00C01462">
        <w:t xml:space="preserve"> and </w:t>
      </w:r>
      <m:oMath>
        <m:r>
          <w:rPr>
            <w:rFonts w:ascii="Cambria Math" w:eastAsiaTheme="minorEastAsia" w:hAnsi="Cambria Math"/>
          </w:rPr>
          <m:t>n</m:t>
        </m:r>
      </m:oMath>
      <w:r w:rsidR="001B317B" w:rsidRPr="00C01462">
        <w:t xml:space="preserve">. We parallelize the calculation manually and using </w:t>
      </w:r>
      <w:proofErr w:type="spellStart"/>
      <w:r w:rsidR="001B317B" w:rsidRPr="00C01462">
        <w:t>Dask</w:t>
      </w:r>
      <w:proofErr w:type="spellEnd"/>
      <w:r w:rsidR="001B317B" w:rsidRPr="00C01462">
        <w:t>, a python program that performs parallelization for datasets that exceed available memory.</w:t>
      </w:r>
    </w:p>
    <w:p w14:paraId="62CFD1B2" w14:textId="77777777" w:rsidR="00A440C1" w:rsidRPr="00C01462" w:rsidRDefault="00A440C1" w:rsidP="00E63085"/>
    <w:p w14:paraId="42E63D96" w14:textId="5B7EB9C5" w:rsidR="00E63085" w:rsidRPr="00C01462" w:rsidRDefault="00E63085" w:rsidP="00E63085">
      <w:pPr>
        <w:rPr>
          <w:b/>
          <w:bCs/>
        </w:rPr>
      </w:pPr>
      <w:r w:rsidRPr="00C01462">
        <w:rPr>
          <w:b/>
          <w:bCs/>
        </w:rPr>
        <w:t>2.2 State vector, prior estimate, and prior error</w:t>
      </w:r>
    </w:p>
    <w:p w14:paraId="382DC5F6" w14:textId="3D4FC8DE" w:rsidR="00E63085" w:rsidRPr="00C01462" w:rsidRDefault="00A440C1" w:rsidP="00E63085">
      <w:r w:rsidRPr="00C01462">
        <w:t>In all inversions, w</w:t>
      </w:r>
      <w:r w:rsidR="00E63085" w:rsidRPr="00C01462">
        <w:t xml:space="preserve">e optimize emissions in 23,691 grid cells at 0.25° </w:t>
      </w:r>
      <w:r w:rsidR="00521D0D" w:rsidRPr="00C01462">
        <w:rPr>
          <w:rFonts w:ascii="Cambria Math" w:hAnsi="Cambria Math" w:cs="Cambria Math"/>
        </w:rPr>
        <w:t>⨉</w:t>
      </w:r>
      <w:r w:rsidR="00E63085" w:rsidRPr="00C01462">
        <w:t xml:space="preserve"> 0.3125° resolution over North America, including all grid cells containing land or anthropogenic methane emissions larger than 0.1 Mg km</w:t>
      </w:r>
      <w:r w:rsidR="00E63085" w:rsidRPr="00C01462">
        <w:rPr>
          <w:vertAlign w:val="superscript"/>
        </w:rPr>
        <w:t>-2</w:t>
      </w:r>
      <w:r w:rsidR="00E63085" w:rsidRPr="00C01462">
        <w:t xml:space="preserve"> a</w:t>
      </w:r>
      <w:r w:rsidR="00E63085" w:rsidRPr="00C01462">
        <w:rPr>
          <w:vertAlign w:val="superscript"/>
        </w:rPr>
        <w:t>-1</w:t>
      </w:r>
      <w:r w:rsidR="00E63085" w:rsidRPr="00C01462">
        <w:t xml:space="preserve">, representing over 99% of methane emissions in North America. </w:t>
      </w:r>
      <w:r w:rsidR="00FB7ECB" w:rsidRPr="00C01462">
        <w:t xml:space="preserve">We also </w:t>
      </w:r>
      <w:r w:rsidRPr="00C01462">
        <w:t xml:space="preserve">conduct inversions that </w:t>
      </w:r>
      <w:r w:rsidR="00FB7ECB" w:rsidRPr="00C01462">
        <w:t xml:space="preserve">optimize </w:t>
      </w:r>
      <w:r w:rsidRPr="00C01462">
        <w:t xml:space="preserve">boundary </w:t>
      </w:r>
      <w:r w:rsidR="00FB7ECB" w:rsidRPr="00C01462">
        <w:t xml:space="preserve">four cardinal (north, south, east, and west) boundary condition elements. </w:t>
      </w:r>
      <w:r w:rsidR="00E63085" w:rsidRPr="00C01462">
        <w:t xml:space="preserve">Methane chemical and soil sinks are not optimized because these loss processes are slow compared to the ventilation timescale. </w:t>
      </w:r>
    </w:p>
    <w:p w14:paraId="72B293DA" w14:textId="77777777" w:rsidR="00E63085" w:rsidRPr="00C01462" w:rsidRDefault="00E63085" w:rsidP="00E63085"/>
    <w:p w14:paraId="4F104FB3" w14:textId="541A00E8" w:rsidR="00E63085" w:rsidRPr="00C01462" w:rsidRDefault="00E63085" w:rsidP="00E63085">
      <w:r w:rsidRPr="00C01462">
        <w:t xml:space="preserve">Figure </w:t>
      </w:r>
      <w:r w:rsidR="00914C58" w:rsidRPr="00C01462">
        <w:t>1</w:t>
      </w:r>
      <w:r w:rsidRPr="00C01462">
        <w:t xml:space="preserve"> shows the spatial distribution of major source sectors</w:t>
      </w:r>
      <w:r w:rsidR="00E372F2" w:rsidRPr="00C01462">
        <w:t xml:space="preserve"> in the prior emissions estimate</w:t>
      </w:r>
      <w:r w:rsidRPr="00C01462">
        <w:t>. Anthropogenic emissions for the United States, Mexico, and Canada are given by the spatially disaggregated (gridded) versions of the EPA GHGI for 2012 (</w:t>
      </w:r>
      <w:proofErr w:type="spellStart"/>
      <w:r w:rsidRPr="00C01462">
        <w:t>Maasakkers</w:t>
      </w:r>
      <w:proofErr w:type="spellEnd"/>
      <w:r w:rsidRPr="00C01462">
        <w:t xml:space="preserve"> et al., 2016), the INECC </w:t>
      </w:r>
      <w:r w:rsidR="00CC7F7C" w:rsidRPr="00C01462">
        <w:t xml:space="preserve">inventory </w:t>
      </w:r>
      <w:r w:rsidRPr="00C01462">
        <w:t>for 20</w:t>
      </w:r>
      <w:r w:rsidR="00CC7F7C" w:rsidRPr="00C01462">
        <w:t>15</w:t>
      </w:r>
      <w:r w:rsidRPr="00C01462">
        <w:t xml:space="preserve"> (</w:t>
      </w:r>
      <w:proofErr w:type="spellStart"/>
      <w:r w:rsidRPr="00C01462">
        <w:t>Scarpelli</w:t>
      </w:r>
      <w:proofErr w:type="spellEnd"/>
      <w:r w:rsidRPr="00C01462">
        <w:t xml:space="preserve"> et al.</w:t>
      </w:r>
      <w:r w:rsidR="00CC7F7C" w:rsidRPr="00C01462">
        <w:t>, 2020</w:t>
      </w:r>
      <w:r w:rsidRPr="00C01462">
        <w:t>), and the ECCC estimates for 20</w:t>
      </w:r>
      <w:r w:rsidR="00CC7F7C" w:rsidRPr="00C01462">
        <w:t>18</w:t>
      </w:r>
      <w:r w:rsidRPr="00C01462">
        <w:t xml:space="preserve"> (</w:t>
      </w:r>
      <w:proofErr w:type="spellStart"/>
      <w:r w:rsidRPr="00C01462">
        <w:t>Scarpelli</w:t>
      </w:r>
      <w:proofErr w:type="spellEnd"/>
      <w:r w:rsidRPr="00C01462">
        <w:t xml:space="preserve"> et al.</w:t>
      </w:r>
      <w:r w:rsidR="00CC7F7C" w:rsidRPr="00C01462">
        <w:t>, 2021</w:t>
      </w:r>
      <w:r w:rsidRPr="00C01462">
        <w:t xml:space="preserve">), respectively. To account for changes in the distribution and magnitude of oil and natural gas emissions in the United States since 2012, we update the distribution of production fields using 2018 </w:t>
      </w:r>
      <w:proofErr w:type="spellStart"/>
      <w:r w:rsidRPr="00C01462">
        <w:t>DrillingInfo</w:t>
      </w:r>
      <w:proofErr w:type="spellEnd"/>
      <w:r w:rsidRPr="00C01462">
        <w:t xml:space="preserve"> data and scale the total natural gas </w:t>
      </w:r>
      <w:r w:rsidR="00BC181E" w:rsidRPr="00C01462">
        <w:t xml:space="preserve">production, </w:t>
      </w:r>
      <w:r w:rsidRPr="00C01462">
        <w:t xml:space="preserve">transmission, processing, and distribution emissions to match 2018 emissions as reported in the 2020 GHGI. </w:t>
      </w:r>
      <w:r w:rsidR="00146D72" w:rsidRPr="00C01462">
        <w:t>We also use</w:t>
      </w:r>
      <w:r w:rsidR="00490EB9" w:rsidRPr="00C01462">
        <w:t xml:space="preserve"> the Environmental Defense Fund’s</w:t>
      </w:r>
      <w:r w:rsidR="00267AB0" w:rsidRPr="00C01462">
        <w:t xml:space="preserve"> </w:t>
      </w:r>
      <w:r w:rsidR="00146D72" w:rsidRPr="00C01462">
        <w:t>high-resolution inventory over the Permian basin</w:t>
      </w:r>
      <w:r w:rsidR="001C61E6" w:rsidRPr="00C01462">
        <w:t xml:space="preserve"> for </w:t>
      </w:r>
      <w:proofErr w:type="spellStart"/>
      <w:r w:rsidR="001C61E6" w:rsidRPr="00C01462">
        <w:t>xxxx</w:t>
      </w:r>
      <w:proofErr w:type="spellEnd"/>
      <w:r w:rsidR="00146D72" w:rsidRPr="00C01462">
        <w:t>, one of the largest oil and natural gas producing</w:t>
      </w:r>
      <w:r w:rsidR="00490EB9" w:rsidRPr="00C01462">
        <w:t xml:space="preserve"> regions in </w:t>
      </w:r>
      <w:r w:rsidR="00FD7094" w:rsidRPr="00C01462">
        <w:t>North America (Zhang</w:t>
      </w:r>
      <w:r w:rsidR="001C61E6" w:rsidRPr="00C01462">
        <w:t xml:space="preserve"> et al.,</w:t>
      </w:r>
      <w:r w:rsidR="00FD7094" w:rsidRPr="00C01462">
        <w:t xml:space="preserve"> 2020).</w:t>
      </w:r>
      <w:r w:rsidR="00146D72" w:rsidRPr="00C01462">
        <w:t xml:space="preserve">  </w:t>
      </w:r>
      <w:r w:rsidR="002D332F" w:rsidRPr="00C01462">
        <w:t>Because this inventory does not differentiate between oil and natural gas emissions</w:t>
      </w:r>
      <w:r w:rsidR="00986D28" w:rsidRPr="00C01462">
        <w:t xml:space="preserve"> due to the challenges of separating the sources</w:t>
      </w:r>
      <w:r w:rsidR="002D332F" w:rsidRPr="00C01462">
        <w:t xml:space="preserve">, we </w:t>
      </w:r>
      <w:r w:rsidR="00986D28" w:rsidRPr="00C01462">
        <w:t>treat</w:t>
      </w:r>
      <w:r w:rsidR="002D332F" w:rsidRPr="00C01462">
        <w:t xml:space="preserve"> oil and natural gas as a single sector in our analysis. </w:t>
      </w:r>
      <w:r w:rsidRPr="00C01462">
        <w:t xml:space="preserve">All other anthropogenic emissions in the North American domain are provided by the EDGAR v4.3.2 global emission inventory for 2012 (?). Anthropogenic emissions are assumed </w:t>
      </w:r>
      <w:proofErr w:type="spellStart"/>
      <w:r w:rsidRPr="00C01462">
        <w:t>aseasonal</w:t>
      </w:r>
      <w:proofErr w:type="spellEnd"/>
      <w:r w:rsidRPr="00C01462">
        <w:t xml:space="preserve"> except for manure management and rice cultivation, for which we apply seasonal scaling factors as described by </w:t>
      </w:r>
      <w:proofErr w:type="spellStart"/>
      <w:r w:rsidRPr="00C01462">
        <w:t>Maasakkers</w:t>
      </w:r>
      <w:proofErr w:type="spellEnd"/>
      <w:r w:rsidRPr="00C01462">
        <w:t xml:space="preserve"> et al. (2016) and Zhang et al. (2016), respectively.</w:t>
      </w:r>
    </w:p>
    <w:p w14:paraId="3FCE5DFE" w14:textId="77777777" w:rsidR="00E63085" w:rsidRPr="00C01462" w:rsidRDefault="00E63085" w:rsidP="00E63085"/>
    <w:p w14:paraId="589120CA" w14:textId="30CC0C7E" w:rsidR="00F603F1" w:rsidRPr="00C01462" w:rsidRDefault="00E63085">
      <w:r w:rsidRPr="00C01462">
        <w:t>Wetlands are the dominant natural source of methane emissions</w:t>
      </w:r>
      <w:r w:rsidR="002D332F" w:rsidRPr="00C01462">
        <w:t xml:space="preserve">, but large uncertainties exist in the distribution and magnitude of wetland emissions (Bloom et al., </w:t>
      </w:r>
      <w:proofErr w:type="spellStart"/>
      <w:r w:rsidR="002D332F" w:rsidRPr="00C01462">
        <w:t>xxxx</w:t>
      </w:r>
      <w:proofErr w:type="spellEnd"/>
      <w:r w:rsidR="002D332F" w:rsidRPr="00C01462">
        <w:t>)</w:t>
      </w:r>
      <w:r w:rsidRPr="00C01462">
        <w:t xml:space="preserve">. </w:t>
      </w:r>
      <w:r w:rsidR="00EC7B1D" w:rsidRPr="00C01462">
        <w:t xml:space="preserve">We address this uncertainty by including two wetland inventories in our inversion ensemble. </w:t>
      </w:r>
      <w:r w:rsidR="002D332F" w:rsidRPr="00C01462">
        <w:t>Figure 1 (bottom right) shows the</w:t>
      </w:r>
      <w:r w:rsidRPr="00C01462">
        <w:t xml:space="preserve"> </w:t>
      </w:r>
      <w:r w:rsidR="00EC7B1D" w:rsidRPr="00C01462">
        <w:t xml:space="preserve">scaled and </w:t>
      </w:r>
      <w:proofErr w:type="spellStart"/>
      <w:r w:rsidR="00EC7B1D" w:rsidRPr="00C01462">
        <w:t>subsetted</w:t>
      </w:r>
      <w:proofErr w:type="spellEnd"/>
      <w:r w:rsidR="001B317B" w:rsidRPr="00C01462">
        <w:t xml:space="preserve"> versions of the</w:t>
      </w:r>
      <w:r w:rsidRPr="00C01462">
        <w:t xml:space="preserve"> high</w:t>
      </w:r>
      <w:r w:rsidR="00486CD4" w:rsidRPr="00C01462">
        <w:t xml:space="preserve"> </w:t>
      </w:r>
      <w:r w:rsidRPr="00C01462">
        <w:t xml:space="preserve">performance </w:t>
      </w:r>
      <w:proofErr w:type="spellStart"/>
      <w:r w:rsidRPr="00C01462">
        <w:t>W</w:t>
      </w:r>
      <w:r w:rsidR="0019599B" w:rsidRPr="00C01462">
        <w:t>et</w:t>
      </w:r>
      <w:r w:rsidRPr="00C01462">
        <w:t>C</w:t>
      </w:r>
      <w:r w:rsidR="0019599B" w:rsidRPr="00C01462">
        <w:t>HART</w:t>
      </w:r>
      <w:r w:rsidRPr="00C01462">
        <w:t>s</w:t>
      </w:r>
      <w:proofErr w:type="spellEnd"/>
      <w:r w:rsidRPr="00C01462">
        <w:t xml:space="preserve"> ensemble version 1.3.1</w:t>
      </w:r>
      <w:r w:rsidR="002D332F" w:rsidRPr="00C01462">
        <w:t xml:space="preserve"> used </w:t>
      </w:r>
      <w:r w:rsidRPr="00C01462">
        <w:t xml:space="preserve">(Ma et al. 2021). </w:t>
      </w:r>
      <w:r w:rsidR="001B317B" w:rsidRPr="00C01462">
        <w:t>Previous inversions found a large overestimate of wetland methane emissions in the high-performance ensemble, particularly in the boreal wetlands (Lu et al.</w:t>
      </w:r>
      <w:r w:rsidR="00A440C1" w:rsidRPr="00C01462">
        <w:t>,</w:t>
      </w:r>
      <w:r w:rsidR="001B317B" w:rsidRPr="00C01462">
        <w:t xml:space="preserve"> 2022). </w:t>
      </w:r>
      <w:r w:rsidR="002D332F" w:rsidRPr="00C01462">
        <w:t xml:space="preserve">The scaled inventory </w:t>
      </w:r>
      <w:r w:rsidR="00F06DE2" w:rsidRPr="00C01462">
        <w:t>decrease</w:t>
      </w:r>
      <w:r w:rsidR="002D332F" w:rsidRPr="00C01462">
        <w:t>s</w:t>
      </w:r>
      <w:r w:rsidR="00F06DE2" w:rsidRPr="00C01462">
        <w:t xml:space="preserve"> total wetland emissions by a factor of 4.04 based on a comparison of the ensemble to FLUXNET CH4, a network of eddy covariance tower data (</w:t>
      </w:r>
      <w:r w:rsidR="002D332F" w:rsidRPr="00C01462">
        <w:t>Shuang et al., ????</w:t>
      </w:r>
      <w:r w:rsidR="00F06DE2" w:rsidRPr="00C01462">
        <w:t xml:space="preserve">). </w:t>
      </w:r>
      <w:r w:rsidR="002D332F" w:rsidRPr="00C01462">
        <w:t xml:space="preserve">The </w:t>
      </w:r>
      <w:proofErr w:type="spellStart"/>
      <w:r w:rsidR="002D332F" w:rsidRPr="00C01462">
        <w:t>subsetted</w:t>
      </w:r>
      <w:proofErr w:type="spellEnd"/>
      <w:r w:rsidR="002D332F" w:rsidRPr="00C01462">
        <w:t xml:space="preserve"> inventory </w:t>
      </w:r>
      <w:r w:rsidR="00A440C1" w:rsidRPr="00C01462">
        <w:t xml:space="preserve">removes </w:t>
      </w:r>
      <w:r w:rsidR="00733119" w:rsidRPr="00C01462">
        <w:t xml:space="preserve">two ensemble members </w:t>
      </w:r>
      <w:r w:rsidR="003B15AB" w:rsidRPr="00C01462">
        <w:t xml:space="preserve">that </w:t>
      </w:r>
      <w:r w:rsidR="00733119" w:rsidRPr="00C01462">
        <w:t xml:space="preserve">produce </w:t>
      </w:r>
      <w:r w:rsidR="003B15AB" w:rsidRPr="00C01462">
        <w:t xml:space="preserve">anomalously </w:t>
      </w:r>
      <w:r w:rsidR="00733119" w:rsidRPr="00C01462">
        <w:t xml:space="preserve">large </w:t>
      </w:r>
      <w:r w:rsidR="003B15AB" w:rsidRPr="00C01462">
        <w:t>emissions</w:t>
      </w:r>
      <w:r w:rsidR="00733119" w:rsidRPr="00C01462">
        <w:t xml:space="preserve"> in the high northern latitudes in summer and fall (Lu et al. 202?). </w:t>
      </w:r>
      <w:r w:rsidRPr="00C01462">
        <w:t>Other natural methane emission sources include open fires, termites, and geological seep</w:t>
      </w:r>
      <w:r w:rsidR="00486CD4" w:rsidRPr="00C01462">
        <w:t>s</w:t>
      </w:r>
      <w:r w:rsidRPr="00C01462">
        <w:t xml:space="preserve">. </w:t>
      </w:r>
      <w:r w:rsidR="00486CD4" w:rsidRPr="00C01462">
        <w:t>We use the same emissions for these sources as in Lu et al. (2022).</w:t>
      </w:r>
    </w:p>
    <w:p w14:paraId="67BDB6F2" w14:textId="74203FF2" w:rsidR="00E63085" w:rsidRPr="00C01462" w:rsidRDefault="00E63085"/>
    <w:p w14:paraId="6D4E911D" w14:textId="71B0CC2F" w:rsidR="003D698A" w:rsidRPr="00C01462" w:rsidRDefault="00E63085">
      <w:r w:rsidRPr="00C01462">
        <w:t xml:space="preserve">We assume uniform relative </w:t>
      </w:r>
      <w:r w:rsidR="003C3729" w:rsidRPr="00C01462">
        <w:t xml:space="preserve">prior </w:t>
      </w:r>
      <w:r w:rsidRPr="00C01462">
        <w:t>error</w:t>
      </w:r>
      <w:r w:rsidR="00577811" w:rsidRPr="00C01462">
        <w:t xml:space="preserve"> standard deviations </w:t>
      </w:r>
      <w:r w:rsidR="009C59C0" w:rsidRPr="00C01462">
        <w:t xml:space="preserve">for emissions </w:t>
      </w:r>
      <w:r w:rsidRPr="00C01462">
        <w:t xml:space="preserve">of </w:t>
      </w:r>
      <w:r w:rsidR="00C36AAC" w:rsidRPr="00C01462">
        <w:t>between 50</w:t>
      </w:r>
      <w:r w:rsidRPr="00C01462">
        <w:t>%</w:t>
      </w:r>
      <w:r w:rsidR="00630107" w:rsidRPr="00C01462">
        <w:t xml:space="preserve"> </w:t>
      </w:r>
      <w:r w:rsidR="00C36AAC" w:rsidRPr="00C01462">
        <w:t>and 100%</w:t>
      </w:r>
      <w:r w:rsidR="00986D28" w:rsidRPr="00C01462">
        <w:t xml:space="preserve"> </w:t>
      </w:r>
      <w:r w:rsidR="009C59C0" w:rsidRPr="00C01462">
        <w:t xml:space="preserve">for </w:t>
      </w:r>
      <w:r w:rsidR="00986D28" w:rsidRPr="00C01462">
        <w:t>ach ensemble member</w:t>
      </w:r>
      <w:r w:rsidR="00C36AAC" w:rsidRPr="00C01462">
        <w:t xml:space="preserve">. </w:t>
      </w:r>
      <w:r w:rsidR="00577811" w:rsidRPr="00C01462">
        <w:t xml:space="preserve">The 50% relative error lower bound follows 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We increase errors up to 100% to account for displacement errors and increased error covariance at high resolution (</w:t>
      </w:r>
      <w:proofErr w:type="spellStart"/>
      <w:r w:rsidR="00577811" w:rsidRPr="00C01462">
        <w:t>Maasakkers</w:t>
      </w:r>
      <w:proofErr w:type="spellEnd"/>
      <w:r w:rsidR="00577811" w:rsidRPr="00C01462">
        <w:t xml:space="preserve"> et al. 2016). Ensemble members that optimize the boundary conditions use a base error standard deviation of 10 ppb, which </w:t>
      </w:r>
      <w:r w:rsidR="009C59C0" w:rsidRPr="00C01462">
        <w:t>is</w:t>
      </w:r>
      <w:r w:rsidR="00577811" w:rsidRPr="00C01462">
        <w:t xml:space="preserve"> scaled by between 0.5 and 1 depending on the choice of grid cell prior error. </w:t>
      </w:r>
      <w:r w:rsidR="009C59C0" w:rsidRPr="00C01462">
        <w:t xml:space="preserve">We choose the prior error for each </w:t>
      </w:r>
      <w:r w:rsidR="009C59C0" w:rsidRPr="00C01462">
        <w:lastRenderedPageBreak/>
        <w:t xml:space="preserve">ensemble member as described in section 2.7. </w:t>
      </w:r>
      <w:r w:rsidR="00577811" w:rsidRPr="00C01462">
        <w:t xml:space="preserve">Although lognormal errors better represent the distribution of methane emissions and avoid negative posterior emissions (e.g., </w:t>
      </w:r>
      <w:proofErr w:type="spellStart"/>
      <w:r w:rsidR="00577811" w:rsidRPr="00C01462">
        <w:t>Maasakkers</w:t>
      </w:r>
      <w:proofErr w:type="spellEnd"/>
      <w:r w:rsidR="00577811" w:rsidRPr="00C01462">
        <w:t xml:space="preserve"> et al., </w:t>
      </w:r>
      <w:proofErr w:type="gramStart"/>
      <w:r w:rsidR="00577811" w:rsidRPr="00C01462">
        <w:t>20?,</w:t>
      </w:r>
      <w:proofErr w:type="gramEnd"/>
      <w:r w:rsidR="00577811" w:rsidRPr="00C01462">
        <w:t xml:space="preserve"> Chen et al., 2022), the </w:t>
      </w:r>
      <w:r w:rsidR="009C59C0" w:rsidRPr="00C01462">
        <w:t xml:space="preserve">corresponding </w:t>
      </w:r>
      <w:r w:rsidR="00577811" w:rsidRPr="00C01462">
        <w:t xml:space="preserve">solution iteratively updates the Jacobian matrix, which is computationally prohibitive </w:t>
      </w:r>
      <w:r w:rsidR="009C59C0" w:rsidRPr="00C01462">
        <w:t>for</w:t>
      </w:r>
      <w:r w:rsidR="00577811" w:rsidRPr="00C01462">
        <w:t xml:space="preserve"> our large observation and state vector dimensions (section 2.1). We instead use normal errors. </w:t>
      </w:r>
      <w:r w:rsidR="00C36AAC" w:rsidRPr="00C01462">
        <w:t>In the absence of better information, we assume there is no error covariance.</w:t>
      </w:r>
    </w:p>
    <w:p w14:paraId="066853A8" w14:textId="77777777" w:rsidR="003D698A" w:rsidRPr="00C01462" w:rsidRDefault="003D698A"/>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3A2F95C5" w14:textId="1A5EEE4F" w:rsidR="00112218" w:rsidRPr="00C01462" w:rsidRDefault="00112218" w:rsidP="00112218">
      <w:r w:rsidRPr="00C01462">
        <w:t xml:space="preserve">We use the nested version of the GEOS-Chem chemical transport model (CTM) v12.7 at 0.25° </w:t>
      </w:r>
      <w:r w:rsidR="000663AD" w:rsidRPr="00C01462">
        <w:rPr>
          <w:rFonts w:ascii="Cambria Math" w:hAnsi="Cambria Math" w:cs="Cambria Math"/>
        </w:rPr>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loss from OH, Cl, soil uptake, and stratospheric oxidation is described in </w:t>
      </w:r>
      <w:proofErr w:type="spellStart"/>
      <w:r w:rsidRPr="00C01462">
        <w:t>Maasakkers</w:t>
      </w:r>
      <w:proofErr w:type="spellEnd"/>
      <w:r w:rsidRPr="00C01462">
        <w:t xml:space="preserve"> et al. (2019). Initial conditions for January 2019 and 3-hourly boundary conditions for the year are given by the methane concentration fields from the global 2° </w:t>
      </w:r>
      <w:r w:rsidRPr="00C01462">
        <w:rPr>
          <w:rFonts w:ascii="Cambria Math" w:hAnsi="Cambria Math" w:cs="Cambria Math"/>
        </w:rPr>
        <w:t>⨉</w:t>
      </w:r>
      <w:r w:rsidRPr="00C01462">
        <w:t xml:space="preserve"> 2.5° TROPOMI inversion conducted by Qu et al. (2021). These concentration fields are unbiased with respect to the global TROPOMI data and are informed predominantly by observations outside of North America.</w:t>
      </w:r>
    </w:p>
    <w:p w14:paraId="15DF7036" w14:textId="1D0F2059" w:rsidR="00112218" w:rsidRPr="00C01462" w:rsidRDefault="00112218"/>
    <w:p w14:paraId="2D4BF24D" w14:textId="49249642" w:rsidR="00D8280E" w:rsidRPr="00C01462" w:rsidRDefault="00D8280E" w:rsidP="00D8280E">
      <w:r w:rsidRPr="00C01462">
        <w:t>We validate GEOS-Chem by comparison to surface and aircraft methane observations for May 2018. We use observations from the Atmospheric Tomography Mission (</w:t>
      </w:r>
      <w:proofErr w:type="spellStart"/>
      <w:r w:rsidRPr="00C01462">
        <w:t>ATom</w:t>
      </w:r>
      <w:proofErr w:type="spellEnd"/>
      <w:r w:rsidRPr="00C01462">
        <w:t>), the Atmospheric Carbon and Transport – America (ACT-America) campaign, and the NOAA Observation Package (</w:t>
      </w:r>
      <w:proofErr w:type="spellStart"/>
      <w:r w:rsidRPr="00C01462">
        <w:t>ObsPack</w:t>
      </w:r>
      <w:proofErr w:type="spellEnd"/>
      <w:r w:rsidRPr="00C01462">
        <w:t xml:space="preserve">). We find a mean model-observation bias of 6.36 </w:t>
      </w:r>
      <w:r w:rsidR="00132DAA" w:rsidRPr="00C01462">
        <w:t xml:space="preserve">ppb </w:t>
      </w:r>
      <w:r w:rsidRPr="00C01462">
        <w:t xml:space="preserve">and a correlation of R = 0.45. We also find no significant latitudinal bias in the model-observation difference, although the </w:t>
      </w:r>
      <w:r w:rsidR="00A440C1" w:rsidRPr="00C01462">
        <w:t xml:space="preserve">surface and aircraft </w:t>
      </w:r>
      <w:r w:rsidRPr="00C01462">
        <w:t>observations provide significant coverage only between 30°N and 50°N.</w:t>
      </w:r>
    </w:p>
    <w:p w14:paraId="5067114A" w14:textId="77777777" w:rsidR="00D8280E" w:rsidRPr="00C01462" w:rsidRDefault="00D8280E"/>
    <w:p w14:paraId="08CA5A17" w14:textId="666A0076" w:rsidR="00B44582" w:rsidRPr="00C01462" w:rsidRDefault="00E334F2">
      <w:r w:rsidRPr="00C01462">
        <w:rPr>
          <w:b/>
          <w:bCs/>
        </w:rPr>
        <w:t>2.</w:t>
      </w:r>
      <w:r w:rsidR="00B11F0C" w:rsidRPr="00C01462">
        <w:rPr>
          <w:b/>
          <w:bCs/>
        </w:rPr>
        <w:t>4</w:t>
      </w:r>
      <w:r w:rsidR="00B44582" w:rsidRPr="00C01462">
        <w:rPr>
          <w:b/>
          <w:bCs/>
        </w:rPr>
        <w:t xml:space="preserve"> TROPOMI observations</w:t>
      </w:r>
    </w:p>
    <w:p w14:paraId="1488FB63" w14:textId="7C8682D2" w:rsidR="00987FB3" w:rsidRPr="00C01462" w:rsidRDefault="0002114F">
      <w:r w:rsidRPr="00C01462">
        <w:t xml:space="preserve">The Tropospheric Monitoring Instrument (TROPOMI) aboard the Sentinel-5 Precursor satellite has provided </w:t>
      </w:r>
      <w:r w:rsidR="00806DFF" w:rsidRPr="00C01462">
        <w:t xml:space="preserve">daily, global </w:t>
      </w:r>
      <w:r w:rsidR="00FD3469" w:rsidRPr="00C01462">
        <w:t>observations of dry column methane mixing ratios at 7</w:t>
      </w:r>
      <w:r w:rsidR="00AB5662" w:rsidRPr="00C01462">
        <w:t xml:space="preserve"> </w:t>
      </w:r>
      <w:r w:rsidR="00AB5662" w:rsidRPr="00C01462">
        <w:rPr>
          <w:rFonts w:ascii="Cambria Math" w:hAnsi="Cambria Math" w:cs="Cambria Math"/>
        </w:rPr>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AB5662" w:rsidRPr="00C01462">
        <w:rPr>
          <w:rFonts w:ascii="Cambria Math" w:hAnsi="Cambria Math" w:cs="Cambria Math"/>
        </w:rPr>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at 2.3 </w:t>
      </w:r>
      <w:proofErr w:type="spellStart"/>
      <w:r w:rsidR="00662572" w:rsidRPr="00C01462">
        <w:t>μm</w:t>
      </w:r>
      <w:proofErr w:type="spellEnd"/>
      <w:r w:rsidR="00662572" w:rsidRPr="00C01462">
        <w:t xml:space="preserve"> from a</w:t>
      </w:r>
      <w:r w:rsidR="00FD3469" w:rsidRPr="00C01462">
        <w:t xml:space="preserve"> sun-synchronous orbit with a local overpass time of 13:30</w:t>
      </w:r>
      <w:r w:rsidR="00662572" w:rsidRPr="00C01462">
        <w:t xml:space="preserve"> </w:t>
      </w:r>
      <w:r w:rsidR="00FD3469" w:rsidRPr="00C01462">
        <w:t>(</w:t>
      </w:r>
      <w:proofErr w:type="spellStart"/>
      <w:r w:rsidR="00FD3469" w:rsidRPr="00C01462">
        <w:t>Veefkind</w:t>
      </w:r>
      <w:proofErr w:type="spellEnd"/>
      <w:r w:rsidR="00FD3469" w:rsidRPr="00C01462">
        <w:t xml:space="preserve"> et al. 2012). TROPOMI </w:t>
      </w:r>
      <w:r w:rsidR="00D8280E" w:rsidRPr="00C01462">
        <w:t>retrieves methane concentrations using</w:t>
      </w:r>
      <w:r w:rsidR="00FD3469" w:rsidRPr="00C01462">
        <w:t xml:space="preserve"> a full-physics retrieval</w:t>
      </w:r>
      <w:r w:rsidR="001765E5" w:rsidRPr="00C01462">
        <w:t>, which</w:t>
      </w:r>
      <w:r w:rsidR="00FD3469" w:rsidRPr="00C01462">
        <w:t xml:space="preserve"> is limited by cloud cover, variable topography, albedo, and high aerosol loading</w:t>
      </w:r>
      <w:r w:rsidR="00AB5662" w:rsidRPr="00C01462">
        <w:t xml:space="preserve"> (citation)</w:t>
      </w:r>
      <w:r w:rsidR="00FD3469" w:rsidRPr="00C01462">
        <w:t xml:space="preserve">. As a result, TROPOMI has a </w:t>
      </w:r>
      <w:commentRangeStart w:id="3"/>
      <w:r w:rsidR="00FD3469" w:rsidRPr="00C01462">
        <w:t>xx</w:t>
      </w:r>
      <w:commentRangeEnd w:id="3"/>
      <w:r w:rsidR="00FB7ECB" w:rsidRPr="00C01462">
        <w:rPr>
          <w:rStyle w:val="CommentReference"/>
        </w:rPr>
        <w:commentReference w:id="3"/>
      </w:r>
      <w:r w:rsidR="00FD3469" w:rsidRPr="00C01462">
        <w:t xml:space="preserve">% retrieval rate over North America for 2019. </w:t>
      </w:r>
      <w:r w:rsidR="001765E5" w:rsidRPr="00C01462">
        <w:t xml:space="preserve">We use </w:t>
      </w:r>
      <w:r w:rsidR="008F0BC7" w:rsidRPr="00C01462">
        <w:t>the</w:t>
      </w:r>
      <w:r w:rsidR="001765E5" w:rsidRPr="00C01462">
        <w:t xml:space="preserve"> retrieval described by </w:t>
      </w:r>
      <w:proofErr w:type="spellStart"/>
      <w:r w:rsidR="001765E5" w:rsidRPr="00C01462">
        <w:t>Lorente</w:t>
      </w:r>
      <w:proofErr w:type="spellEnd"/>
      <w:r w:rsidR="001765E5" w:rsidRPr="00C01462">
        <w:t xml:space="preserv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193E9456" w14:textId="3777B05A" w:rsidR="00784266" w:rsidRPr="00C01462" w:rsidRDefault="001F7B45">
      <w:r w:rsidRPr="00C01462">
        <w:t xml:space="preserve">We </w:t>
      </w:r>
      <w:r w:rsidR="008E0E09" w:rsidRPr="00C01462">
        <w:t>evaluate</w:t>
      </w:r>
      <w:r w:rsidRPr="00C01462">
        <w:t xml:space="preserve"> the TROPOMI data</w:t>
      </w:r>
      <w:r w:rsidR="007402E1" w:rsidRPr="00C01462">
        <w:t xml:space="preserve"> </w:t>
      </w:r>
      <w:r w:rsidR="008E0E09" w:rsidRPr="00C01462">
        <w:t>using</w:t>
      </w:r>
      <w:r w:rsidRPr="00C01462">
        <w:t xml:space="preserve"> methane </w:t>
      </w:r>
      <w:r w:rsidR="009C13BF" w:rsidRPr="00C01462">
        <w:t>observations from</w:t>
      </w:r>
      <w:r w:rsidRPr="00C01462">
        <w:t xml:space="preserve"> </w:t>
      </w:r>
      <w:r w:rsidR="00784266" w:rsidRPr="00C01462">
        <w:t xml:space="preserve">the Greenhouse gases Observing </w:t>
      </w:r>
      <w:proofErr w:type="spellStart"/>
      <w:r w:rsidR="00784266" w:rsidRPr="00C01462">
        <w:t>SATellite</w:t>
      </w:r>
      <w:proofErr w:type="spellEnd"/>
      <w:r w:rsidR="00784266" w:rsidRPr="00C01462">
        <w:t xml:space="preserve"> (GOSAT)</w:t>
      </w:r>
      <w:r w:rsidR="00507010" w:rsidRPr="00C01462">
        <w:t xml:space="preserve">. </w:t>
      </w:r>
      <w:r w:rsidR="00662572" w:rsidRPr="00C01462">
        <w:t xml:space="preserve">Launched in 2009, </w:t>
      </w:r>
      <w:r w:rsidR="00507010" w:rsidRPr="00C01462">
        <w:t>GOSAT</w:t>
      </w:r>
      <w:r w:rsidR="009C13BF" w:rsidRPr="00C01462">
        <w:t xml:space="preserve"> </w:t>
      </w:r>
      <w:r w:rsidR="00662572" w:rsidRPr="00C01462">
        <w:t>provides</w:t>
      </w:r>
      <w:r w:rsidR="00B17D47" w:rsidRPr="00C01462">
        <w:t xml:space="preserve"> high-precision observations</w:t>
      </w:r>
      <w:r w:rsidR="008E7712" w:rsidRPr="00C01462">
        <w:t xml:space="preserve"> </w:t>
      </w:r>
      <w:r w:rsidR="00B17D47" w:rsidRPr="00C01462">
        <w:t xml:space="preserve">of </w:t>
      </w:r>
      <w:r w:rsidR="008E7712" w:rsidRPr="00C01462">
        <w:t>methane in 10 km diameter nadir pixels</w:t>
      </w:r>
      <w:r w:rsidR="00B17D47" w:rsidRPr="00C01462">
        <w:t xml:space="preserve"> separated by ~250 km along- and cross-track. GOSAT </w:t>
      </w:r>
      <w:r w:rsidR="00662572" w:rsidRPr="00C01462">
        <w:t xml:space="preserve">measures backscattered solar radiation at 1.6 </w:t>
      </w:r>
      <w:proofErr w:type="spellStart"/>
      <w:r w:rsidR="00662572" w:rsidRPr="00C01462">
        <w:t>μm</w:t>
      </w:r>
      <w:proofErr w:type="spellEnd"/>
      <w:r w:rsidR="00662572" w:rsidRPr="00C01462">
        <w:t xml:space="preserve"> with a</w:t>
      </w:r>
      <w:r w:rsidR="00B17D47" w:rsidRPr="00C01462">
        <w:t xml:space="preserve"> local overpass time of about 13:00 </w:t>
      </w:r>
      <w:r w:rsidR="00662572" w:rsidRPr="00C01462">
        <w:t>and</w:t>
      </w:r>
      <w:r w:rsidR="00B17D47" w:rsidRPr="00C01462">
        <w:t xml:space="preserve"> a three-day return tim</w:t>
      </w:r>
      <w:r w:rsidR="00662572" w:rsidRPr="00C01462">
        <w:t>e</w:t>
      </w:r>
      <w:r w:rsidR="008E0E09" w:rsidRPr="00C01462">
        <w:t xml:space="preserve">. </w:t>
      </w:r>
      <w:r w:rsidR="00B17D47" w:rsidRPr="00C01462">
        <w:t>We use the GOSAT methane retrieval version 9.0 of the University of Leicester obtained by the CO</w:t>
      </w:r>
      <w:r w:rsidR="00B17D47" w:rsidRPr="00C01462">
        <w:rPr>
          <w:vertAlign w:val="subscript"/>
        </w:rPr>
        <w:t>2</w:t>
      </w:r>
      <w:r w:rsidR="00B17D47" w:rsidRPr="00C01462">
        <w:t xml:space="preserve"> proxy method</w:t>
      </w:r>
      <w:r w:rsidR="00C47960" w:rsidRPr="00C01462">
        <w:t xml:space="preserve"> (Parker and </w:t>
      </w:r>
      <w:proofErr w:type="spellStart"/>
      <w:r w:rsidR="00C47960" w:rsidRPr="00C01462">
        <w:t>Boesch</w:t>
      </w:r>
      <w:proofErr w:type="spellEnd"/>
      <w:r w:rsidR="00C47960" w:rsidRPr="00C01462">
        <w:t>, 2020, last accessed 29 December 2020). We use only high</w:t>
      </w:r>
      <w:r w:rsidR="00E8511B" w:rsidRPr="00C01462">
        <w:t>-</w:t>
      </w:r>
      <w:r w:rsidR="00C47960" w:rsidRPr="00C01462">
        <w:t xml:space="preserve">quality retrievals as indicated by the quality </w:t>
      </w:r>
      <w:r w:rsidR="00C47960" w:rsidRPr="00C01462">
        <w:lastRenderedPageBreak/>
        <w:t xml:space="preserve">assessment flag. </w:t>
      </w:r>
      <w:r w:rsidR="008E0E09" w:rsidRPr="00C01462">
        <w:t xml:space="preserve">Due to the sparse coverage of GOSAT, we also </w:t>
      </w:r>
      <w:r w:rsidR="00662572" w:rsidRPr="00C01462">
        <w:t>evaluate the</w:t>
      </w:r>
      <w:r w:rsidR="008E0E09" w:rsidRPr="00C01462">
        <w:t xml:space="preserve"> TROPOMI data </w:t>
      </w:r>
      <w:r w:rsidR="00662572" w:rsidRPr="00C01462">
        <w:t>using</w:t>
      </w:r>
      <w:r w:rsidR="008E0E09" w:rsidRPr="00C01462">
        <w:t xml:space="preserve"> a GEOS-Chem simulation run with the prior emissions</w:t>
      </w:r>
      <w:r w:rsidR="00662572" w:rsidRPr="00C01462">
        <w:t>.</w:t>
      </w:r>
    </w:p>
    <w:p w14:paraId="3A003372" w14:textId="34C26A91" w:rsidR="00E8511B" w:rsidRPr="00C01462" w:rsidRDefault="00E8511B"/>
    <w:p w14:paraId="1F5E80B6" w14:textId="77777777" w:rsidR="00190FA3" w:rsidRPr="00C01462" w:rsidRDefault="00E8511B">
      <w:r w:rsidRPr="00C01462">
        <w:t xml:space="preserve">We compare average seasonal TROPOMI and GOSAT methane observations on </w:t>
      </w:r>
      <w:r w:rsidR="005C76E6" w:rsidRPr="00C01462">
        <w:t xml:space="preserve">a </w:t>
      </w:r>
      <w:r w:rsidR="00A61A17" w:rsidRPr="00C01462">
        <w:t>2</w:t>
      </w:r>
      <w:r w:rsidRPr="00C01462">
        <w:t xml:space="preserve">° </w:t>
      </w:r>
      <w:r w:rsidR="000663AD" w:rsidRPr="00C01462">
        <w:rPr>
          <w:rFonts w:ascii="Cambria Math" w:hAnsi="Cambria Math" w:cs="Cambria Math"/>
        </w:rPr>
        <w:t>⨉</w:t>
      </w:r>
      <w:r w:rsidRPr="00C01462">
        <w:t xml:space="preserve"> </w:t>
      </w:r>
      <w:r w:rsidR="00A61A17" w:rsidRPr="00C01462">
        <w:t>2</w:t>
      </w:r>
      <w:r w:rsidRPr="00C01462">
        <w:t>°</w:t>
      </w:r>
      <w:r w:rsidR="005C76E6" w:rsidRPr="00C01462">
        <w:t xml:space="preserve"> grid </w:t>
      </w:r>
      <w:r w:rsidR="00A61A17" w:rsidRPr="00C01462">
        <w:t>following</w:t>
      </w:r>
      <w:r w:rsidR="001B5212" w:rsidRPr="00C01462">
        <w:t xml:space="preserve"> </w:t>
      </w:r>
      <w:proofErr w:type="spellStart"/>
      <w:r w:rsidR="001B5212" w:rsidRPr="00C01462">
        <w:t>Lorente</w:t>
      </w:r>
      <w:proofErr w:type="spellEnd"/>
      <w:r w:rsidR="001B5212" w:rsidRPr="00C01462">
        <w:t xml:space="preserve"> et al. (2021</w:t>
      </w:r>
      <w:r w:rsidR="00A61A17" w:rsidRPr="00C01462">
        <w:t>)</w:t>
      </w:r>
      <w:r w:rsidR="005C44B9" w:rsidRPr="00C01462">
        <w:t>. We find large regional biases</w:t>
      </w:r>
      <w:r w:rsidR="00D767D2" w:rsidRPr="00C01462">
        <w:t xml:space="preserve">, defined as </w:t>
      </w:r>
      <w:r w:rsidR="005C44B9" w:rsidRPr="00C01462">
        <w:t xml:space="preserve">the standard deviation of the </w:t>
      </w:r>
      <w:r w:rsidR="008F0BC7" w:rsidRPr="00C01462">
        <w:t xml:space="preserve">mean </w:t>
      </w:r>
      <w:r w:rsidR="005C44B9" w:rsidRPr="00C01462">
        <w:t>TROPOMI – GOSAT difference</w:t>
      </w:r>
      <w:r w:rsidR="00D767D2" w:rsidRPr="00C01462">
        <w:t>,</w:t>
      </w:r>
      <w:r w:rsidR="005C44B9" w:rsidRPr="00C01462">
        <w:t xml:space="preserve"> of between 15 ppb </w:t>
      </w:r>
      <w:r w:rsidR="00D767D2" w:rsidRPr="00C01462">
        <w:t xml:space="preserve">(summer) </w:t>
      </w:r>
      <w:r w:rsidR="005C44B9" w:rsidRPr="00C01462">
        <w:t>and 20 ppb</w:t>
      </w:r>
      <w:r w:rsidR="00D767D2" w:rsidRPr="00C01462">
        <w:t xml:space="preserve"> (winter)</w:t>
      </w:r>
      <w:r w:rsidR="008E0E09" w:rsidRPr="00C01462">
        <w:t>. The winter-time biases are likely due</w:t>
      </w:r>
      <w:r w:rsidR="003569D5" w:rsidRPr="00C01462">
        <w:t xml:space="preserve"> to snow- and ice-cover</w:t>
      </w:r>
      <w:r w:rsidR="00D767D2" w:rsidRPr="00C01462">
        <w:t>ed scenes</w:t>
      </w:r>
      <w:r w:rsidR="003569D5" w:rsidRPr="00C01462">
        <w:t xml:space="preserve"> (</w:t>
      </w:r>
      <w:proofErr w:type="spellStart"/>
      <w:r w:rsidR="003569D5" w:rsidRPr="00C01462">
        <w:t>Lorente</w:t>
      </w:r>
      <w:proofErr w:type="spellEnd"/>
      <w:r w:rsidR="003569D5" w:rsidRPr="00C01462">
        <w:t xml:space="preserve"> et al. 2021). We </w:t>
      </w:r>
      <w:r w:rsidR="008E0E09" w:rsidRPr="00C01462">
        <w:t xml:space="preserve">identify </w:t>
      </w:r>
      <w:r w:rsidR="00D767D2" w:rsidRPr="00C01462">
        <w:t>these</w:t>
      </w:r>
      <w:r w:rsidR="008E0E09" w:rsidRPr="00C01462">
        <w:t xml:space="preserve"> scenes using</w:t>
      </w:r>
      <w:r w:rsidR="003569D5" w:rsidRPr="00C01462">
        <w:t xml:space="preserve"> blended albedo, an empirical parameter that </w:t>
      </w:r>
      <w:r w:rsidR="00FA3FAA" w:rsidRPr="00C01462">
        <w:t>combines</w:t>
      </w:r>
      <w:r w:rsidR="003569D5" w:rsidRPr="00C01462">
        <w:t xml:space="preserve"> shortwave and near-infrared albedo and that correlates with snow- and ice-cover when greater than about 1 (Wunch et al. 2011). We remove scenes with blended albedo &gt; 0.75 in fall, winter, and spring. </w:t>
      </w:r>
      <w:r w:rsidR="00667142" w:rsidRPr="00C01462">
        <w:t xml:space="preserve">We </w:t>
      </w:r>
      <w:r w:rsidR="001568F5" w:rsidRPr="00C01462">
        <w:t xml:space="preserve">also </w:t>
      </w:r>
      <w:r w:rsidR="008E0E09" w:rsidRPr="00C01462">
        <w:t>remove scenes</w:t>
      </w:r>
      <w:r w:rsidR="003569D5" w:rsidRPr="00C01462">
        <w:t xml:space="preserve"> </w:t>
      </w:r>
      <w:r w:rsidR="00667142" w:rsidRPr="00C01462">
        <w:t xml:space="preserve">with shortwave albedo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 2020. These scenes</w:t>
      </w:r>
      <w:r w:rsidR="003569D5" w:rsidRPr="00C01462">
        <w:t xml:space="preserve"> </w:t>
      </w:r>
      <w:r w:rsidR="00544FE5" w:rsidRPr="00C01462">
        <w:t xml:space="preserve">exhibit large prior GEOS-Chem – TROPOMI biases and disproportionately </w:t>
      </w:r>
      <w:r w:rsidR="003569D5" w:rsidRPr="00C01462">
        <w:t>account for the remaining unphysical TROPOMI observations (XCH4 &lt; 1700</w:t>
      </w:r>
      <w:r w:rsidR="00667142" w:rsidRPr="00C01462">
        <w:t xml:space="preserve"> ppb</w:t>
      </w:r>
      <w:r w:rsidR="003569D5" w:rsidRPr="00C01462">
        <w:t xml:space="preserve">). </w:t>
      </w:r>
      <w:r w:rsidR="001568F5" w:rsidRPr="00C01462">
        <w:t xml:space="preserve">Finally, we </w:t>
      </w:r>
      <w:r w:rsidR="00544FE5" w:rsidRPr="00C01462">
        <w:t>remove</w:t>
      </w:r>
      <w:r w:rsidR="001568F5" w:rsidRPr="00C01462">
        <w:t xml:space="preserve"> </w:t>
      </w:r>
      <w:r w:rsidR="00544FE5" w:rsidRPr="00C01462">
        <w:t>scenes</w:t>
      </w:r>
      <w:r w:rsidR="001568F5" w:rsidRPr="00C01462">
        <w:t xml:space="preserve"> north of 50°N in winter</w:t>
      </w:r>
      <w:r w:rsidR="00544FE5" w:rsidRPr="00C01462">
        <w:t>, which</w:t>
      </w:r>
      <w:r w:rsidR="00FA3FAA" w:rsidRPr="00C01462">
        <w:t xml:space="preserve"> are likely to correspond with snow- and ice-cover</w:t>
      </w:r>
      <w:r w:rsidR="00544FE5" w:rsidRPr="00C01462">
        <w:t xml:space="preserve"> and which exhibit anomalous prior GEOS-Chem – TROPOMI differences</w:t>
      </w:r>
      <w:r w:rsidR="001568F5" w:rsidRPr="00C01462">
        <w:t xml:space="preserve">. </w:t>
      </w:r>
    </w:p>
    <w:p w14:paraId="4FA4931F" w14:textId="77777777" w:rsidR="00190FA3" w:rsidRPr="00C01462" w:rsidRDefault="00190FA3"/>
    <w:p w14:paraId="46ADEA25" w14:textId="5A81D0AF" w:rsidR="008F0BC7" w:rsidRPr="00C01462" w:rsidRDefault="00190FA3">
      <w:r w:rsidRPr="00C01462">
        <w:t>The applied filters increase the GOSAT-TROPOMI correlation in all seasons, with the largest increases in winter and spring (from R</w:t>
      </w:r>
      <w:r w:rsidRPr="00C01462">
        <w:rPr>
          <w:vertAlign w:val="superscript"/>
        </w:rPr>
        <w:t>2</w:t>
      </w:r>
      <w:r w:rsidRPr="00C01462">
        <w:t xml:space="preserve"> = 0.20 to 0.30 and from R</w:t>
      </w:r>
      <w:r w:rsidRPr="00C01462">
        <w:rPr>
          <w:vertAlign w:val="superscript"/>
        </w:rPr>
        <w:t>2</w:t>
      </w:r>
      <w:r w:rsidRPr="00C01462">
        <w:t xml:space="preserve"> = 0.32 to R</w:t>
      </w:r>
      <w:r w:rsidRPr="00C01462">
        <w:rPr>
          <w:vertAlign w:val="superscript"/>
        </w:rPr>
        <w:t>2</w:t>
      </w:r>
      <w:r w:rsidRPr="00C01462">
        <w:t xml:space="preserve"> = 0.49, respectively), when snow- and ice-cover are most likely to impact the TROPOMI retrieval. Seasonal regional biases decrease by between 7% and 21% and are in all cases less than the standard deviation of both the TROPOMI and GOSAT data. The mean TROPOMI – GOSAT </w:t>
      </w:r>
      <w:commentRangeStart w:id="4"/>
      <w:r w:rsidRPr="00C01462">
        <w:t xml:space="preserve">biases </w:t>
      </w:r>
      <w:commentRangeEnd w:id="4"/>
      <w:r w:rsidRPr="00C01462">
        <w:rPr>
          <w:rStyle w:val="CommentReference"/>
        </w:rPr>
        <w:commentReference w:id="4"/>
      </w:r>
      <w:r w:rsidRPr="00C01462">
        <w:t xml:space="preserve">are also consistent with the -10.3 ± 16.8 ppb bias found by </w:t>
      </w:r>
      <w:proofErr w:type="spellStart"/>
      <w:r w:rsidRPr="00C01462">
        <w:t>Lorente</w:t>
      </w:r>
      <w:proofErr w:type="spellEnd"/>
      <w:r w:rsidRPr="00C01462">
        <w:t xml:space="preserve"> et al. (2021).</w:t>
      </w:r>
    </w:p>
    <w:p w14:paraId="6C6CAB8B" w14:textId="77777777" w:rsidR="00190FA3" w:rsidRPr="00C01462" w:rsidRDefault="00190FA3"/>
    <w:p w14:paraId="71AAADE6" w14:textId="2E429AA8" w:rsidR="00C42943" w:rsidRPr="00C01462" w:rsidRDefault="00190FA3">
      <w:r w:rsidRPr="00C01462">
        <w:t>After filtering the data, w</w:t>
      </w:r>
      <w:r w:rsidR="008F0BC7" w:rsidRPr="00C01462">
        <w:t xml:space="preserve">e find a residual </w:t>
      </w:r>
      <w:proofErr w:type="spellStart"/>
      <w:r w:rsidR="008F0BC7" w:rsidRPr="00C01462">
        <w:t>aseasonal</w:t>
      </w:r>
      <w:proofErr w:type="spellEnd"/>
      <w:r w:rsidR="008F0BC7" w:rsidRPr="00C01462">
        <w:t xml:space="preserve"> latitudinal bias in the TROPOMI – GEOS-Chem difference. This bias has been noted and corrected previously by Turner et al. (</w:t>
      </w:r>
      <w:proofErr w:type="spellStart"/>
      <w:r w:rsidR="008F0BC7" w:rsidRPr="00C01462">
        <w:t>xxxx</w:t>
      </w:r>
      <w:proofErr w:type="spellEnd"/>
      <w:r w:rsidR="008F0BC7" w:rsidRPr="00C01462">
        <w:t xml:space="preserve">), </w:t>
      </w:r>
      <w:proofErr w:type="spellStart"/>
      <w:r w:rsidR="008F0BC7" w:rsidRPr="00C01462">
        <w:t>Maasakkers</w:t>
      </w:r>
      <w:proofErr w:type="spellEnd"/>
      <w:r w:rsidR="008F0BC7" w:rsidRPr="00C01462">
        <w:t xml:space="preserve"> et al. (</w:t>
      </w:r>
      <w:proofErr w:type="spellStart"/>
      <w:r w:rsidR="008F0BC7" w:rsidRPr="00C01462">
        <w:t>xxxx</w:t>
      </w:r>
      <w:proofErr w:type="spellEnd"/>
      <w:r w:rsidR="008F0BC7" w:rsidRPr="00C01462">
        <w:t>), and Zhang et al. (</w:t>
      </w:r>
      <w:proofErr w:type="spellStart"/>
      <w:r w:rsidR="008F0BC7" w:rsidRPr="00C01462">
        <w:t>xxxx</w:t>
      </w:r>
      <w:proofErr w:type="spellEnd"/>
      <w:r w:rsidR="008F0BC7" w:rsidRPr="00C01462">
        <w:t xml:space="preserve">). </w:t>
      </w:r>
      <w:r w:rsidR="008F0BC7" w:rsidRPr="00C01462">
        <w:rPr>
          <w:rFonts w:eastAsiaTheme="minorEastAsia"/>
        </w:rPr>
        <w:t>We</w:t>
      </w:r>
      <w:r w:rsidR="008F0BC7" w:rsidRPr="00C01462">
        <w:t xml:space="preserve"> define a latitudinal correction term </w:t>
      </w:r>
      <m:oMath>
        <m:r>
          <m:rPr>
            <m:sty m:val="p"/>
          </m:rPr>
          <w:rPr>
            <w:rFonts w:ascii="Cambria Math" w:hAnsi="Cambria Math"/>
          </w:rPr>
          <m:t>ξ</m:t>
        </m:r>
      </m:oMath>
      <w:r w:rsidR="008F0BC7" w:rsidRPr="00C01462">
        <w:rPr>
          <w:rFonts w:eastAsiaTheme="minorEastAsia"/>
          <w:iCs/>
        </w:rPr>
        <w:t xml:space="preserve"> (ppb)</w:t>
      </w:r>
      <w:r w:rsidR="008F0BC7" w:rsidRPr="00C01462">
        <w:t xml:space="preserve"> for the GEOS-Chem – TROPOMI difference using </w:t>
      </w:r>
      <w:r w:rsidR="001B317B" w:rsidRPr="00C01462">
        <w:t>a</w:t>
      </w:r>
      <w:r w:rsidR="008F0BC7" w:rsidRPr="00C01462">
        <w:t xml:space="preserve"> first-order polynomial</w:t>
      </w:r>
      <w:r w:rsidR="001B317B" w:rsidRPr="00C01462">
        <w:t xml:space="preserve">. </w:t>
      </w:r>
      <w:r w:rsidR="00A440C1" w:rsidRPr="00C01462">
        <w:t xml:space="preserve">For the inversion ensemble members that use scaled </w:t>
      </w:r>
      <w:r w:rsidR="00413DF3" w:rsidRPr="00C01462">
        <w:t>wetland</w:t>
      </w:r>
      <w:r w:rsidR="00A440C1" w:rsidRPr="00C01462">
        <w:t xml:space="preserve"> emissions, we find </w:t>
      </w:r>
      <m:oMath>
        <m:r>
          <m:rPr>
            <m:sty m:val="p"/>
          </m:rPr>
          <w:rPr>
            <w:rFonts w:ascii="Cambria Math" w:hAnsi="Cambria Math"/>
          </w:rPr>
          <m:t>ξ</m:t>
        </m:r>
        <m:r>
          <w:rPr>
            <w:rFonts w:ascii="Cambria Math" w:hAnsi="Cambria Math"/>
          </w:rPr>
          <m:t xml:space="preserve"> = -4.95+ 0.36</m:t>
        </m:r>
        <m:r>
          <m:rPr>
            <m:sty m:val="p"/>
          </m:rPr>
          <w:rPr>
            <w:rFonts w:ascii="Cambria Math" w:hAnsi="Cambria Math"/>
          </w:rPr>
          <m:t>θ</m:t>
        </m:r>
      </m:oMath>
      <w:r w:rsidR="00A440C1" w:rsidRPr="00C01462">
        <w:t xml:space="preserve">, </w:t>
      </w:r>
      <w:r w:rsidR="008F0BC7" w:rsidRPr="00C01462">
        <w:t xml:space="preserve">where </w:t>
      </w:r>
      <m:oMath>
        <m:r>
          <m:rPr>
            <m:sty m:val="p"/>
          </m:rPr>
          <w:rPr>
            <w:rFonts w:ascii="Cambria Math" w:hAnsi="Cambria Math"/>
          </w:rPr>
          <m:t>θ</m:t>
        </m:r>
      </m:oMath>
      <w:r w:rsidR="008F0BC7" w:rsidRPr="00C01462">
        <w:rPr>
          <w:rFonts w:eastAsiaTheme="minorEastAsia"/>
        </w:rPr>
        <w:t xml:space="preserve"> is the degrees latitude. </w:t>
      </w:r>
      <w:r w:rsidR="00A440C1" w:rsidRPr="00C01462">
        <w:rPr>
          <w:rFonts w:eastAsiaTheme="minorEastAsia"/>
        </w:rPr>
        <w:t xml:space="preserve">For the members that use the </w:t>
      </w:r>
      <w:proofErr w:type="spellStart"/>
      <w:r w:rsidR="006958B6" w:rsidRPr="00C01462">
        <w:rPr>
          <w:rFonts w:eastAsiaTheme="minorEastAsia"/>
        </w:rPr>
        <w:t>subsetted</w:t>
      </w:r>
      <w:proofErr w:type="spellEnd"/>
      <w:r w:rsidR="00A440C1" w:rsidRPr="00C01462">
        <w:rPr>
          <w:rFonts w:eastAsiaTheme="minorEastAsia"/>
        </w:rPr>
        <w:t xml:space="preserve"> </w:t>
      </w:r>
      <w:r w:rsidR="00413DF3" w:rsidRPr="00C01462">
        <w:rPr>
          <w:rFonts w:eastAsiaTheme="minorEastAsia"/>
        </w:rPr>
        <w:t>wetland emissions</w:t>
      </w:r>
      <w:r w:rsidR="00A440C1" w:rsidRPr="00C01462">
        <w:rPr>
          <w:rFonts w:eastAsiaTheme="minorEastAsia"/>
        </w:rPr>
        <w:t xml:space="preserve">, we find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A440C1" w:rsidRPr="00C01462">
        <w:rPr>
          <w:rFonts w:eastAsiaTheme="minorEastAsia"/>
        </w:rPr>
        <w:t xml:space="preserve">. We also </w:t>
      </w:r>
      <w:r w:rsidR="00146D72" w:rsidRPr="00C01462">
        <w:rPr>
          <w:rFonts w:eastAsiaTheme="minorEastAsia"/>
        </w:rPr>
        <w:t xml:space="preserve">conduct </w:t>
      </w:r>
      <w:r w:rsidR="00A440C1" w:rsidRPr="00C01462">
        <w:rPr>
          <w:rFonts w:eastAsiaTheme="minorEastAsia"/>
        </w:rPr>
        <w:t>s</w:t>
      </w:r>
      <w:r w:rsidR="00146D72" w:rsidRPr="00C01462">
        <w:rPr>
          <w:rFonts w:eastAsiaTheme="minorEastAsia"/>
        </w:rPr>
        <w:t>ensitivity test</w:t>
      </w:r>
      <w:r w:rsidR="00A440C1" w:rsidRPr="00C01462">
        <w:rPr>
          <w:rFonts w:eastAsiaTheme="minorEastAsia"/>
        </w:rPr>
        <w:t>s</w:t>
      </w:r>
      <w:r w:rsidR="00146D72" w:rsidRPr="00C01462">
        <w:rPr>
          <w:rFonts w:eastAsiaTheme="minorEastAsia"/>
        </w:rPr>
        <w:t xml:space="preserve"> </w:t>
      </w:r>
      <w:r w:rsidR="00A440C1" w:rsidRPr="00C01462">
        <w:rPr>
          <w:rFonts w:eastAsiaTheme="minorEastAsia"/>
        </w:rPr>
        <w:t xml:space="preserve">without </w:t>
      </w:r>
      <w:r w:rsidR="00146D72" w:rsidRPr="00C01462">
        <w:rPr>
          <w:rFonts w:eastAsiaTheme="minorEastAsia"/>
        </w:rPr>
        <w:t>the latitudinal correction</w:t>
      </w:r>
      <w:r w:rsidR="00A440C1" w:rsidRPr="00C01462">
        <w:rPr>
          <w:rFonts w:eastAsiaTheme="minorEastAsia"/>
        </w:rPr>
        <w:t>. In these cases, we remove a mean bias of 8.53 ppb (scaled wetland emissions) and 9.11 ppb (</w:t>
      </w:r>
      <w:proofErr w:type="spellStart"/>
      <w:r w:rsidR="006958B6" w:rsidRPr="00C01462">
        <w:rPr>
          <w:rFonts w:eastAsiaTheme="minorEastAsia"/>
        </w:rPr>
        <w:t>subsetted</w:t>
      </w:r>
      <w:proofErr w:type="spellEnd"/>
      <w:r w:rsidR="00A440C1" w:rsidRPr="00C01462">
        <w:rPr>
          <w:rFonts w:eastAsiaTheme="minorEastAsia"/>
        </w:rPr>
        <w:t xml:space="preserve"> wetland ensemble), which we attribute to errors in the boundary conditions.</w:t>
      </w:r>
    </w:p>
    <w:p w14:paraId="5626E9C3" w14:textId="77777777" w:rsidR="00C42943" w:rsidRPr="00C01462" w:rsidRDefault="00C42943">
      <w:pPr>
        <w:rPr>
          <w:rFonts w:eastAsiaTheme="minorEastAsia"/>
        </w:rPr>
      </w:pPr>
    </w:p>
    <w:p w14:paraId="242A5CD1" w14:textId="5BEB2AC9" w:rsidR="008F0BC7" w:rsidRPr="00C01462" w:rsidRDefault="00C42943">
      <w:r w:rsidRPr="00C01462">
        <w:t>Figure 2 (top row) shows the</w:t>
      </w:r>
      <w:r w:rsidR="00037EE2" w:rsidRPr="00C01462">
        <w:t xml:space="preserve"> 2919358</w:t>
      </w:r>
      <w:r w:rsidRPr="00C01462">
        <w:t xml:space="preserve"> final observations, </w:t>
      </w:r>
      <w:proofErr w:type="spellStart"/>
      <w:r w:rsidRPr="00C01462">
        <w:t>regridded</w:t>
      </w:r>
      <w:proofErr w:type="spellEnd"/>
      <w:r w:rsidRPr="00C01462">
        <w:t xml:space="preserve"> onto the GEOS-Chem grid and averaged seasonally, that constitute our observation vector </w:t>
      </w:r>
      <w:r w:rsidRPr="00C01462">
        <w:rPr>
          <w:b/>
          <w:bCs/>
        </w:rPr>
        <w:t>y</w:t>
      </w:r>
      <w:r w:rsidRPr="00C01462">
        <w:t xml:space="preserve">. </w:t>
      </w:r>
      <w:r w:rsidR="00037EE2" w:rsidRPr="00C01462">
        <w:t>The bottom row shows the observational density. We</w:t>
      </w:r>
      <w:r w:rsidRPr="00C01462">
        <w:t xml:space="preserve"> preserve 69% of the original high-quality data and </w:t>
      </w:r>
      <w:r w:rsidR="00037EE2" w:rsidRPr="00C01462">
        <w:t>find</w:t>
      </w:r>
      <w:r w:rsidRPr="00C01462">
        <w:t xml:space="preserve"> good agreement with the prior GEOS-Chem </w:t>
      </w:r>
      <w:r w:rsidR="00037EE2" w:rsidRPr="00C01462">
        <w:t>simulation</w:t>
      </w:r>
      <w:r w:rsidRPr="00C01462">
        <w:t xml:space="preserve"> (R </w:t>
      </w:r>
      <w:r w:rsidR="003C308E" w:rsidRPr="00C01462">
        <w:t>between 0.58 and 0.60, depending on the wetland emissions prior and bias correction</w:t>
      </w:r>
      <w:r w:rsidRPr="00C01462">
        <w:t xml:space="preserve">).  </w:t>
      </w:r>
      <w:r w:rsidR="00190FA3" w:rsidRPr="00C01462">
        <w:t>We</w:t>
      </w:r>
      <w:r w:rsidR="00037EE2" w:rsidRPr="00C01462">
        <w:t xml:space="preserv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sidRPr="00C01462">
        <w:t>.</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070F10E2" w14:textId="63B5275D" w:rsidR="0093788E" w:rsidRPr="00C01462" w:rsidRDefault="00216EC7" w:rsidP="00E334F2">
      <w:pPr>
        <w:rPr>
          <w:rFonts w:eastAsiaTheme="minorEastAsia"/>
          <w:bCs/>
          <w:iCs/>
        </w:rPr>
      </w:pPr>
      <w:r w:rsidRPr="00C01462">
        <w:rPr>
          <w:rFonts w:eastAsiaTheme="minorEastAsia"/>
        </w:rPr>
        <w:t>O</w:t>
      </w:r>
      <w:r w:rsidR="008D0F19" w:rsidRPr="00C01462">
        <w:rPr>
          <w:rFonts w:eastAsiaTheme="minorEastAsia"/>
        </w:rPr>
        <w:t>bserving system</w:t>
      </w:r>
      <w:r w:rsidRPr="00C01462">
        <w:rPr>
          <w:rFonts w:eastAsiaTheme="minorEastAsia"/>
        </w:rPr>
        <w:t xml:space="preserve"> errors</w:t>
      </w:r>
      <w:r w:rsidR="008D0F19" w:rsidRPr="00C01462">
        <w:rPr>
          <w:rFonts w:eastAsiaTheme="minorEastAsia"/>
        </w:rPr>
        <w:t xml:space="preserve"> includ</w:t>
      </w:r>
      <w:r w:rsidRPr="00C01462">
        <w:rPr>
          <w:rFonts w:eastAsiaTheme="minorEastAsia"/>
        </w:rPr>
        <w:t>e</w:t>
      </w:r>
      <w:r w:rsidR="008D0F19" w:rsidRPr="00C01462">
        <w:rPr>
          <w:rFonts w:eastAsiaTheme="minorEastAsia"/>
        </w:rPr>
        <w:t xml:space="preserve"> </w:t>
      </w:r>
      <w:r w:rsidR="00F46957" w:rsidRPr="00C01462">
        <w:rPr>
          <w:rFonts w:eastAsiaTheme="minorEastAsia"/>
          <w:bCs/>
          <w:iCs/>
        </w:rPr>
        <w:t xml:space="preserve">contributions from the forward model, </w:t>
      </w:r>
      <w:r w:rsidR="00606F50" w:rsidRPr="00C01462">
        <w:rPr>
          <w:rFonts w:eastAsiaTheme="minorEastAsia"/>
          <w:bCs/>
          <w:iCs/>
        </w:rPr>
        <w:t xml:space="preserve">the </w:t>
      </w:r>
      <w:r w:rsidR="00F46957" w:rsidRPr="00C01462">
        <w:rPr>
          <w:rFonts w:eastAsiaTheme="minorEastAsia"/>
          <w:bCs/>
          <w:iCs/>
        </w:rPr>
        <w:t>instrument, and representation error</w:t>
      </w:r>
      <w:r w:rsidRPr="00C01462">
        <w:rPr>
          <w:rFonts w:eastAsiaTheme="minorEastAsia"/>
          <w:bCs/>
          <w:iCs/>
        </w:rPr>
        <w:t xml:space="preserve"> </w:t>
      </w:r>
      <w:r w:rsidRPr="00C01462">
        <w:rPr>
          <w:rFonts w:eastAsiaTheme="minorEastAsia"/>
          <w:bCs/>
          <w:iCs/>
        </w:rPr>
        <w:fldChar w:fldCharType="begin"/>
      </w:r>
      <w:r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Pr="00C01462">
        <w:rPr>
          <w:rFonts w:eastAsiaTheme="minorEastAsia"/>
          <w:bCs/>
          <w:iCs/>
        </w:rPr>
        <w:fldChar w:fldCharType="separate"/>
      </w:r>
      <w:r w:rsidRPr="00C01462">
        <w:rPr>
          <w:rFonts w:eastAsiaTheme="minorEastAsia"/>
          <w:bCs/>
          <w:iCs/>
          <w:noProof/>
        </w:rPr>
        <w:t>(Brasseur and Jacob, 2017)</w:t>
      </w:r>
      <w:r w:rsidRPr="00C01462">
        <w:rPr>
          <w:rFonts w:eastAsiaTheme="minorEastAsia"/>
          <w:bCs/>
          <w:iCs/>
        </w:rPr>
        <w:fldChar w:fldCharType="end"/>
      </w:r>
      <w:r w:rsidR="00F46957" w:rsidRPr="00C01462">
        <w:rPr>
          <w:rFonts w:eastAsiaTheme="minorEastAsia"/>
          <w:bCs/>
          <w:iCs/>
        </w:rPr>
        <w:t xml:space="preserve">. We calculate the variances using the residual error method (Heald et al. 2004). </w:t>
      </w:r>
      <w:r w:rsidR="008D0F19" w:rsidRPr="00C01462">
        <w:rPr>
          <w:rFonts w:eastAsiaTheme="minorEastAsia"/>
          <w:bCs/>
          <w:iCs/>
        </w:rPr>
        <w:t xml:space="preserve">This method assumes that the mean difference between the </w:t>
      </w:r>
      <w:r w:rsidR="008D0F19" w:rsidRPr="00C01462">
        <w:rPr>
          <w:rFonts w:eastAsiaTheme="minorEastAsia"/>
          <w:bCs/>
          <w:iCs/>
        </w:rPr>
        <w:lastRenderedPageBreak/>
        <w:t xml:space="preserve">TROPOMI observations and the prior GEOS-Chem simulation </w:t>
      </w:r>
      <w:r w:rsidR="005258BF" w:rsidRPr="00C01462">
        <w:rPr>
          <w:rFonts w:eastAsiaTheme="minorEastAsia"/>
          <w:bCs/>
          <w:iCs/>
        </w:rPr>
        <w:t xml:space="preserve">in each grid cell </w:t>
      </w:r>
      <w:r w:rsidR="008D0F19" w:rsidRPr="00C01462">
        <w:rPr>
          <w:rFonts w:eastAsiaTheme="minorEastAsia"/>
          <w:bCs/>
          <w:iCs/>
        </w:rPr>
        <w:t>is caused by errors in emissions that will be corrected by the inversion.</w:t>
      </w:r>
      <w:r w:rsidR="000663AD" w:rsidRPr="00C01462">
        <w:rPr>
          <w:rFonts w:eastAsiaTheme="minorEastAsia"/>
          <w:bCs/>
          <w:iCs/>
        </w:rPr>
        <w:t xml:space="preserve"> </w:t>
      </w:r>
      <w:r w:rsidR="008D0F19" w:rsidRPr="00C01462">
        <w:rPr>
          <w:rFonts w:eastAsiaTheme="minorEastAsia"/>
          <w:bCs/>
          <w:iCs/>
        </w:rPr>
        <w:t>The</w:t>
      </w:r>
      <w:r w:rsidR="00536BCE" w:rsidRPr="00C01462">
        <w:rPr>
          <w:rFonts w:eastAsiaTheme="minorEastAsia"/>
          <w:bCs/>
          <w:iCs/>
        </w:rPr>
        <w:t xml:space="preserve"> standard deviation of the</w:t>
      </w:r>
      <w:r w:rsidR="008D0F19" w:rsidRPr="00C01462">
        <w:rPr>
          <w:rFonts w:eastAsiaTheme="minorEastAsia"/>
          <w:bCs/>
          <w:iCs/>
        </w:rPr>
        <w:t xml:space="preserve"> residual </w:t>
      </w:r>
      <w:r w:rsidR="006128E7" w:rsidRPr="00C01462">
        <w:rPr>
          <w:rFonts w:eastAsiaTheme="minorEastAsia"/>
          <w:bCs/>
          <w:iCs/>
        </w:rPr>
        <w:t>error</w:t>
      </w:r>
      <w:r w:rsidR="00830C59" w:rsidRPr="00C01462">
        <w:rPr>
          <w:rFonts w:eastAsiaTheme="minorEastAsia"/>
          <w:bCs/>
          <w:iCs/>
        </w:rPr>
        <w:t>s</w:t>
      </w:r>
      <w:r w:rsidR="006128E7" w:rsidRPr="00C01462">
        <w:rPr>
          <w:rFonts w:eastAsiaTheme="minorEastAsia"/>
          <w:bCs/>
          <w:iCs/>
        </w:rPr>
        <w:t xml:space="preserve"> </w:t>
      </w:r>
      <w:r w:rsidR="008D0F19" w:rsidRPr="00C01462">
        <w:rPr>
          <w:rFonts w:eastAsiaTheme="minorEastAsia"/>
          <w:bCs/>
          <w:iCs/>
        </w:rPr>
        <w:t>after subtracting th</w:t>
      </w:r>
      <w:r w:rsidR="005258BF" w:rsidRPr="00C01462">
        <w:rPr>
          <w:rFonts w:eastAsiaTheme="minorEastAsia"/>
          <w:bCs/>
          <w:iCs/>
        </w:rPr>
        <w:t>e mean gridded error</w:t>
      </w:r>
      <w:r w:rsidR="00830C59" w:rsidRPr="00C01462">
        <w:rPr>
          <w:rFonts w:eastAsiaTheme="minorEastAsia"/>
          <w:bCs/>
          <w:iCs/>
        </w:rPr>
        <w:t>s</w:t>
      </w:r>
      <w:r w:rsidR="005258BF" w:rsidRPr="00C01462">
        <w:rPr>
          <w:rFonts w:eastAsiaTheme="minorEastAsia"/>
          <w:bCs/>
          <w:iCs/>
        </w:rPr>
        <w:t xml:space="preserve"> </w:t>
      </w:r>
      <w:r w:rsidR="00A876DA" w:rsidRPr="00C01462">
        <w:rPr>
          <w:rFonts w:eastAsiaTheme="minorEastAsia"/>
          <w:bCs/>
          <w:iCs/>
        </w:rPr>
        <w:t xml:space="preserve">then </w:t>
      </w:r>
      <w:r w:rsidR="005258BF" w:rsidRPr="00C01462">
        <w:rPr>
          <w:rFonts w:eastAsiaTheme="minorEastAsia"/>
          <w:bCs/>
          <w:iCs/>
        </w:rPr>
        <w:t>give</w:t>
      </w:r>
      <w:r w:rsidR="00A876DA" w:rsidRPr="00C01462">
        <w:rPr>
          <w:rFonts w:eastAsiaTheme="minorEastAsia"/>
          <w:bCs/>
          <w:iCs/>
        </w:rPr>
        <w:t>s</w:t>
      </w:r>
      <w:r w:rsidR="005258BF" w:rsidRPr="00C01462">
        <w:rPr>
          <w:rFonts w:eastAsiaTheme="minorEastAsia"/>
          <w:bCs/>
          <w:iCs/>
        </w:rPr>
        <w:t xml:space="preserve"> the observational error</w:t>
      </w:r>
      <w:r w:rsidR="00715764" w:rsidRPr="00C01462">
        <w:rPr>
          <w:rFonts w:eastAsiaTheme="minorEastAsia"/>
          <w:bCs/>
          <w:iCs/>
        </w:rPr>
        <w:t>s</w:t>
      </w:r>
      <w:r w:rsidR="005258BF" w:rsidRPr="00C01462">
        <w:rPr>
          <w:rFonts w:eastAsiaTheme="minorEastAsia"/>
          <w:bCs/>
          <w:iCs/>
        </w:rPr>
        <w:t xml:space="preserve">. </w:t>
      </w:r>
      <w:r w:rsidR="000663AD" w:rsidRPr="00C01462">
        <w:rPr>
          <w:rFonts w:eastAsiaTheme="minorEastAsia"/>
          <w:bCs/>
          <w:iCs/>
        </w:rPr>
        <w:t>We calculate the seasonal mean difference on a 2</w:t>
      </w:r>
      <w:r w:rsidR="000663AD" w:rsidRPr="00C01462">
        <w:rPr>
          <w:rFonts w:eastAsiaTheme="minorEastAsia"/>
          <w:bCs/>
          <w:iCs/>
        </w:rPr>
        <w:sym w:font="Symbol" w:char="F0B0"/>
      </w:r>
      <w:r w:rsidR="000663AD" w:rsidRPr="00C01462">
        <w:rPr>
          <w:rFonts w:eastAsiaTheme="minorEastAsia"/>
          <w:bCs/>
          <w:iCs/>
        </w:rPr>
        <w:t xml:space="preserve"> </w:t>
      </w:r>
      <w:r w:rsidR="000663AD" w:rsidRPr="00C01462">
        <w:rPr>
          <w:rFonts w:ascii="Cambria Math" w:hAnsi="Cambria Math" w:cs="Cambria Math"/>
        </w:rPr>
        <w:t>⨉</w:t>
      </w:r>
      <w:r w:rsidR="000663AD" w:rsidRPr="00C01462">
        <w:rPr>
          <w:rFonts w:eastAsiaTheme="minorEastAsia"/>
          <w:bCs/>
          <w:iCs/>
        </w:rPr>
        <w:t xml:space="preserve"> 2</w:t>
      </w:r>
      <w:r w:rsidR="000663AD" w:rsidRPr="00C01462">
        <w:rPr>
          <w:rFonts w:eastAsiaTheme="minorEastAsia"/>
          <w:bCs/>
          <w:iCs/>
        </w:rPr>
        <w:sym w:font="Symbol" w:char="F0B0"/>
      </w:r>
      <w:r w:rsidR="000663AD" w:rsidRPr="00C01462">
        <w:rPr>
          <w:rFonts w:eastAsiaTheme="minorEastAsia"/>
          <w:bCs/>
          <w:iCs/>
        </w:rPr>
        <w:t xml:space="preserve"> grid to </w:t>
      </w:r>
      <w:r w:rsidR="00E20CE6" w:rsidRPr="00C01462">
        <w:rPr>
          <w:rFonts w:eastAsiaTheme="minorEastAsia"/>
          <w:bCs/>
          <w:iCs/>
        </w:rPr>
        <w:t>minimize the effect of</w:t>
      </w:r>
      <w:r w:rsidR="000663AD" w:rsidRPr="00C01462">
        <w:rPr>
          <w:rFonts w:eastAsiaTheme="minorEastAsia"/>
          <w:bCs/>
          <w:iCs/>
        </w:rPr>
        <w:t xml:space="preserve"> systematic </w:t>
      </w:r>
      <w:r w:rsidR="00A876DA" w:rsidRPr="00C01462">
        <w:rPr>
          <w:rFonts w:eastAsiaTheme="minorEastAsia"/>
          <w:bCs/>
          <w:iCs/>
        </w:rPr>
        <w:t xml:space="preserve">albedo </w:t>
      </w:r>
      <w:r w:rsidR="000663AD" w:rsidRPr="00C01462">
        <w:rPr>
          <w:rFonts w:eastAsiaTheme="minorEastAsia"/>
          <w:bCs/>
          <w:iCs/>
        </w:rPr>
        <w:t xml:space="preserve">biases in the TROPOMI data. </w:t>
      </w:r>
      <w:r w:rsidR="00A6433B" w:rsidRPr="00C01462">
        <w:rPr>
          <w:rFonts w:eastAsiaTheme="minorEastAsia"/>
          <w:bCs/>
          <w:iCs/>
        </w:rPr>
        <w:t xml:space="preserve">In the </w:t>
      </w:r>
      <w:r w:rsidR="00A13ABB" w:rsidRPr="00C01462">
        <w:rPr>
          <w:rFonts w:eastAsiaTheme="minorEastAsia"/>
          <w:bCs/>
          <w:iCs/>
        </w:rPr>
        <w:t xml:space="preserve">&lt;100 </w:t>
      </w:r>
      <w:r w:rsidR="00A6433B" w:rsidRPr="00C01462">
        <w:rPr>
          <w:rFonts w:eastAsiaTheme="minorEastAsia"/>
          <w:bCs/>
          <w:iCs/>
        </w:rPr>
        <w:t>scenes where</w:t>
      </w:r>
      <w:r w:rsidR="005258BF" w:rsidRPr="00C01462">
        <w:rPr>
          <w:rFonts w:eastAsiaTheme="minorEastAsia"/>
          <w:bCs/>
          <w:iCs/>
        </w:rPr>
        <w:t xml:space="preserve"> the residual standard deviation is less than the reported instrument error standard deviation (</w:t>
      </w:r>
      <w:proofErr w:type="spellStart"/>
      <w:r w:rsidR="005258BF" w:rsidRPr="00C01462">
        <w:rPr>
          <w:rFonts w:eastAsiaTheme="minorEastAsia"/>
          <w:bCs/>
          <w:iCs/>
        </w:rPr>
        <w:t>Lorente</w:t>
      </w:r>
      <w:proofErr w:type="spellEnd"/>
      <w:r w:rsidR="005258BF" w:rsidRPr="00C01462">
        <w:rPr>
          <w:rFonts w:eastAsiaTheme="minorEastAsia"/>
          <w:bCs/>
          <w:iCs/>
        </w:rPr>
        <w:t xml:space="preserve"> et al., 2021), we use the latter instead</w:t>
      </w:r>
      <w:r w:rsidR="00A6433B" w:rsidRPr="00C01462">
        <w:rPr>
          <w:rFonts w:eastAsiaTheme="minorEastAsia"/>
          <w:bCs/>
          <w:iCs/>
        </w:rPr>
        <w:t xml:space="preserve">. </w:t>
      </w:r>
      <w:r w:rsidR="0042686C" w:rsidRPr="00C01462">
        <w:rPr>
          <w:rFonts w:eastAsiaTheme="minorEastAsia"/>
          <w:bCs/>
          <w:iCs/>
        </w:rPr>
        <w:t>We also set a minimum error of 10 ppb, which applies</w:t>
      </w:r>
      <w:r w:rsidR="00A13ABB" w:rsidRPr="00C01462">
        <w:rPr>
          <w:rFonts w:eastAsiaTheme="minorEastAsia"/>
          <w:bCs/>
          <w:iCs/>
        </w:rPr>
        <w:t xml:space="preserve"> to</w:t>
      </w:r>
      <w:r w:rsidR="00A440C1" w:rsidRPr="00C01462">
        <w:rPr>
          <w:rFonts w:eastAsiaTheme="minorEastAsia"/>
          <w:bCs/>
          <w:iCs/>
        </w:rPr>
        <w:t xml:space="preserve"> </w:t>
      </w:r>
      <w:r w:rsidR="00E20CE6" w:rsidRPr="00C01462">
        <w:rPr>
          <w:rFonts w:eastAsiaTheme="minorEastAsia"/>
          <w:bCs/>
          <w:iCs/>
        </w:rPr>
        <w:t xml:space="preserve">between </w:t>
      </w:r>
      <w:r w:rsidR="00A440C1" w:rsidRPr="00C01462">
        <w:rPr>
          <w:rFonts w:eastAsiaTheme="minorEastAsia"/>
          <w:bCs/>
          <w:iCs/>
        </w:rPr>
        <w:t xml:space="preserve">31 </w:t>
      </w:r>
      <w:r w:rsidR="00E20CE6" w:rsidRPr="00C01462">
        <w:rPr>
          <w:rFonts w:eastAsiaTheme="minorEastAsia"/>
          <w:bCs/>
          <w:iCs/>
        </w:rPr>
        <w:t>and</w:t>
      </w:r>
      <w:r w:rsidR="00A440C1" w:rsidRPr="00C01462">
        <w:rPr>
          <w:rFonts w:eastAsiaTheme="minorEastAsia"/>
          <w:bCs/>
          <w:iCs/>
        </w:rPr>
        <w:t xml:space="preserve"> 32%</w:t>
      </w:r>
      <w:r w:rsidR="00536BCE" w:rsidRPr="00C01462">
        <w:rPr>
          <w:rFonts w:eastAsiaTheme="minorEastAsia"/>
          <w:bCs/>
          <w:iCs/>
        </w:rPr>
        <w:t xml:space="preserve"> observations</w:t>
      </w:r>
      <w:r w:rsidR="00A440C1" w:rsidRPr="00C01462">
        <w:rPr>
          <w:rFonts w:eastAsiaTheme="minorEastAsia"/>
          <w:bCs/>
          <w:iCs/>
        </w:rPr>
        <w:t xml:space="preserve">, depending on the prior wetland emissions and </w:t>
      </w:r>
      <w:r w:rsidR="00E20CE6" w:rsidRPr="00C01462">
        <w:rPr>
          <w:rFonts w:eastAsiaTheme="minorEastAsia"/>
          <w:bCs/>
          <w:iCs/>
        </w:rPr>
        <w:t>bias</w:t>
      </w:r>
      <w:r w:rsidR="00A440C1" w:rsidRPr="00C01462">
        <w:rPr>
          <w:rFonts w:eastAsiaTheme="minorEastAsia"/>
          <w:bCs/>
          <w:iCs/>
        </w:rPr>
        <w:t xml:space="preserve"> correction</w:t>
      </w:r>
      <w:r w:rsidR="00536BCE" w:rsidRPr="00C01462">
        <w:rPr>
          <w:rFonts w:eastAsiaTheme="minorEastAsia"/>
          <w:bCs/>
          <w:iCs/>
        </w:rPr>
        <w:t xml:space="preserve">. </w:t>
      </w:r>
      <w:r w:rsidR="007A1632" w:rsidRPr="00C01462">
        <w:rPr>
          <w:rFonts w:eastAsiaTheme="minorEastAsia"/>
          <w:bCs/>
          <w:iCs/>
        </w:rPr>
        <w:t xml:space="preserve">We find a mean observational error standard deviation of </w:t>
      </w:r>
      <w:r w:rsidR="00A440C1" w:rsidRPr="00C01462">
        <w:rPr>
          <w:rFonts w:eastAsiaTheme="minorEastAsia"/>
          <w:bCs/>
          <w:iCs/>
        </w:rPr>
        <w:t>11.5 ppb in all cases</w:t>
      </w:r>
      <w:r w:rsidR="00C67741" w:rsidRPr="00C01462">
        <w:rPr>
          <w:rFonts w:eastAsiaTheme="minorEastAsia"/>
          <w:bCs/>
          <w:iCs/>
        </w:rPr>
        <w:t xml:space="preserve">, with larger errors in winter and at high latitudes. </w:t>
      </w:r>
      <w:r w:rsidR="00E20CE6" w:rsidRPr="00C01462">
        <w:rPr>
          <w:rFonts w:eastAsiaTheme="minorEastAsia"/>
          <w:bCs/>
          <w:iCs/>
        </w:rPr>
        <w:t>T</w:t>
      </w:r>
      <w:r w:rsidR="007A1632" w:rsidRPr="00C01462">
        <w:rPr>
          <w:rFonts w:eastAsiaTheme="minorEastAsia"/>
          <w:bCs/>
          <w:iCs/>
        </w:rPr>
        <w:t xml:space="preserve">he </w:t>
      </w:r>
      <w:r w:rsidR="00A440C1" w:rsidRPr="00C01462">
        <w:rPr>
          <w:rFonts w:eastAsiaTheme="minorEastAsia"/>
          <w:bCs/>
          <w:iCs/>
        </w:rPr>
        <w:t xml:space="preserve">resulting </w:t>
      </w:r>
      <w:r w:rsidR="007A1632" w:rsidRPr="00C01462">
        <w:rPr>
          <w:rFonts w:eastAsiaTheme="minorEastAsia"/>
          <w:bCs/>
          <w:iCs/>
        </w:rPr>
        <w:t xml:space="preserve">variances </w:t>
      </w:r>
      <w:r w:rsidR="00E20CE6" w:rsidRPr="00C01462">
        <w:rPr>
          <w:rFonts w:eastAsiaTheme="minorEastAsia"/>
          <w:bCs/>
          <w:iCs/>
        </w:rPr>
        <w:t>are</w:t>
      </w:r>
      <w:r w:rsidR="007A1632" w:rsidRPr="00C01462">
        <w:rPr>
          <w:rFonts w:eastAsiaTheme="minorEastAsia"/>
          <w:bCs/>
          <w:iCs/>
        </w:rPr>
        <w:t xml:space="preserve">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sidRPr="00C01462">
        <w:rPr>
          <w:rFonts w:eastAsiaTheme="minorEastAsia"/>
          <w:bCs/>
          <w:iCs/>
        </w:rPr>
        <w:t>. Off-diagonal terms are assumed zero in the absence of better information.</w:t>
      </w:r>
      <w:r w:rsidR="00A440C1" w:rsidRPr="00C01462">
        <w:rPr>
          <w:rFonts w:eastAsiaTheme="minorEastAsia"/>
          <w:bCs/>
          <w:iCs/>
        </w:rPr>
        <w:t xml:space="preserve"> </w:t>
      </w:r>
      <w:r w:rsidR="0093788E" w:rsidRPr="00C01462">
        <w:rPr>
          <w:rFonts w:eastAsiaTheme="minorEastAsia"/>
          <w:bCs/>
          <w:iCs/>
        </w:rPr>
        <w:t xml:space="preserve">We introduce a regularization factor </w:t>
      </w:r>
      <m:oMath>
        <m:r>
          <w:rPr>
            <w:rFonts w:ascii="Cambria Math" w:hAnsi="Cambria Math"/>
          </w:rPr>
          <m:t>γ</m:t>
        </m:r>
      </m:oMath>
      <w:r w:rsidR="00E20CE6" w:rsidRPr="00C01462">
        <w:rPr>
          <w:rFonts w:eastAsiaTheme="minorEastAsia"/>
        </w:rPr>
        <w:t>, described in section 2.7,</w:t>
      </w:r>
      <w:r w:rsidR="0093788E" w:rsidRPr="00C01462">
        <w:rPr>
          <w:rFonts w:eastAsiaTheme="minorEastAsia"/>
        </w:rPr>
        <w:t xml:space="preserve"> to account for </w:t>
      </w:r>
      <w:r w:rsidR="00E20CE6" w:rsidRPr="00C01462">
        <w:rPr>
          <w:rFonts w:eastAsiaTheme="minorEastAsia"/>
        </w:rPr>
        <w:t>the</w:t>
      </w:r>
      <w:r w:rsidR="0093788E" w:rsidRPr="00C01462">
        <w:rPr>
          <w:rFonts w:eastAsiaTheme="minorEastAsia"/>
        </w:rPr>
        <w:t xml:space="preserve"> lack of covariance</w:t>
      </w:r>
      <w:r w:rsidR="0093788E" w:rsidRPr="00C01462">
        <w:rPr>
          <w:rFonts w:eastAsiaTheme="minorEastAsia"/>
          <w:bCs/>
          <w:iCs/>
        </w:rPr>
        <w:t xml:space="preserve"> </w:t>
      </w:r>
      <w:r w:rsidR="000663AD" w:rsidRPr="00C01462">
        <w:rPr>
          <w:rFonts w:eastAsiaTheme="minorEastAsia"/>
          <w:bCs/>
          <w:iCs/>
        </w:rPr>
        <w:t>(</w:t>
      </w:r>
      <w:proofErr w:type="spellStart"/>
      <w:r w:rsidR="0093788E" w:rsidRPr="00C01462">
        <w:rPr>
          <w:rFonts w:eastAsiaTheme="minorEastAsia"/>
          <w:bCs/>
          <w:iCs/>
        </w:rPr>
        <w:t>Chevallier</w:t>
      </w:r>
      <w:proofErr w:type="spellEnd"/>
      <w:r w:rsidR="0093788E" w:rsidRPr="00C01462">
        <w:rPr>
          <w:rFonts w:eastAsiaTheme="minorEastAsia"/>
          <w:bCs/>
          <w:iCs/>
        </w:rPr>
        <w:t xml:space="preserve"> et al.</w:t>
      </w:r>
      <w:r w:rsidR="000663AD" w:rsidRPr="00C01462">
        <w:rPr>
          <w:rFonts w:eastAsiaTheme="minorEastAsia"/>
          <w:bCs/>
          <w:iCs/>
        </w:rPr>
        <w:t xml:space="preserve">, </w:t>
      </w:r>
      <w:r w:rsidR="0093788E" w:rsidRPr="00C01462">
        <w:rPr>
          <w:rFonts w:eastAsiaTheme="minorEastAsia"/>
          <w:bCs/>
          <w:iCs/>
        </w:rPr>
        <w:t>2007)</w:t>
      </w:r>
      <w:r w:rsidR="000663AD" w:rsidRPr="00C01462">
        <w:rPr>
          <w:rFonts w:eastAsiaTheme="minorEastAsia"/>
          <w:bCs/>
          <w:iCs/>
        </w:rPr>
        <w:t>.</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C403E61" w:rsidR="00357B8D" w:rsidRPr="00C01462" w:rsidRDefault="00E334F2" w:rsidP="00E334F2">
      <w:r w:rsidRPr="00C01462">
        <w:rPr>
          <w:rFonts w:eastAsiaTheme="minorEastAsia"/>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sidRPr="00C01462">
        <w:rPr>
          <w:rFonts w:eastAsiaTheme="minorEastAsia"/>
        </w:rPr>
        <w:t>. The Jacobian matrix is typically constructed</w:t>
      </w:r>
      <w:r w:rsidR="007B4020" w:rsidRPr="00C01462">
        <w:rPr>
          <w:rFonts w:eastAsiaTheme="minorEastAsia"/>
        </w:rPr>
        <w:t xml:space="preserve"> </w:t>
      </w:r>
      <w:r w:rsidR="00357B8D" w:rsidRPr="00C01462">
        <w:rPr>
          <w:rFonts w:eastAsiaTheme="minorEastAsia"/>
        </w:rPr>
        <w:t xml:space="preserve">by conducting a </w:t>
      </w:r>
      <w:r w:rsidR="008F4611" w:rsidRPr="00C01462">
        <w:rPr>
          <w:rFonts w:eastAsiaTheme="minorEastAsia"/>
        </w:rPr>
        <w:t xml:space="preserve">forward model </w:t>
      </w:r>
      <w:r w:rsidR="00357B8D" w:rsidRPr="00C01462">
        <w:rPr>
          <w:rFonts w:eastAsiaTheme="minorEastAsia"/>
        </w:rPr>
        <w:t xml:space="preserve">simulation for each </w:t>
      </w:r>
      <w:r w:rsidR="008F4611" w:rsidRPr="00C01462">
        <w:rPr>
          <w:rFonts w:eastAsiaTheme="minorEastAsia"/>
        </w:rPr>
        <w:t>state vector element</w:t>
      </w:r>
      <w:r w:rsidRPr="00C01462">
        <w:rPr>
          <w:rFonts w:eastAsiaTheme="minorEastAsia"/>
        </w:rPr>
        <w:t xml:space="preserve">. </w:t>
      </w:r>
      <w:r w:rsidR="00863BE8" w:rsidRPr="00C01462">
        <w:rPr>
          <w:rFonts w:eastAsiaTheme="minorEastAsia"/>
        </w:rPr>
        <w:t>While this is</w:t>
      </w:r>
      <w:r w:rsidRPr="00C01462">
        <w:rPr>
          <w:rFonts w:eastAsiaTheme="minorEastAsia"/>
        </w:rPr>
        <w:t xml:space="preserve"> an embarrassingly parallel problem, constructing this matrix for the </w:t>
      </w:r>
      <w:r w:rsidRPr="00C01462">
        <w:t>23</w:t>
      </w:r>
      <w:r w:rsidR="002072F5" w:rsidRPr="00C01462">
        <w:t>6</w:t>
      </w:r>
      <w:r w:rsidRPr="00C01462">
        <w:t xml:space="preserve">91 0.25° x 0.3125° resolution grid cells optimized by this inversion is computationally intractable. We take advantage of the heterogeneous information content of the TROPOMI observations </w:t>
      </w:r>
      <w:r w:rsidR="00357B8D" w:rsidRPr="00C01462">
        <w:t>to</w:t>
      </w:r>
      <w:r w:rsidRPr="00C01462">
        <w:t xml:space="preserve"> construct the Jacobian matrix </w:t>
      </w:r>
      <w:r w:rsidR="007B4020" w:rsidRPr="00C01462">
        <w:t xml:space="preserve">at substantially </w:t>
      </w:r>
      <w:r w:rsidR="002072F5" w:rsidRPr="00C01462">
        <w:t>decreased</w:t>
      </w:r>
      <w:r w:rsidR="007B4020" w:rsidRPr="00C01462">
        <w:t xml:space="preserve"> computational cost </w:t>
      </w:r>
      <w:r w:rsidRPr="00C01462">
        <w:t>using the reduced-rank method introduced by Nesser et al. (2021).</w:t>
      </w:r>
      <w:r w:rsidR="007B4020" w:rsidRPr="00C01462">
        <w:t xml:space="preserve"> </w:t>
      </w:r>
      <w:r w:rsidR="00357B8D" w:rsidRPr="00C01462">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Pr="00C01462" w:rsidRDefault="00357B8D" w:rsidP="00E334F2"/>
    <w:p w14:paraId="4EF02D51" w14:textId="7B00CE48"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r>
          <w:rPr>
            <w:rFonts w:ascii="Cambria Math" w:hAnsi="Cambria Math"/>
          </w:rPr>
          <m:t>y</m:t>
        </m:r>
      </m:oMath>
      <w:r w:rsidR="00863BE8" w:rsidRPr="00C01462">
        <w:rPr>
          <w:rFonts w:eastAsiaTheme="minorEastAsia"/>
        </w:rPr>
        <w:t xml:space="preserve"> in nearby observation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7B3ABA3A" w:rsidR="006267C3" w:rsidRPr="00C01462"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AA15A0" w:rsidRPr="00C01462">
        <w:rPr>
          <w:rFonts w:eastAsiaTheme="minorEastAsia"/>
        </w:rPr>
        <w:t>, mass-conserving</w:t>
      </w:r>
      <w:r w:rsidRPr="00C01462">
        <w:rPr>
          <w:rFonts w:eastAsiaTheme="minorEastAsia"/>
        </w:rPr>
        <w:t xml:space="preserve"> coefficient providing a crude representation of turbulent diffusion</w:t>
      </w:r>
      <w:r w:rsidR="00AA15A0" w:rsidRPr="00C01462">
        <w:rPr>
          <w:rFonts w:eastAsiaTheme="minorEastAsia"/>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local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C01462">
        <w:rPr>
          <w:rFonts w:eastAsiaTheme="minorEastAsia"/>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C01462">
        <w:rPr>
          <w:rFonts w:eastAsiaTheme="minorEastAsia"/>
        </w:rPr>
        <w:t xml:space="preserve"> </w:t>
      </w:r>
      <w:r w:rsidR="00EC3AB1" w:rsidRPr="00C01462">
        <w:rPr>
          <w:rFonts w:eastAsiaTheme="minorEastAsia"/>
        </w:rPr>
        <w:t xml:space="preserve">= {10, 6, 4, 3, 2.5} </w:t>
      </w:r>
      <w:r w:rsidR="00AA15A0" w:rsidRPr="00C01462">
        <w:rPr>
          <w:rFonts w:eastAsiaTheme="minorEastAsia"/>
        </w:rPr>
        <w:t xml:space="preserve">from the inner to the outer ring of grid cells surrounding </w:t>
      </w:r>
      <w:r w:rsidR="00AA15A0" w:rsidRPr="00C01462">
        <w:rPr>
          <w:rFonts w:eastAsiaTheme="minorEastAsia"/>
          <w:i/>
          <w:iCs/>
        </w:rPr>
        <w:t>j</w:t>
      </w:r>
      <w:r w:rsidR="00AA15A0" w:rsidRPr="00C01462">
        <w:rPr>
          <w:rFonts w:eastAsiaTheme="minorEastAsia"/>
        </w:rPr>
        <w:t xml:space="preserve">, </w:t>
      </w:r>
      <w:proofErr w:type="gramStart"/>
      <w:r w:rsidR="00AA15A0" w:rsidRPr="00C01462">
        <w:rPr>
          <w:rFonts w:eastAsiaTheme="minorEastAsia"/>
        </w:rPr>
        <w:t>normalized</w:t>
      </w:r>
      <w:proofErr w:type="gramEnd"/>
      <w:r w:rsidR="00AA15A0" w:rsidRPr="00C01462">
        <w:rPr>
          <w:rFonts w:eastAsiaTheme="minorEastAsia"/>
        </w:rPr>
        <w:t xml:space="preserve"> and divided by the number of grid cells in each ring. </w:t>
      </w:r>
    </w:p>
    <w:p w14:paraId="3C6568C2" w14:textId="77777777" w:rsidR="006267C3" w:rsidRPr="00C01462" w:rsidRDefault="006267C3" w:rsidP="00E334F2">
      <w:pPr>
        <w:rPr>
          <w:rFonts w:eastAsiaTheme="minorEastAsia"/>
        </w:rPr>
      </w:pPr>
    </w:p>
    <w:p w14:paraId="195987B4" w14:textId="42693BCC" w:rsidR="006267C3" w:rsidRPr="00C01462" w:rsidRDefault="00742DA8" w:rsidP="00E334F2">
      <w:pPr>
        <w:rPr>
          <w:rFonts w:eastAsiaTheme="minorEastAsia"/>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to calculate the patterns of information content perturbed in the forward model. </w:t>
      </w:r>
      <w:r w:rsidR="00EB22B4" w:rsidRPr="00C01462">
        <w:rPr>
          <w:rFonts w:eastAsiaTheme="minorEastAsia"/>
          <w:iCs/>
        </w:rPr>
        <w:t xml:space="preserve">The corresponding </w:t>
      </w:r>
      <w:r w:rsidR="00EB22B4" w:rsidRPr="00C01462">
        <w:rPr>
          <w:rFonts w:eastAsiaTheme="minorEastAsia"/>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sidRPr="00C01462">
        <w:t xml:space="preserve"> captures the dominant patterns of information content because </w:t>
      </w:r>
      <w:r w:rsidR="002072F5" w:rsidRPr="00C01462">
        <w:t xml:space="preserve">of </w:t>
      </w:r>
      <w:r w:rsidR="00EB22B4" w:rsidRPr="00C01462">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sidRPr="00C01462">
        <w:rPr>
          <w:rFonts w:eastAsiaTheme="minorEastAsia"/>
          <w:b/>
          <w:bCs/>
          <w:iCs/>
        </w:rPr>
        <w:t xml:space="preserve"> </w:t>
      </w:r>
      <w:r w:rsidR="00EB22B4" w:rsidRPr="00C01462">
        <w:t xml:space="preserve">and on the </w:t>
      </w:r>
      <w:r w:rsidR="00EB22B4" w:rsidRPr="00C01462">
        <w:lastRenderedPageBreak/>
        <w:t>observational density as quantified by the observational error covariance matrix</w:t>
      </w:r>
      <w:r w:rsidR="00EB22B4" w:rsidRPr="00C01462">
        <w:rPr>
          <w:rFonts w:eastAsiaTheme="minorEastAsia"/>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C01462">
        <w:rPr>
          <w:rFonts w:eastAsiaTheme="minorEastAsia"/>
          <w:iCs/>
        </w:rPr>
        <w:t xml:space="preserve"> </w:t>
      </w:r>
      <w:r w:rsidR="00EB22B4" w:rsidRPr="00C01462">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sidRPr="00C01462">
        <w:rPr>
          <w:rFonts w:eastAsiaTheme="minorEastAsia"/>
        </w:rPr>
        <w:t xml:space="preserve"> </w:t>
      </w:r>
      <w:r w:rsidR="00C96991" w:rsidRPr="00C01462">
        <w:rPr>
          <w:rFonts w:eastAsiaTheme="minorEastAsia"/>
        </w:rPr>
        <w:fldChar w:fldCharType="begin"/>
      </w:r>
      <w:r w:rsidR="00C96991" w:rsidRPr="00C01462">
        <w:rPr>
          <w:rFonts w:eastAsiaTheme="minorEastAsia"/>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sidRPr="00C01462">
        <w:rPr>
          <w:rFonts w:eastAsiaTheme="minorEastAsia"/>
        </w:rPr>
        <w:fldChar w:fldCharType="separate"/>
      </w:r>
      <w:r w:rsidR="00C96991" w:rsidRPr="00C01462">
        <w:rPr>
          <w:rFonts w:eastAsiaTheme="minorEastAsia"/>
          <w:noProof/>
        </w:rPr>
        <w:t>(Nesser et al., 2021)</w:t>
      </w:r>
      <w:r w:rsidR="00C96991" w:rsidRPr="00C01462">
        <w:rPr>
          <w:rFonts w:eastAsiaTheme="minorEastAsia"/>
        </w:rPr>
        <w:fldChar w:fldCharType="end"/>
      </w:r>
      <w:r w:rsidR="00EB22B4" w:rsidRPr="00C01462">
        <w:rPr>
          <w:rFonts w:eastAsiaTheme="minorEastAsia"/>
        </w:rPr>
        <w:t xml:space="preserve">. </w:t>
      </w:r>
      <w:r w:rsidRPr="00C01462">
        <w:rPr>
          <w:rFonts w:eastAsiaTheme="minorEastAsia"/>
          <w:iCs/>
        </w:rPr>
        <w:t>The</w:t>
      </w:r>
      <w:r w:rsidR="002072F5" w:rsidRPr="00C01462">
        <w:rPr>
          <w:rFonts w:eastAsiaTheme="minorEastAsia"/>
          <w:iCs/>
        </w:rPr>
        <w:t xml:space="preserve"> </w:t>
      </w:r>
      <w:r w:rsidR="00C96991" w:rsidRPr="00C01462">
        <w:rPr>
          <w:rFonts w:eastAsiaTheme="minorEastAsia"/>
          <w:iCs/>
        </w:rPr>
        <w:t xml:space="preserve">initial </w:t>
      </w:r>
      <w:r w:rsidR="002072F5" w:rsidRPr="00C01462">
        <w:rPr>
          <w:rFonts w:eastAsiaTheme="minorEastAsia"/>
          <w:iCs/>
        </w:rPr>
        <w:t xml:space="preserve">patterns of information content are then </w:t>
      </w:r>
      <w:r w:rsidR="00102AF3" w:rsidRPr="00C01462">
        <w:rPr>
          <w:rFonts w:eastAsiaTheme="minorEastAsia"/>
          <w:iCs/>
        </w:rPr>
        <w:t xml:space="preserve">given by the eigenvectors of the averaging kernel matrix </w:t>
      </w:r>
      <w:r w:rsidR="00262395" w:rsidRPr="00C01462">
        <w:rPr>
          <w:rFonts w:eastAsiaTheme="minorEastAsia"/>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sidRPr="00C01462">
        <w:rPr>
          <w:rFonts w:eastAsiaTheme="minorEastAsia"/>
          <w:b/>
          <w:bCs/>
        </w:rPr>
        <w:t xml:space="preserve"> </w:t>
      </w:r>
      <w:r w:rsidR="00262395" w:rsidRPr="00C01462">
        <w:rPr>
          <w:rFonts w:eastAsiaTheme="minorEastAsia"/>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sidRPr="00C01462">
        <w:rPr>
          <w:rFonts w:eastAsiaTheme="minorEastAsia"/>
          <w:iCs/>
        </w:rPr>
        <w:t xml:space="preserve"> is the</w:t>
      </w:r>
      <w:r w:rsidR="00262395" w:rsidRPr="00C01462">
        <w:rPr>
          <w:rFonts w:eastAsiaTheme="minorEastAsia"/>
          <w:iCs/>
        </w:rPr>
        <w:t xml:space="preserve"> </w:t>
      </w:r>
      <m:oMath>
        <m:r>
          <w:rPr>
            <w:rFonts w:ascii="Cambria Math" w:eastAsiaTheme="minorEastAsia" w:hAnsi="Cambria Math"/>
          </w:rPr>
          <m:t>i</m:t>
        </m:r>
      </m:oMath>
      <w:r w:rsidR="00262395" w:rsidRPr="00C01462">
        <w:rPr>
          <w:rFonts w:eastAsiaTheme="minorEastAsia"/>
          <w:iCs/>
        </w:rPr>
        <w:t>th</w:t>
      </w:r>
      <w:r w:rsidR="00102AF3" w:rsidRPr="00C01462">
        <w:rPr>
          <w:rFonts w:eastAsiaTheme="minorEastAsia"/>
          <w:iCs/>
        </w:rPr>
        <w:t xml:space="preserve"> eigenvector of</w:t>
      </w:r>
      <w:r w:rsidR="00C96991" w:rsidRPr="00C01462">
        <w:rPr>
          <w:rFonts w:eastAsiaTheme="minorEastAsia"/>
          <w:iCs/>
        </w:rPr>
        <w:t xml:space="preserve"> the prior-preconditioned Hessian </w:t>
      </w:r>
      <w:r w:rsidR="00C96991" w:rsidRPr="00C01462">
        <w:rPr>
          <w:rFonts w:eastAsiaTheme="minorEastAsia"/>
          <w:iCs/>
        </w:rPr>
        <w:fldChar w:fldCharType="begin"/>
      </w:r>
      <w:r w:rsidR="00C96991" w:rsidRPr="00C01462">
        <w:rPr>
          <w:rFonts w:eastAsiaTheme="minorEastAsia"/>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sidRPr="00C01462">
        <w:rPr>
          <w:rFonts w:eastAsiaTheme="minorEastAsia"/>
          <w:iCs/>
        </w:rPr>
        <w:fldChar w:fldCharType="separate"/>
      </w:r>
      <w:r w:rsidR="00C96991" w:rsidRPr="00C01462">
        <w:rPr>
          <w:rFonts w:eastAsiaTheme="minorEastAsia"/>
          <w:iCs/>
          <w:noProof/>
        </w:rPr>
        <w:t>(Bousserez and Henze, 2018)</w:t>
      </w:r>
      <w:r w:rsidR="00C96991" w:rsidRPr="00C01462">
        <w:rPr>
          <w:rFonts w:eastAsiaTheme="minorEastAsia"/>
          <w:iCs/>
        </w:rPr>
        <w:fldChar w:fldCharType="end"/>
      </w:r>
      <w:r w:rsidR="00102AF3" w:rsidRPr="00C01462">
        <w:rPr>
          <w:rFonts w:eastAsiaTheme="minorEastAsia"/>
          <w:iCs/>
        </w:rPr>
        <w:t>.</w:t>
      </w:r>
      <w:r w:rsidR="00262395" w:rsidRPr="00C01462">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that span 50% of the initial information content</w:t>
      </w:r>
      <w:r w:rsidR="00632B26" w:rsidRPr="00C01462">
        <w:rPr>
          <w:rFonts w:eastAsiaTheme="minorEastAsia"/>
        </w:rPr>
        <w:t xml:space="preserve"> </w:t>
      </w:r>
      <w:r w:rsidR="002072F5" w:rsidRPr="00C01462">
        <w:rPr>
          <w:rFonts w:eastAsiaTheme="minorEastAsia"/>
        </w:rPr>
        <w:t xml:space="preserve">in the forward model. We </w:t>
      </w:r>
      <w:r w:rsidR="00C6508E" w:rsidRPr="00C01462">
        <w:rPr>
          <w:rFonts w:eastAsiaTheme="minorEastAsia"/>
        </w:rPr>
        <w:t xml:space="preserve">apply an optimal operator that restores the original state dimension and minimizes information content loss to the </w:t>
      </w:r>
      <w:r w:rsidR="002072F5" w:rsidRPr="00C01462">
        <w:rPr>
          <w:rFonts w:eastAsiaTheme="minorEastAsia"/>
        </w:rPr>
        <w:t xml:space="preserve">resulting </w:t>
      </w:r>
      <m:oMath>
        <m:r>
          <w:rPr>
            <w:rFonts w:ascii="Cambria Math" w:eastAsiaTheme="minorEastAsia" w:hAnsi="Cambria Math"/>
          </w:rPr>
          <m:t>m×k</m:t>
        </m:r>
      </m:oMath>
      <w:r w:rsidR="002072F5" w:rsidRPr="00C01462">
        <w:rPr>
          <w:rFonts w:eastAsiaTheme="minorEastAsia"/>
        </w:rPr>
        <w:t xml:space="preserve"> matrix </w:t>
      </w:r>
      <w:r w:rsidR="00C6508E" w:rsidRPr="00C01462">
        <w:rPr>
          <w:rFonts w:eastAsiaTheme="minorEastAsia"/>
        </w:rPr>
        <w:t>to 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of the information content</w:t>
      </w:r>
      <w:r w:rsidR="00F5518E" w:rsidRPr="00C01462">
        <w:rPr>
          <w:rFonts w:eastAsiaTheme="minorEastAsia"/>
        </w:rPr>
        <w:t xml:space="preserve">, and construct the updated </w:t>
      </w:r>
      <w:r w:rsidR="00FD05AA" w:rsidRPr="00C01462">
        <w:rPr>
          <w:rFonts w:eastAsiaTheme="minorEastAsia"/>
        </w:rPr>
        <w:t xml:space="preserve">reduced-rank </w:t>
      </w:r>
      <w:r w:rsidR="00F5518E" w:rsidRPr="00C01462">
        <w:rPr>
          <w:rFonts w:eastAsiaTheme="minorEastAsia"/>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sidRPr="00C01462">
        <w:rPr>
          <w:rFonts w:eastAsiaTheme="minorEastAsia"/>
          <w:iCs/>
        </w:rPr>
        <w:t xml:space="preserve">. </w:t>
      </w:r>
      <w:r w:rsidR="00EF3F36" w:rsidRPr="00C01462">
        <w:rPr>
          <w:rFonts w:eastAsiaTheme="minorEastAsia"/>
          <w:iCs/>
        </w:rPr>
        <w:t xml:space="preserve">This 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12C4951C" w14:textId="1A9909DF" w:rsidR="00C36AAC" w:rsidRPr="00C01462" w:rsidRDefault="00C36AAC" w:rsidP="00E334F2">
      <w:pPr>
        <w:rPr>
          <w:rFonts w:eastAsiaTheme="minorEastAsia"/>
        </w:rPr>
      </w:pPr>
    </w:p>
    <w:p w14:paraId="6B911C82" w14:textId="5A27E6A3" w:rsidR="00C36AAC" w:rsidRPr="00C01462" w:rsidRDefault="00C36AAC" w:rsidP="00C36AAC">
      <w:pPr>
        <w:rPr>
          <w:rFonts w:eastAsiaTheme="minorEastAsia"/>
        </w:rPr>
      </w:pPr>
      <w:r w:rsidRPr="00C01462">
        <w:rPr>
          <w:rFonts w:eastAsiaTheme="minorEastAsia"/>
          <w:b/>
          <w:bCs/>
        </w:rPr>
        <w:t>2.7 Inversion ensemble</w:t>
      </w:r>
    </w:p>
    <w:p w14:paraId="6F6FFAB3" w14:textId="072E0FA8" w:rsidR="00A418B9" w:rsidRPr="00C01462" w:rsidRDefault="00A440C1" w:rsidP="00705096">
      <w:r w:rsidRPr="00C01462">
        <w:rPr>
          <w:rFonts w:eastAsiaTheme="minorEastAsia"/>
        </w:rPr>
        <w:t xml:space="preserve">The posterior error covariance matrix yielded by an analytical inversion underestimates errors by failing to account for errors in the inversion parameters (Yu et al., 2021). We </w:t>
      </w:r>
      <w:r w:rsidR="00CA2F01" w:rsidRPr="00C01462">
        <w:rPr>
          <w:rFonts w:eastAsiaTheme="minorEastAsia"/>
        </w:rPr>
        <w:t>estimate</w:t>
      </w:r>
      <w:r w:rsidRPr="00C01462">
        <w:rPr>
          <w:rFonts w:eastAsiaTheme="minorEastAsia"/>
        </w:rPr>
        <w:t xml:space="preserve"> these errors </w:t>
      </w:r>
      <w:r w:rsidR="0032207F" w:rsidRPr="00C01462">
        <w:rPr>
          <w:rFonts w:eastAsiaTheme="minorEastAsia"/>
        </w:rPr>
        <w:t xml:space="preserve">and reduce the noise associated with the reduced-rank Jacobian approximation </w:t>
      </w:r>
      <w:r w:rsidRPr="00C01462">
        <w:rPr>
          <w:rFonts w:eastAsiaTheme="minorEastAsia"/>
        </w:rPr>
        <w:t>by generating a quality-controlled ensemble of inversions</w:t>
      </w:r>
      <w:r w:rsidR="00705096" w:rsidRPr="00C01462">
        <w:rPr>
          <w:rFonts w:eastAsiaTheme="minorEastAsia"/>
        </w:rPr>
        <w:t xml:space="preserve">, summarized in table </w:t>
      </w:r>
      <w:r w:rsidR="00876ADD" w:rsidRPr="00C01462">
        <w:rPr>
          <w:rFonts w:eastAsiaTheme="minorEastAsia"/>
        </w:rPr>
        <w:t>1</w:t>
      </w:r>
      <w:r w:rsidR="00CA2F01" w:rsidRPr="00C01462">
        <w:rPr>
          <w:rFonts w:eastAsiaTheme="minorEastAsia"/>
        </w:rPr>
        <w:t xml:space="preserve">. We generate eight base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(between 0.001 and 1.0) </w:t>
      </w:r>
      <w:r w:rsidR="00705096"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sidRPr="00C01462">
        <w:t xml:space="preserve"> averages to 1 across all grid cells where the averaging kernel sensitivities are greater than 0.05. We also require that at least 90% of the</w:t>
      </w:r>
      <w:r w:rsidR="0032207F" w:rsidRPr="00C01462">
        <w:t>se</w:t>
      </w:r>
      <w:r w:rsidR="00705096" w:rsidRPr="00C01462">
        <w:t xml:space="preserve"> optimized grid cells are positive and that at least one grid cell </w:t>
      </w:r>
      <w:r w:rsidR="00930C90" w:rsidRPr="00C01462">
        <w:t>is optimized for each of the 2386</w:t>
      </w:r>
      <w:r w:rsidR="00705096" w:rsidRPr="00C01462">
        <w:t xml:space="preserve"> model run</w:t>
      </w:r>
      <w:r w:rsidR="00930C90" w:rsidRPr="00C01462">
        <w:t>s</w:t>
      </w:r>
      <w:r w:rsidR="00705096" w:rsidRPr="00C01462">
        <w:t xml:space="preserve">. This yields between one and three ensemble members for each of the base inversions, for a total of </w:t>
      </w:r>
      <w:r w:rsidR="00A418B9" w:rsidRPr="00C01462">
        <w:t>15</w:t>
      </w:r>
      <w:r w:rsidR="00705096" w:rsidRPr="00C01462">
        <w:t xml:space="preserve"> members.</w:t>
      </w:r>
      <w:r w:rsidR="00EF7917" w:rsidRPr="00C01462">
        <w:t xml:space="preserve"> </w:t>
      </w:r>
      <w:r w:rsidR="0032207F" w:rsidRPr="00C01462">
        <w:t>We report the</w:t>
      </w:r>
      <w:r w:rsidR="00DF4423" w:rsidRPr="00C01462">
        <w:t xml:space="preserve"> ensemble mean</w:t>
      </w:r>
      <w:r w:rsidR="0032207F" w:rsidRPr="00C01462">
        <w:t xml:space="preserve"> emissions,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1DD63DF9"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emissions </w:t>
      </w:r>
      <w:r w:rsidR="00EF7917" w:rsidRPr="00C01462">
        <w:rPr>
          <w:rFonts w:eastAsiaTheme="minorEastAsia"/>
        </w:rPr>
        <w:t xml:space="preserve">estimates </w:t>
      </w:r>
      <w:r w:rsidRPr="00C01462">
        <w:rPr>
          <w:rFonts w:eastAsiaTheme="minorEastAsia"/>
        </w:rPr>
        <w:t xml:space="preserve">to </w:t>
      </w:r>
      <w:r w:rsidR="001A10D0" w:rsidRPr="00C01462">
        <w:rPr>
          <w:rFonts w:eastAsiaTheme="minorEastAsia"/>
        </w:rPr>
        <w:t xml:space="preserve">different source categories, including </w:t>
      </w:r>
      <w:r w:rsidRPr="00C01462">
        <w:rPr>
          <w:rFonts w:eastAsiaTheme="minorEastAsia"/>
        </w:rPr>
        <w:t xml:space="preserve">sectors, states, and urban areas. We </w:t>
      </w:r>
      <w:r w:rsidR="00500F8B" w:rsidRPr="00C01462">
        <w:rPr>
          <w:rFonts w:eastAsiaTheme="minorEastAsia"/>
        </w:rPr>
        <w:t>aggregate</w:t>
      </w:r>
      <w:r w:rsidR="003572D4" w:rsidRPr="00C01462">
        <w:rPr>
          <w:rFonts w:eastAsiaTheme="minorEastAsia"/>
        </w:rPr>
        <w:t xml:space="preserve"> the native resolution emissions estimate and associated err</w:t>
      </w:r>
      <w:r w:rsidR="001A10D0" w:rsidRPr="00C01462">
        <w:rPr>
          <w:rFonts w:eastAsiaTheme="minorEastAsia"/>
        </w:rPr>
        <w:t>ors</w:t>
      </w:r>
      <w:r w:rsidR="00500F8B" w:rsidRPr="00C01462">
        <w:rPr>
          <w:rFonts w:eastAsiaTheme="minorEastAsia"/>
        </w:rPr>
        <w:t xml:space="preserve"> to find the corresponding quantities for each source category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C01462">
        <w:rPr>
          <w:rFonts w:eastAsiaTheme="minorEastAsia"/>
          <w:iCs/>
        </w:rPr>
        <w:t xml:space="preserve">, where </w:t>
      </w:r>
      <m:oMath>
        <m:r>
          <w:rPr>
            <w:rFonts w:ascii="Cambria Math" w:hAnsi="Cambria Math"/>
          </w:rPr>
          <m:t>k</m:t>
        </m:r>
      </m:oMath>
      <w:r w:rsidR="001A10D0" w:rsidRPr="00C01462">
        <w:rPr>
          <w:rFonts w:eastAsiaTheme="minorEastAsia"/>
        </w:rPr>
        <w:t xml:space="preserve"> is the number of source categories.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a given 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 xml:space="preserve">prior emissions estimate. For state and urban area attribution, the rows are given by the fraction of each grid cell within the state or urban area, respectively. Urban areas are defined using the U.S. Census </w:t>
      </w:r>
      <w:r w:rsidR="00F77B87" w:rsidRPr="00C01462">
        <w:rPr>
          <w:rFonts w:eastAsiaTheme="minorEastAsia"/>
          <w:iCs/>
        </w:rPr>
        <w:t>Urban Areas for 2010</w:t>
      </w:r>
      <w:r w:rsidR="00500F8B" w:rsidRPr="00C01462">
        <w:rPr>
          <w:rFonts w:eastAsiaTheme="minorEastAsia"/>
          <w:iCs/>
        </w:rPr>
        <w:t xml:space="preserve">, which </w:t>
      </w:r>
      <w:r w:rsidR="0059457F" w:rsidRPr="00C01462">
        <w:rPr>
          <w:rFonts w:eastAsiaTheme="minorEastAsia"/>
          <w:iCs/>
        </w:rPr>
        <w:t xml:space="preserve">consist of the </w:t>
      </w:r>
      <w:r w:rsidR="00F77B87" w:rsidRPr="00C01462">
        <w:rPr>
          <w:rFonts w:eastAsiaTheme="minorEastAsia"/>
          <w:iCs/>
        </w:rPr>
        <w:t>areas</w:t>
      </w:r>
      <w:r w:rsidR="00500F8B" w:rsidRPr="00C01462">
        <w:rPr>
          <w:rFonts w:eastAsiaTheme="minorEastAsia"/>
          <w:iCs/>
        </w:rPr>
        <w:t xml:space="preserve"> with a population greater than </w:t>
      </w:r>
      <w:r w:rsidR="001E2000" w:rsidRPr="00C01462">
        <w:rPr>
          <w:rFonts w:eastAsiaTheme="minorEastAsia"/>
          <w:iCs/>
        </w:rPr>
        <w:t>5</w:t>
      </w:r>
      <m:oMath>
        <m:r>
          <w:rPr>
            <w:rFonts w:ascii="Cambria Math" w:eastAsiaTheme="minorEastAsia" w:hAnsi="Cambria Math"/>
          </w:rPr>
          <m:t>×</m:t>
        </m:r>
      </m:oMath>
      <w:r w:rsidR="001E2000" w:rsidRPr="00C01462">
        <w:rPr>
          <w:rFonts w:eastAsiaTheme="minorEastAsia"/>
          <w:iCs/>
        </w:rPr>
        <w:t>10</w:t>
      </w:r>
      <w:r w:rsidR="001E2000" w:rsidRPr="00C01462">
        <w:rPr>
          <w:rFonts w:eastAsiaTheme="minorEastAsia"/>
          <w:iCs/>
          <w:vertAlign w:val="superscript"/>
        </w:rPr>
        <w:t>4</w:t>
      </w:r>
      <w:r w:rsidR="00F77B87" w:rsidRPr="00C01462">
        <w:rPr>
          <w:rFonts w:eastAsiaTheme="minorEastAsia"/>
          <w:iCs/>
        </w:rPr>
        <w:t>. We consider the 280 urban areas with populations greater than 1e6 according to the 2010 Census.</w:t>
      </w:r>
      <w:r w:rsidR="0059457F" w:rsidRPr="00C01462">
        <w:rPr>
          <w:rFonts w:eastAsiaTheme="minorEastAsia"/>
          <w:iCs/>
        </w:rPr>
        <w:t xml:space="preserve"> </w:t>
      </w:r>
      <w:r w:rsidR="001A10D0" w:rsidRPr="00C01462">
        <w:rPr>
          <w:rFonts w:eastAsiaTheme="minorEastAsia"/>
          <w:iCs/>
        </w:rPr>
        <w:t>The reduced-dimension posterior estimate and associated posterior covariance and averaging kernel matrices are then given by</w:t>
      </w:r>
    </w:p>
    <w:p w14:paraId="16798F6B" w14:textId="77777777" w:rsidR="00500F8B" w:rsidRPr="00C01462" w:rsidRDefault="00500F8B" w:rsidP="00E334F2">
      <w:pPr>
        <w:rPr>
          <w:rFonts w:eastAsiaTheme="minorEastAsia"/>
          <w:iCs/>
        </w:rPr>
      </w:pPr>
    </w:p>
    <w:p w14:paraId="0974BD49" w14:textId="6780A1E9"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09956F46" w14:textId="64420204" w:rsidR="001A10D0"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w:t>
      </w:r>
      <w:proofErr w:type="spellStart"/>
      <w:r w:rsidRPr="00C01462">
        <w:rPr>
          <w:bCs/>
          <w:iCs/>
        </w:rPr>
        <w:t>Caliesi</w:t>
      </w:r>
      <w:proofErr w:type="spellEnd"/>
      <w:r w:rsidRPr="00C01462">
        <w:rPr>
          <w:bCs/>
          <w:iCs/>
        </w:rPr>
        <w:t xml:space="preserve"> et al., 2005).</w:t>
      </w:r>
    </w:p>
    <w:p w14:paraId="53543F6D" w14:textId="6212089F" w:rsidR="006E6383" w:rsidRPr="00C01462" w:rsidRDefault="006E6383">
      <w:pPr>
        <w:rPr>
          <w:bCs/>
          <w:iCs/>
        </w:rPr>
      </w:pPr>
    </w:p>
    <w:p w14:paraId="68E1954D" w14:textId="483C374E" w:rsidR="006E6383" w:rsidRPr="00C01462" w:rsidRDefault="006E6383">
      <w:pPr>
        <w:rPr>
          <w:bCs/>
          <w:iCs/>
        </w:rPr>
      </w:pPr>
      <w:r w:rsidRPr="00C01462">
        <w:rPr>
          <w:bCs/>
          <w:iCs/>
        </w:rPr>
        <w:t xml:space="preserve">This approach to source attribution assumes that the distribution of emissions in the prior is correct and that </w:t>
      </w:r>
      <w:r w:rsidR="00930C90" w:rsidRPr="00C01462">
        <w:rPr>
          <w:bCs/>
          <w:iCs/>
        </w:rPr>
        <w:t xml:space="preserve">emission sources are evenly distributed in grid cells that cross state or urban lines. Alternative approaches use the posterior error standard deviations to attribute the posterior emissions to sources, thereby including information from the observing system (Shen et al., xx; Cusworth et al, xx.). We use the simpler approach because the 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2024803E"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scale factors relative to the prior emissions estimate (left) and ensemble mean </w:t>
      </w:r>
      <w:r w:rsidR="00E87A82" w:rsidRPr="00C01462">
        <w:t>averaging kernel sensitivities</w:t>
      </w:r>
      <w:r w:rsidR="00876ADD" w:rsidRPr="00C01462">
        <w:t xml:space="preserve"> (right)</w:t>
      </w:r>
      <w:r w:rsidR="003F3553" w:rsidRPr="00C01462">
        <w:t xml:space="preserve">. </w:t>
      </w:r>
      <w:r w:rsidR="005677C3" w:rsidRPr="00C01462">
        <w:t>B</w:t>
      </w:r>
      <w:r w:rsidR="009C59C0" w:rsidRPr="00C01462">
        <w:t xml:space="preserve">oundary condition optimization results are shown in table 2. </w:t>
      </w:r>
      <w:r w:rsidR="00065213" w:rsidRPr="00C01462">
        <w:t xml:space="preserve">We find </w:t>
      </w:r>
      <w:r w:rsidR="0032207F" w:rsidRPr="00C01462">
        <w:t>784</w:t>
      </w:r>
      <w:r w:rsidR="00065213" w:rsidRPr="00C01462">
        <w:t xml:space="preserve"> </w:t>
      </w:r>
      <w:r w:rsidR="0032207F" w:rsidRPr="00C01462">
        <w:t>(338</w:t>
      </w:r>
      <w:r w:rsidR="00A9077F" w:rsidRPr="00C01462">
        <w:t xml:space="preserve"> - </w:t>
      </w:r>
      <w:r w:rsidR="0032207F" w:rsidRPr="00C01462">
        <w:t xml:space="preserve">1278)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C22BF6" w:rsidRPr="00C01462">
        <w:t xml:space="preserve">Of these DOFS, </w:t>
      </w:r>
      <w:r w:rsidR="00392D91" w:rsidRPr="00C01462">
        <w:t>38 (11 - 69)</w:t>
      </w:r>
      <w:r w:rsidR="007A62FC" w:rsidRPr="00C01462">
        <w:t xml:space="preserve"> are found in Canada, </w:t>
      </w:r>
      <w:r w:rsidR="00392D91" w:rsidRPr="00C01462">
        <w:t>648 (281 – 1058)</w:t>
      </w:r>
      <w:r w:rsidR="007A62FC" w:rsidRPr="00C01462">
        <w:t xml:space="preserve"> in the contiguous United States (CONUS), and </w:t>
      </w:r>
      <w:r w:rsidR="00C22BF6" w:rsidRPr="00C01462">
        <w:t>89 (45 - 134)</w:t>
      </w:r>
      <w:r w:rsidR="007A62FC" w:rsidRPr="00C01462">
        <w:t xml:space="preserve"> in Mexico. </w:t>
      </w:r>
      <w:r w:rsidR="005B4BA4" w:rsidRPr="00C01462">
        <w:t xml:space="preserve">The </w:t>
      </w:r>
      <w:r w:rsidR="0038532E" w:rsidRPr="00C01462">
        <w:t>spatial variation</w:t>
      </w:r>
      <w:r w:rsidR="005B4BA4" w:rsidRPr="00C01462">
        <w:t xml:space="preserve"> in </w:t>
      </w:r>
      <w:r w:rsidR="0038532E" w:rsidRPr="00C01462">
        <w:t>information content</w:t>
      </w:r>
      <w:r w:rsidR="005B4BA4" w:rsidRPr="00C01462">
        <w:t xml:space="preserve"> result</w:t>
      </w:r>
      <w:r w:rsidR="0038532E" w:rsidRPr="00C01462">
        <w:t>s</w:t>
      </w:r>
      <w:r w:rsidR="005B4BA4" w:rsidRPr="00C01462">
        <w:t xml:space="preserve"> from variations in prior emissions (e.g., small total emissions in Northern Mexico as shown in Figure 1) and in the observation density (e.g., </w:t>
      </w:r>
      <w:r w:rsidR="0038532E" w:rsidRPr="00C01462">
        <w:t>low</w:t>
      </w:r>
      <w:r w:rsidR="005B4BA4" w:rsidRPr="00C01462">
        <w:t xml:space="preserve"> TROPOMI coverage north of 50 degrees latitude as shown in Figure 2).</w:t>
      </w:r>
      <w:r w:rsidR="00507DDF" w:rsidRPr="00C01462">
        <w:t xml:space="preserve"> </w:t>
      </w:r>
      <w:r w:rsidR="0038532E" w:rsidRPr="00C01462">
        <w:t>Nonetheless,</w:t>
      </w:r>
      <w:r w:rsidR="008A556F" w:rsidRPr="00C01462">
        <w:t xml:space="preserve"> we find a large increase in </w:t>
      </w:r>
      <w:r w:rsidR="0038532E" w:rsidRPr="00C01462">
        <w:t>information content</w:t>
      </w:r>
      <w:r w:rsidR="008A556F" w:rsidRPr="00C01462">
        <w:t xml:space="preserve"> relative to past inversions over the same domain: Lu et al. (2022) found 114 DOFS in a joint inversion of data from GOSAT and NOAA’s </w:t>
      </w:r>
      <w:proofErr w:type="spellStart"/>
      <w:r w:rsidR="008A556F" w:rsidRPr="00C01462">
        <w:t>ObsPack</w:t>
      </w:r>
      <w:proofErr w:type="spellEnd"/>
      <w:r w:rsidR="008A556F" w:rsidRPr="00C01462">
        <w:t xml:space="preserve">, while Shen et al. (2022) found 201 DOFS in an inversion of TROPOMI observations over 14 oil and natural gas basins. This increase reflects </w:t>
      </w:r>
      <w:r w:rsidR="008648FA" w:rsidRPr="00C01462">
        <w:t xml:space="preserve">both </w:t>
      </w:r>
      <w:r w:rsidR="008A556F" w:rsidRPr="00C01462">
        <w:t xml:space="preserve">the </w:t>
      </w:r>
      <w:r w:rsidR="008648FA" w:rsidRPr="00C01462">
        <w:t xml:space="preserve">improved constraint provided by TROPOMI and the benefit of achieving high resolution </w:t>
      </w:r>
      <w:r w:rsidR="003E0D11" w:rsidRPr="00C01462">
        <w:t>on continental scales</w:t>
      </w:r>
      <w:r w:rsidR="008648FA" w:rsidRPr="00C01462">
        <w:t>.</w:t>
      </w:r>
    </w:p>
    <w:p w14:paraId="43665F24" w14:textId="495CB63A" w:rsidR="00C22BF6" w:rsidRPr="00C01462" w:rsidRDefault="00C22BF6"/>
    <w:p w14:paraId="57ADDE53" w14:textId="1C0A0C71" w:rsidR="00CD400B" w:rsidRPr="00C01462" w:rsidRDefault="00C22BF6" w:rsidP="00100E70">
      <w:r w:rsidRPr="00C01462">
        <w:t>We use the averaging kernel sensitivities greater than 0.05 to define the grid cells that are optimized by the reduced-rank inversion. Optimized grid cells explain 21% (11% - 32%) of prior emissions in Canada, 74% (60% - 83%) in CONUS, and 66% (53% - 71%) in Mexico, reflecting the spatially variable information content.</w:t>
      </w:r>
      <w:r w:rsidR="00577811" w:rsidRPr="00C01462">
        <w:t xml:space="preserve"> Across </w:t>
      </w:r>
      <w:r w:rsidR="00F36F91" w:rsidRPr="00C01462">
        <w:t>the optimized</w:t>
      </w:r>
      <w:r w:rsidR="00577811" w:rsidRPr="00C01462">
        <w:t xml:space="preserve"> grid cells, we </w:t>
      </w:r>
      <w:r w:rsidR="00CD400B" w:rsidRPr="00C01462">
        <w:t xml:space="preserve">find a mean of 258 (40 - 572) negative values out of the 23691 grid cells optimized by the inversion across the ensemble. These </w:t>
      </w:r>
      <w:r w:rsidR="00A95966" w:rsidRPr="00C01462">
        <w:t xml:space="preserve">values are mostly small and </w:t>
      </w:r>
      <w:r w:rsidR="00F36F91" w:rsidRPr="00C01462">
        <w:t>of</w:t>
      </w:r>
      <w:r w:rsidR="00A95966" w:rsidRPr="00C01462">
        <w:t xml:space="preserve"> the same order</w:t>
      </w:r>
      <w:r w:rsidR="00F36F91" w:rsidRPr="00C01462">
        <w:t xml:space="preserve"> of magnitude</w:t>
      </w:r>
      <w:r w:rsidR="00A95966" w:rsidRPr="00C01462">
        <w:t xml:space="preserve"> as the soil sink.</w:t>
      </w:r>
    </w:p>
    <w:p w14:paraId="74C9BFD3" w14:textId="522E8F41" w:rsidR="00CD400B" w:rsidRPr="00C01462" w:rsidRDefault="00CD400B" w:rsidP="00100E70"/>
    <w:p w14:paraId="5F3A8FEC" w14:textId="44B98BCE" w:rsidR="00F36F91" w:rsidRPr="00C01462" w:rsidRDefault="00F36F91" w:rsidP="00100E70">
      <w:r w:rsidRPr="00C01462">
        <w:t xml:space="preserve">We conduct an independent evaluation of the reduced-rank inversion by comparing our mean posterior emissions to </w:t>
      </w:r>
      <w:r w:rsidR="0082093F" w:rsidRPr="00C01462">
        <w:t xml:space="preserve">a </w:t>
      </w:r>
      <w:r w:rsidRPr="00C01462">
        <w:t xml:space="preserve">full-rank regional inversion of TROPOMI observations to quantify emissions from major oil and natural gas producing regions (Shen et al., 2022). </w:t>
      </w:r>
      <w:r w:rsidRPr="00C01462">
        <w:rPr>
          <w:color w:val="FF0000"/>
        </w:rPr>
        <w:t>[Insert]</w:t>
      </w:r>
    </w:p>
    <w:p w14:paraId="55A317F8" w14:textId="77777777" w:rsidR="00F36F91" w:rsidRPr="00C01462" w:rsidRDefault="00F36F91" w:rsidP="00100E70"/>
    <w:p w14:paraId="5D323CF3" w14:textId="2930E840" w:rsidR="00100E70" w:rsidRPr="00C01462" w:rsidRDefault="00C22BF6" w:rsidP="00100E70">
      <w:r w:rsidRPr="00C01462">
        <w:t>The</w:t>
      </w:r>
      <w:r w:rsidR="00100E70" w:rsidRPr="00C01462">
        <w:t xml:space="preserve"> mean posterior emissions </w:t>
      </w:r>
      <w:r w:rsidRPr="00C01462">
        <w:t>when</w:t>
      </w:r>
      <w:r w:rsidR="00100E70" w:rsidRPr="00C01462">
        <w:t xml:space="preserve"> </w:t>
      </w:r>
      <w:r w:rsidRPr="00C01462">
        <w:t>used in</w:t>
      </w:r>
      <w:r w:rsidR="00100E70" w:rsidRPr="00C01462">
        <w:t xml:space="preserve"> GEOS-Chem </w:t>
      </w:r>
      <w:r w:rsidRPr="00C01462">
        <w:t>decreases the root mean squared error of the simulated observations with the TROPOMI data by xx% relative to the prior GEOS-Chem simulation</w:t>
      </w:r>
      <w:r w:rsidR="00100E70" w:rsidRPr="00C01462">
        <w:t xml:space="preserve">. </w:t>
      </w:r>
      <w:r w:rsidR="00100E70" w:rsidRPr="00C01462">
        <w:rPr>
          <w:color w:val="FF0000"/>
        </w:rPr>
        <w:t xml:space="preserve">[Insert posterior evaluation.] </w:t>
      </w:r>
      <w:r w:rsidR="00100E70" w:rsidRPr="00C01462">
        <w:t xml:space="preserve">We also compare the prior and mean posterior simulations to in situ surface and aircraft observations from the </w:t>
      </w:r>
      <w:proofErr w:type="spellStart"/>
      <w:r w:rsidR="00100E70" w:rsidRPr="00C01462">
        <w:t>GLOBALVIEWplus</w:t>
      </w:r>
      <w:proofErr w:type="spellEnd"/>
      <w:r w:rsidR="00100E70" w:rsidRPr="00C01462">
        <w:t xml:space="preserve"> CH</w:t>
      </w:r>
      <w:r w:rsidR="00100E70" w:rsidRPr="00C01462">
        <w:rPr>
          <w:vertAlign w:val="subscript"/>
        </w:rPr>
        <w:t>4</w:t>
      </w:r>
      <w:r w:rsidR="00100E70" w:rsidRPr="00C01462">
        <w:t xml:space="preserve"> </w:t>
      </w:r>
      <w:proofErr w:type="spellStart"/>
      <w:r w:rsidR="00100E70" w:rsidRPr="00C01462">
        <w:t>ObsPack</w:t>
      </w:r>
      <w:proofErr w:type="spellEnd"/>
      <w:r w:rsidR="00100E70" w:rsidRPr="00C01462">
        <w:t xml:space="preserve"> v(xx) database maintained by the National Oceanic and Atmospheric Administration (NOAA) Global Monitoring Laboratory (cite).  </w:t>
      </w:r>
      <w:r w:rsidR="00100E70" w:rsidRPr="00C01462">
        <w:rPr>
          <w:color w:val="FF0000"/>
        </w:rPr>
        <w:t>[Insert independent posterior evaluation.]</w:t>
      </w:r>
    </w:p>
    <w:p w14:paraId="49A40720" w14:textId="34B23EED" w:rsidR="004D3628" w:rsidRPr="00C01462" w:rsidRDefault="004D3628"/>
    <w:p w14:paraId="3524DDF2" w14:textId="513DF413" w:rsidR="004D3628" w:rsidRPr="00C01462" w:rsidRDefault="004D3628">
      <w:pPr>
        <w:rPr>
          <w:b/>
          <w:bCs/>
        </w:rPr>
      </w:pPr>
      <w:r w:rsidRPr="00C01462">
        <w:rPr>
          <w:b/>
          <w:bCs/>
        </w:rPr>
        <w:t>3.</w:t>
      </w:r>
      <w:r w:rsidR="007A62FC" w:rsidRPr="00C01462">
        <w:rPr>
          <w:b/>
          <w:bCs/>
        </w:rPr>
        <w:t>1</w:t>
      </w:r>
      <w:r w:rsidRPr="00C01462">
        <w:rPr>
          <w:b/>
          <w:bCs/>
        </w:rPr>
        <w:t xml:space="preserve"> National sectoral emissions</w:t>
      </w:r>
    </w:p>
    <w:p w14:paraId="1CE60504" w14:textId="77777777" w:rsidR="000A6465" w:rsidRPr="00C01462" w:rsidRDefault="007842A1" w:rsidP="000E257D">
      <w:r w:rsidRPr="00C01462">
        <w:t xml:space="preserve">Across the inversion ensemble, we find that relative to the prior, mean posterior </w:t>
      </w:r>
      <w:r w:rsidR="00F05472" w:rsidRPr="00C01462">
        <w:t xml:space="preserve">anthropogenic and natural </w:t>
      </w:r>
      <w:r w:rsidRPr="00C01462">
        <w:t>methane emissions decrease -0.8 (-2.</w:t>
      </w:r>
      <w:r w:rsidR="001017B3" w:rsidRPr="00C01462">
        <w:t>2</w:t>
      </w:r>
      <w:r w:rsidRPr="00C01462">
        <w:t xml:space="preserve"> - 0.1) </w:t>
      </w:r>
      <w:proofErr w:type="spellStart"/>
      <w:r w:rsidRPr="00C01462">
        <w:t>Tg</w:t>
      </w:r>
      <w:proofErr w:type="spellEnd"/>
      <w:r w:rsidRPr="00C01462">
        <w:t xml:space="preserve"> a</w:t>
      </w:r>
      <w:r w:rsidRPr="00C01462">
        <w:rPr>
          <w:vertAlign w:val="superscript"/>
        </w:rPr>
        <w:t>-1</w:t>
      </w:r>
      <w:r w:rsidRPr="00C01462">
        <w:t xml:space="preserve"> in Canada, increase 3.1 (1.5 - 4.</w:t>
      </w:r>
      <w:r w:rsidR="001017B3" w:rsidRPr="00C01462">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in CONUS, and decrease -0.</w:t>
      </w:r>
      <w:r w:rsidR="001017B3" w:rsidRPr="00C01462">
        <w:t>7</w:t>
      </w:r>
      <w:r w:rsidRPr="00C01462">
        <w:t xml:space="preserve"> (-1.3 - 0.</w:t>
      </w:r>
      <w:r w:rsidR="001017B3" w:rsidRPr="00C01462">
        <w:t>1</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in Mexico. The indeterminate sign of the emissions change in Canada and Mexico results from the low fraction of prior emissions optimized by the reduced-rank inversion, which reflects the low information content available in these regions. As a result, we focus our discussion on CONUS</w:t>
      </w:r>
      <w:r w:rsidR="000A6465" w:rsidRPr="00C01462">
        <w:t>.</w:t>
      </w:r>
    </w:p>
    <w:p w14:paraId="27752FAB" w14:textId="77777777" w:rsidR="000A6465" w:rsidRPr="00C01462" w:rsidRDefault="000A6465" w:rsidP="000E257D"/>
    <w:p w14:paraId="25E95B3C" w14:textId="3922EF02"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717DF5" w:rsidRPr="00C01462">
        <w:t>emissions</w:t>
      </w:r>
      <w:r w:rsidR="001017B3" w:rsidRPr="00C01462">
        <w:t xml:space="preserve"> </w:t>
      </w:r>
      <w:r w:rsidR="00EA52A5" w:rsidRPr="00C01462">
        <w:t xml:space="preserve">of 31.4 (30.0 </w:t>
      </w:r>
      <w:r w:rsidR="00435381" w:rsidRPr="00C01462">
        <w:t>-</w:t>
      </w:r>
      <w:r w:rsidR="00EA52A5" w:rsidRPr="00C01462">
        <w:t xml:space="preserve"> 33.0) </w:t>
      </w:r>
      <w:proofErr w:type="spellStart"/>
      <w:r w:rsidR="00EA52A5" w:rsidRPr="00C01462">
        <w:t>Tg</w:t>
      </w:r>
      <w:proofErr w:type="spellEnd"/>
      <w:r w:rsidR="00EA52A5" w:rsidRPr="00C01462">
        <w:t xml:space="preserve"> a</w:t>
      </w:r>
      <w:r w:rsidR="00EA52A5" w:rsidRPr="00C01462">
        <w:rPr>
          <w:vertAlign w:val="superscript"/>
        </w:rPr>
        <w:t>-1</w:t>
      </w:r>
      <w:r w:rsidR="000B54EC" w:rsidRPr="00C01462">
        <w:t xml:space="preserve"> in CONUS.</w:t>
      </w:r>
      <w:r w:rsidR="00EA52A5" w:rsidRPr="00C01462">
        <w:t xml:space="preserve"> This represents a </w:t>
      </w:r>
      <w:r w:rsidR="001017B3" w:rsidRPr="00C01462">
        <w:t>9%</w:t>
      </w:r>
      <w:r w:rsidR="00435381" w:rsidRPr="00C01462">
        <w:t xml:space="preserve"> (5% - 15%)</w:t>
      </w:r>
      <w:r w:rsidR="001017B3" w:rsidRPr="00C01462">
        <w:t xml:space="preserve"> </w:t>
      </w:r>
      <w:r w:rsidR="00EA52A5" w:rsidRPr="00C01462">
        <w:t xml:space="preserve">increase </w:t>
      </w:r>
      <w:r w:rsidR="001017B3" w:rsidRPr="00C01462">
        <w:t xml:space="preserve">from </w:t>
      </w:r>
      <w:r w:rsidR="00EA52A5" w:rsidRPr="00C01462">
        <w:t xml:space="preserve">our prior estimate of </w:t>
      </w:r>
      <w:r w:rsidR="001017B3" w:rsidRPr="00C01462">
        <w:t xml:space="preserve">28.7 </w:t>
      </w:r>
      <w:proofErr w:type="spellStart"/>
      <w:r w:rsidR="001017B3" w:rsidRPr="00C01462">
        <w:t>Tg</w:t>
      </w:r>
      <w:proofErr w:type="spellEnd"/>
      <w:r w:rsidR="001017B3" w:rsidRPr="00C01462">
        <w:t xml:space="preserve"> a</w:t>
      </w:r>
      <w:r w:rsidR="001017B3" w:rsidRPr="00C01462">
        <w:rPr>
          <w:vertAlign w:val="superscript"/>
        </w:rPr>
        <w:t>-1</w:t>
      </w:r>
      <w:r w:rsidR="001017B3" w:rsidRPr="00C01462">
        <w:t xml:space="preserve"> </w:t>
      </w:r>
      <w:r w:rsidR="00EA52A5" w:rsidRPr="00C01462">
        <w:t xml:space="preserve">and a </w:t>
      </w:r>
      <w:r w:rsidR="007256CA" w:rsidRPr="00C01462">
        <w:t>17</w:t>
      </w:r>
      <w:r w:rsidR="00EA52A5" w:rsidRPr="00C01462">
        <w:t xml:space="preserve">% </w:t>
      </w:r>
      <w:r w:rsidR="00435381" w:rsidRPr="00C01462">
        <w:t>(</w:t>
      </w:r>
      <w:r w:rsidR="00BB4E97" w:rsidRPr="00C01462">
        <w:t>12% - 23%</w:t>
      </w:r>
      <w:r w:rsidR="00435381" w:rsidRPr="00C01462">
        <w:t xml:space="preserve">) </w:t>
      </w:r>
      <w:r w:rsidR="00EA52A5" w:rsidRPr="00C01462">
        <w:t xml:space="preserve">increase from the most recent EPA Greenhouse Gas Inventory (GHGI) estimate </w:t>
      </w:r>
      <w:r w:rsidR="00DA2503" w:rsidRPr="00C01462">
        <w:t xml:space="preserve">of 26.8 </w:t>
      </w:r>
      <w:proofErr w:type="spellStart"/>
      <w:r w:rsidR="00DA2503" w:rsidRPr="00C01462">
        <w:t>Tg</w:t>
      </w:r>
      <w:proofErr w:type="spellEnd"/>
      <w:r w:rsidR="00DA2503" w:rsidRPr="00C01462">
        <w:t xml:space="preserve"> a</w:t>
      </w:r>
      <w:r w:rsidR="00DA2503" w:rsidRPr="00C01462">
        <w:rPr>
          <w:vertAlign w:val="superscript"/>
        </w:rPr>
        <w:t>-1</w:t>
      </w:r>
      <w:r w:rsidR="00DA2503" w:rsidRPr="00C01462">
        <w:t xml:space="preserve"> </w:t>
      </w:r>
      <w:r w:rsidR="00EA52A5" w:rsidRPr="00C01462">
        <w:t xml:space="preserve">for </w:t>
      </w:r>
      <w:commentRangeStart w:id="5"/>
      <w:commentRangeStart w:id="6"/>
      <w:r w:rsidR="00EA52A5" w:rsidRPr="00C01462">
        <w:t>2019</w:t>
      </w:r>
      <w:commentRangeEnd w:id="5"/>
      <w:r w:rsidR="00AE2CBF" w:rsidRPr="00C01462">
        <w:rPr>
          <w:rStyle w:val="CommentReference"/>
        </w:rPr>
        <w:commentReference w:id="5"/>
      </w:r>
      <w:commentRangeEnd w:id="6"/>
      <w:r w:rsidR="00AE2CBF" w:rsidRPr="00C01462">
        <w:rPr>
          <w:rStyle w:val="CommentReference"/>
        </w:rPr>
        <w:commentReference w:id="6"/>
      </w:r>
      <w:r w:rsidR="001E1154" w:rsidRPr="00C01462">
        <w:t>.</w:t>
      </w:r>
      <w:r w:rsidR="0082093F" w:rsidRPr="00C01462">
        <w:t xml:space="preserve"> </w:t>
      </w:r>
      <w:r w:rsidR="001017B3" w:rsidRPr="00C01462">
        <w:t xml:space="preserve">Lu et al. (2022) found </w:t>
      </w:r>
      <w:r w:rsidR="005302DB" w:rsidRPr="00C01462">
        <w:t>larger but still consistent</w:t>
      </w:r>
      <w:r w:rsidR="009F00AF" w:rsidRPr="00C01462">
        <w:t xml:space="preserve"> </w:t>
      </w:r>
      <w:r w:rsidR="001017B3" w:rsidRPr="00C01462">
        <w:t xml:space="preserve">anthropogenic methane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5302DB" w:rsidRPr="00C01462">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conducted a survey of </w:t>
      </w:r>
      <w:r w:rsidR="00C25355" w:rsidRPr="00C01462">
        <w:t xml:space="preserve">GOSAT </w:t>
      </w:r>
      <w:r w:rsidR="00316DA7" w:rsidRPr="00C01462">
        <w:t xml:space="preserve">inversions and found </w:t>
      </w:r>
      <w:r w:rsidR="00C25355" w:rsidRPr="00C01462">
        <w:t xml:space="preserve">similar </w:t>
      </w:r>
      <w:r w:rsidR="00316DA7" w:rsidRPr="00C01462">
        <w:t xml:space="preserve">median posterior anthropogenic methane emissions for the United States of 26.5 (20.8 –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for 2019.</w:t>
      </w:r>
      <w:r w:rsidR="008150A2" w:rsidRPr="00C01462">
        <w:t xml:space="preserve"> </w:t>
      </w:r>
      <w:r w:rsidR="001D46FE" w:rsidRPr="00C01462">
        <w:t>The lower estimate in these inversions could reflect changes between 2017 and 2019, different prior emissions, or difference</w:t>
      </w:r>
      <w:r w:rsidR="002D3DE6" w:rsidRPr="00C01462">
        <w:t>s</w:t>
      </w:r>
      <w:r w:rsidR="001D46FE" w:rsidRPr="00C01462">
        <w:t xml:space="preserve"> between GOSAT and TROPOMI</w:t>
      </w:r>
      <w:r w:rsidR="00C25355" w:rsidRPr="00C01462">
        <w:t xml:space="preserve">. </w:t>
      </w:r>
      <w:r w:rsidR="002D3DE6" w:rsidRPr="00C01462">
        <w:t xml:space="preserve">Notably, GOSAT has similar accuracy and precision to TROPOMI, but produces two orders of magnitude fewer measurements. </w:t>
      </w:r>
      <w:r w:rsidR="00C25355" w:rsidRPr="00C01462">
        <w:t>Deng et al. (2022) also surveyed inversions of</w:t>
      </w:r>
      <w:r w:rsidR="008150A2" w:rsidRPr="00C01462">
        <w:t xml:space="preserve"> in situ </w:t>
      </w:r>
      <w:r w:rsidR="00C25355" w:rsidRPr="00C01462">
        <w:t>data</w:t>
      </w:r>
      <w:r w:rsidR="008150A2" w:rsidRPr="00C01462">
        <w:t xml:space="preserve">, which </w:t>
      </w:r>
      <w:r w:rsidR="00C25355" w:rsidRPr="00C01462">
        <w:t>use</w:t>
      </w:r>
      <w:r w:rsidR="001D46FE" w:rsidRPr="00C01462">
        <w:t>d</w:t>
      </w:r>
      <w:r w:rsidR="00174751" w:rsidRPr="00C01462">
        <w:t xml:space="preserve"> high accuracy and high precision observations from surface sites across the United States</w:t>
      </w:r>
      <w:r w:rsidR="001D46FE" w:rsidRPr="00C01462">
        <w:t>. In this case</w:t>
      </w:r>
      <w:r w:rsidR="009F00AF" w:rsidRPr="00C01462">
        <w:t>,</w:t>
      </w:r>
      <w:r w:rsidR="001D46FE" w:rsidRPr="00C01462">
        <w:t xml:space="preserve"> they found </w:t>
      </w:r>
      <w:r w:rsidR="00C25355" w:rsidRPr="00C01462">
        <w:t xml:space="preserve">median posterior anthropogenic methane emissions of 31.9 (23.9 - 43.1) </w:t>
      </w:r>
      <w:proofErr w:type="spellStart"/>
      <w:r w:rsidR="00C25355" w:rsidRPr="00C01462">
        <w:t>Tg</w:t>
      </w:r>
      <w:proofErr w:type="spellEnd"/>
      <w:r w:rsidR="00C25355" w:rsidRPr="00C01462">
        <w:t xml:space="preserve"> a</w:t>
      </w:r>
      <w:r w:rsidR="00C25355" w:rsidRPr="00C01462">
        <w:rPr>
          <w:vertAlign w:val="superscript"/>
        </w:rPr>
        <w:t>-1</w:t>
      </w:r>
      <w:r w:rsidR="00C25355" w:rsidRPr="00C01462">
        <w:t xml:space="preserve">, which </w:t>
      </w:r>
      <w:r w:rsidR="009257AC" w:rsidRPr="00C01462">
        <w:t>closely matches</w:t>
      </w:r>
      <w:r w:rsidR="00174751" w:rsidRPr="00C01462">
        <w:t xml:space="preserve"> our result</w:t>
      </w:r>
      <w:r w:rsidR="002D3DE6" w:rsidRPr="00C01462">
        <w:t xml:space="preserve"> and suggests that the lower estimate results at least partly from TROPOMI’s improved observational density</w:t>
      </w:r>
      <w:r w:rsidR="00C25355" w:rsidRPr="00C01462">
        <w:t>.</w:t>
      </w:r>
      <w:r w:rsidR="003E5FF0" w:rsidRPr="00C01462">
        <w:t xml:space="preserve"> </w:t>
      </w:r>
      <w:r w:rsidR="002D3DE6" w:rsidRPr="00C01462">
        <w:t xml:space="preserve">This explanation is further supported by the increase in DOFS we find compared to Lu et al. (2022) and by the </w:t>
      </w:r>
      <w:commentRangeStart w:id="7"/>
      <w:r w:rsidR="002D3DE6" w:rsidRPr="00C01462">
        <w:t xml:space="preserve">narrower </w:t>
      </w:r>
      <w:commentRangeEnd w:id="7"/>
      <w:r w:rsidR="008B08D6" w:rsidRPr="00C01462">
        <w:rPr>
          <w:rStyle w:val="CommentReference"/>
        </w:rPr>
        <w:commentReference w:id="7"/>
      </w:r>
      <w:r w:rsidR="002D3DE6" w:rsidRPr="00C01462">
        <w:t xml:space="preserve">posterior emissions </w:t>
      </w:r>
      <w:proofErr w:type="gramStart"/>
      <w:r w:rsidR="002D3DE6" w:rsidRPr="00C01462">
        <w:t>ranges</w:t>
      </w:r>
      <w:proofErr w:type="gramEnd"/>
      <w:r w:rsidR="002D3DE6" w:rsidRPr="00C01462">
        <w:t xml:space="preserve"> we find compared to both Lu et al. (2022) and both inversion ensembles in Deng et al. (2022).</w:t>
      </w:r>
    </w:p>
    <w:p w14:paraId="254BFB55" w14:textId="77777777" w:rsidR="00136BC7" w:rsidRPr="00C01462" w:rsidRDefault="00136BC7" w:rsidP="000E257D"/>
    <w:p w14:paraId="7DE682C4" w14:textId="1A5C6F74" w:rsidR="005131AC" w:rsidRPr="00C01462" w:rsidRDefault="00A847E9" w:rsidP="000E257D">
      <w:r w:rsidRPr="00C01462">
        <w:t xml:space="preserve">We allocate our national total to the emission sectors described in section 2.2 using the attribution method described in section 2.8. We find </w:t>
      </w:r>
      <w:r w:rsidR="00CD39EF" w:rsidRPr="00C01462">
        <w:t xml:space="preserve">very low posterior error correlation between the sectors (mean </w:t>
      </w:r>
      <w:r w:rsidRPr="00C01462">
        <w:t>error correlation coefficients less than 0.2</w:t>
      </w:r>
      <w:r w:rsidR="00CD39EF" w:rsidRPr="00C01462">
        <w:t xml:space="preserve"> in all cases), indicating that we can successfully separate sectoral emissions</w:t>
      </w:r>
      <w:r w:rsidRPr="00C01462">
        <w:t xml:space="preserve">. </w:t>
      </w:r>
      <w:r w:rsidR="00100E70" w:rsidRPr="00C01462">
        <w:t>Figure 4 shows the</w:t>
      </w:r>
      <w:r w:rsidR="00CD39EF" w:rsidRPr="00C01462">
        <w:t xml:space="preserve"> resulting</w:t>
      </w:r>
      <w:r w:rsidR="00100E70" w:rsidRPr="00C01462">
        <w:t xml:space="preserve"> prior and mean posterior emissions for </w:t>
      </w:r>
      <w:r w:rsidR="00CD39EF" w:rsidRPr="00C01462">
        <w:t xml:space="preserve">each sector in </w:t>
      </w:r>
      <w:r w:rsidR="00100E70" w:rsidRPr="00C01462">
        <w:t xml:space="preserve">Canada, </w:t>
      </w:r>
      <w:r w:rsidR="00392D91" w:rsidRPr="00C01462">
        <w:t>CONUS</w:t>
      </w:r>
      <w:r w:rsidR="00100E70" w:rsidRPr="00C01462">
        <w:t>, and Mexico</w:t>
      </w:r>
      <w:r w:rsidR="00D8398C" w:rsidRPr="00C01462">
        <w:t xml:space="preserve"> and table 1 shows the same data for CONUS</w:t>
      </w:r>
      <w:r w:rsidR="00100E70" w:rsidRPr="00C01462">
        <w:t xml:space="preserve">. </w:t>
      </w:r>
      <w:r w:rsidR="00F36F91" w:rsidRPr="00C01462">
        <w:t>A</w:t>
      </w:r>
      <w:r w:rsidR="00C22BF6" w:rsidRPr="00C01462">
        <w:t>lmost all significant changes in sectoral emissions are observed</w:t>
      </w:r>
      <w:r w:rsidR="00F36F91" w:rsidRPr="00C01462">
        <w:t xml:space="preserve"> in CONUS</w:t>
      </w:r>
      <w:r w:rsidR="00AA1DC9" w:rsidRPr="00C01462">
        <w:t>, with the</w:t>
      </w:r>
      <w:r w:rsidR="00C05FA1" w:rsidRPr="00C01462">
        <w:t xml:space="preserve"> largest changes occur</w:t>
      </w:r>
      <w:r w:rsidR="006464E6" w:rsidRPr="00C01462">
        <w:t>r</w:t>
      </w:r>
      <w:r w:rsidR="00AA1DC9" w:rsidRPr="00C01462">
        <w:t>ing</w:t>
      </w:r>
      <w:r w:rsidR="00C05FA1" w:rsidRPr="00C01462">
        <w:t xml:space="preserve"> </w:t>
      </w:r>
      <w:r w:rsidR="00EA45C5" w:rsidRPr="00C01462">
        <w:t>for</w:t>
      </w:r>
      <w:r w:rsidR="00C05FA1" w:rsidRPr="00C01462">
        <w:t xml:space="preserve"> </w:t>
      </w:r>
      <w:r w:rsidR="00EA45C5" w:rsidRPr="00C01462">
        <w:t xml:space="preserve">the biggest </w:t>
      </w:r>
      <w:r w:rsidR="00C05FA1" w:rsidRPr="00C01462">
        <w:t>anthropogenic methane emission sources, including</w:t>
      </w:r>
      <w:r w:rsidR="002C1748" w:rsidRPr="00C01462">
        <w:t xml:space="preserve"> </w:t>
      </w:r>
      <w:r w:rsidR="00AF6257" w:rsidRPr="00C01462">
        <w:t xml:space="preserve">landfills, </w:t>
      </w:r>
      <w:r w:rsidR="002C1748" w:rsidRPr="00C01462">
        <w:t>livestock,</w:t>
      </w:r>
      <w:r w:rsidR="00C05FA1" w:rsidRPr="00C01462">
        <w:t xml:space="preserve"> oil and natural gas,</w:t>
      </w:r>
      <w:r w:rsidR="00AF6257" w:rsidRPr="00C01462">
        <w:t xml:space="preserve"> and</w:t>
      </w:r>
      <w:r w:rsidR="00C05FA1" w:rsidRPr="00C01462">
        <w:t xml:space="preserve"> coal. </w:t>
      </w:r>
      <w:r w:rsidR="006C0639" w:rsidRPr="00C01462">
        <w:t>We find little adjustment to wastewater, wetlands, and other sources in part due to the observing system’s inability to correct for regions containing these sources.</w:t>
      </w:r>
      <w:r w:rsidR="006C0639" w:rsidRPr="00C01462">
        <w:t xml:space="preserve"> </w:t>
      </w:r>
      <w:r w:rsidR="00EA45C5" w:rsidRPr="00C01462">
        <w:t xml:space="preserve">For </w:t>
      </w:r>
      <w:r w:rsidR="006C0639" w:rsidRPr="00C01462">
        <w:t xml:space="preserve">the </w:t>
      </w:r>
      <w:r w:rsidR="00EA45C5" w:rsidRPr="00C01462">
        <w:t>sectors</w:t>
      </w:r>
      <w:r w:rsidR="00AB148C" w:rsidRPr="00C01462">
        <w:t xml:space="preserve"> with significant adjustments</w:t>
      </w:r>
      <w:r w:rsidR="00EA45C5" w:rsidRPr="00C01462">
        <w:t>, we</w:t>
      </w:r>
      <w:r w:rsidR="00AA1DC9" w:rsidRPr="00C01462">
        <w:t xml:space="preserve"> find sectoral averaging kernel sensitivities between 0.49 and 0.92, </w:t>
      </w:r>
      <w:r w:rsidR="00EA45C5" w:rsidRPr="00C01462">
        <w:t>with an average increase of 64% relative to</w:t>
      </w:r>
      <w:r w:rsidR="00AA1DC9" w:rsidRPr="00C01462">
        <w:t xml:space="preserve"> the equivalent values found by Lu et al. (2022)</w:t>
      </w:r>
      <w:r w:rsidR="006C0639" w:rsidRPr="00C01462">
        <w:t>, indicating that TROPOMI provides an improved constraint on sectoral emissions</w:t>
      </w:r>
      <w:r w:rsidR="00AA1DC9" w:rsidRPr="00C01462">
        <w:t xml:space="preserve">. </w:t>
      </w:r>
      <w:r w:rsidR="00272CC5" w:rsidRPr="00C01462">
        <w:rPr>
          <w:color w:val="000000" w:themeColor="text1"/>
        </w:rPr>
        <w:t>W</w:t>
      </w:r>
      <w:r w:rsidR="003E5FF0" w:rsidRPr="00C01462">
        <w:rPr>
          <w:color w:val="000000" w:themeColor="text1"/>
        </w:rPr>
        <w:t>e</w:t>
      </w:r>
      <w:r w:rsidR="00EA45C5" w:rsidRPr="00C01462">
        <w:rPr>
          <w:color w:val="000000" w:themeColor="text1"/>
        </w:rPr>
        <w:t xml:space="preserve"> also</w:t>
      </w:r>
      <w:r w:rsidR="003E5FF0" w:rsidRPr="00C01462">
        <w:rPr>
          <w:color w:val="000000" w:themeColor="text1"/>
        </w:rPr>
        <w:t xml:space="preserve"> find a narrower</w:t>
      </w:r>
      <w:r w:rsidR="00272CC5" w:rsidRPr="00C01462">
        <w:rPr>
          <w:color w:val="000000" w:themeColor="text1"/>
        </w:rPr>
        <w:t xml:space="preserve"> or equal</w:t>
      </w:r>
      <w:r w:rsidR="003E5FF0" w:rsidRPr="00C01462">
        <w:rPr>
          <w:color w:val="000000" w:themeColor="text1"/>
        </w:rPr>
        <w:t xml:space="preserve"> ensemble spread </w:t>
      </w:r>
      <w:r w:rsidR="00272CC5" w:rsidRPr="00C01462">
        <w:rPr>
          <w:color w:val="000000" w:themeColor="text1"/>
        </w:rPr>
        <w:t>compared to</w:t>
      </w:r>
      <w:r w:rsidR="003E5FF0" w:rsidRPr="00C01462">
        <w:rPr>
          <w:color w:val="000000" w:themeColor="text1"/>
        </w:rPr>
        <w:t xml:space="preserve"> Lu et al. (2022)</w:t>
      </w:r>
      <w:r w:rsidR="00AA1DC9" w:rsidRPr="00C01462">
        <w:rPr>
          <w:color w:val="000000" w:themeColor="text1"/>
        </w:rPr>
        <w:t xml:space="preserve">. </w:t>
      </w:r>
      <w:r w:rsidR="003E5FF0" w:rsidRPr="00C01462">
        <w:t>Each</w:t>
      </w:r>
      <w:r w:rsidR="005131AC" w:rsidRPr="00C01462">
        <w:t xml:space="preserve"> sector</w:t>
      </w:r>
      <w:r w:rsidR="003E5FF0" w:rsidRPr="00C01462">
        <w:t xml:space="preserve"> is</w:t>
      </w:r>
      <w:r w:rsidR="005131AC" w:rsidRPr="00C01462">
        <w:t xml:space="preserve"> also well constrained by </w:t>
      </w:r>
      <w:r w:rsidR="00984D86" w:rsidRPr="00C01462">
        <w:t xml:space="preserve">the </w:t>
      </w:r>
      <w:r w:rsidR="007842A1" w:rsidRPr="00C01462">
        <w:t>reduced-rank inversion</w:t>
      </w:r>
      <w:r w:rsidR="005131AC" w:rsidRPr="00C01462">
        <w:t>: on average, between 65% and 81% of the prior sectoral emissions are optimized</w:t>
      </w:r>
      <w:r w:rsidR="003E5FF0" w:rsidRPr="00C01462">
        <w:t>.</w:t>
      </w:r>
    </w:p>
    <w:p w14:paraId="05A795FE" w14:textId="77777777" w:rsidR="00AB148C" w:rsidRPr="00C01462" w:rsidRDefault="00AB148C" w:rsidP="000E257D"/>
    <w:p w14:paraId="61A6FD7A" w14:textId="56414799" w:rsidR="008400F8" w:rsidRPr="00C01462" w:rsidRDefault="008400F8" w:rsidP="000E257D">
      <w:r w:rsidRPr="00C01462">
        <w:t>Landfill emissions show the largest relative</w:t>
      </w:r>
      <w:r w:rsidR="00A0748E" w:rsidRPr="00C01462">
        <w:t xml:space="preserve"> and absolute</w:t>
      </w:r>
      <w:r w:rsidRPr="00C01462">
        <w:t xml:space="preserve"> increase from the prior emissions estimate. </w:t>
      </w:r>
      <w:r w:rsidR="00984D86" w:rsidRPr="00C01462">
        <w:t xml:space="preserve">We optimize 81% (62% - 90%) of prior landfills emissions and find a sectoral </w:t>
      </w:r>
      <w:r w:rsidR="00984D86" w:rsidRPr="00C01462">
        <w:lastRenderedPageBreak/>
        <w:t>averaging kernel sensitivity of 0.49 (0.31 – 0.66), indicating that</w:t>
      </w:r>
      <w:r w:rsidR="00CA2CB0" w:rsidRPr="00C01462">
        <w:t xml:space="preserve"> on average</w:t>
      </w:r>
      <w:r w:rsidR="00984D86" w:rsidRPr="00C01462">
        <w:t xml:space="preserve"> the </w:t>
      </w:r>
      <w:r w:rsidR="00CA2CB0" w:rsidRPr="00C01462">
        <w:t>observing system</w:t>
      </w:r>
      <w:r w:rsidR="00984D86" w:rsidRPr="00C01462">
        <w:t xml:space="preserve"> </w:t>
      </w:r>
      <w:r w:rsidR="00CA2CB0" w:rsidRPr="00C01462">
        <w:t xml:space="preserve">informs 49% of the posterior estimate with the remainder </w:t>
      </w:r>
      <w:r w:rsidR="00DA2503" w:rsidRPr="00C01462">
        <w:t>provided</w:t>
      </w:r>
      <w:r w:rsidR="00CA2CB0" w:rsidRPr="00C01462">
        <w:t xml:space="preserve"> by the prior</w:t>
      </w:r>
      <w:r w:rsidR="00984D86" w:rsidRPr="00C01462">
        <w:t xml:space="preserve">. </w:t>
      </w:r>
      <w:r w:rsidRPr="00C01462">
        <w:t xml:space="preserve">We find </w:t>
      </w:r>
      <w:r w:rsidR="00D01B9E" w:rsidRPr="00C01462">
        <w:t>posterior emissions of 7.</w:t>
      </w:r>
      <w:r w:rsidR="00CA2CB0" w:rsidRPr="00C01462">
        <w:t>2</w:t>
      </w:r>
      <w:r w:rsidR="00D01B9E" w:rsidRPr="00C01462">
        <w:t xml:space="preserve"> (6.4 - 8.2) </w:t>
      </w:r>
      <w:proofErr w:type="spellStart"/>
      <w:r w:rsidR="00D01B9E" w:rsidRPr="00C01462">
        <w:t>Tg</w:t>
      </w:r>
      <w:proofErr w:type="spellEnd"/>
      <w:r w:rsidR="00D01B9E" w:rsidRPr="00C01462">
        <w:t xml:space="preserve"> a</w:t>
      </w:r>
      <w:r w:rsidR="00D01B9E" w:rsidRPr="00C01462">
        <w:rPr>
          <w:vertAlign w:val="superscript"/>
        </w:rPr>
        <w:t>-1</w:t>
      </w:r>
      <w:r w:rsidR="00D01B9E" w:rsidRPr="00C01462">
        <w:t xml:space="preserve">, </w:t>
      </w:r>
      <w:r w:rsidRPr="00C01462">
        <w:t>a</w:t>
      </w:r>
      <w:r w:rsidR="00D01B9E" w:rsidRPr="00C01462">
        <w:t>n increase of</w:t>
      </w:r>
      <w:r w:rsidRPr="00C01462">
        <w:t xml:space="preserve"> 27% (13% - 45%) </w:t>
      </w:r>
      <w:r w:rsidR="00435381" w:rsidRPr="00C01462">
        <w:t xml:space="preserve">relative to the prior and </w:t>
      </w:r>
      <w:r w:rsidR="00D01B9E" w:rsidRPr="00C01462">
        <w:t xml:space="preserve">58% (41% - 81%) relative to the most recent EPA GHGI estimate for 2019. </w:t>
      </w:r>
      <w:r w:rsidR="00CA2CB0" w:rsidRPr="00C01462">
        <w:t>Lu et al. (2022) found</w:t>
      </w:r>
      <w:r w:rsidR="00DA2503" w:rsidRPr="00C01462">
        <w:t xml:space="preserve"> similar</w:t>
      </w:r>
      <w:r w:rsidR="00CA2CB0" w:rsidRPr="00C01462">
        <w:t xml:space="preserve"> mean posterior landfill </w:t>
      </w:r>
      <w:r w:rsidR="00CA2CB0" w:rsidRPr="00C01462">
        <w:rPr>
          <w:color w:val="000000" w:themeColor="text1"/>
        </w:rPr>
        <w:t>emissions of 7.</w:t>
      </w:r>
      <w:r w:rsidR="00272CC5" w:rsidRPr="00C01462">
        <w:rPr>
          <w:color w:val="000000" w:themeColor="text1"/>
        </w:rPr>
        <w:t>5</w:t>
      </w:r>
      <w:r w:rsidR="00CA2CB0" w:rsidRPr="00C01462">
        <w:rPr>
          <w:color w:val="000000" w:themeColor="text1"/>
        </w:rPr>
        <w:t xml:space="preserve"> (</w:t>
      </w:r>
      <w:r w:rsidR="00272CC5" w:rsidRPr="00C01462">
        <w:rPr>
          <w:color w:val="000000" w:themeColor="text1"/>
        </w:rPr>
        <w:t>5.9</w:t>
      </w:r>
      <w:r w:rsidR="00CA2CB0" w:rsidRPr="00C01462">
        <w:rPr>
          <w:color w:val="000000" w:themeColor="text1"/>
        </w:rPr>
        <w:t xml:space="preserve"> </w:t>
      </w:r>
      <w:r w:rsidR="00272CC5" w:rsidRPr="00C01462">
        <w:rPr>
          <w:color w:val="000000" w:themeColor="text1"/>
        </w:rPr>
        <w:t>–</w:t>
      </w:r>
      <w:r w:rsidR="00CA2CB0" w:rsidRPr="00C01462">
        <w:rPr>
          <w:color w:val="000000" w:themeColor="text1"/>
        </w:rPr>
        <w:t xml:space="preserve"> </w:t>
      </w:r>
      <w:r w:rsidR="00272CC5" w:rsidRPr="00C01462">
        <w:rPr>
          <w:color w:val="000000" w:themeColor="text1"/>
        </w:rPr>
        <w:t>7.7</w:t>
      </w:r>
      <w:r w:rsidR="00CA2CB0" w:rsidRPr="00C01462">
        <w:rPr>
          <w:color w:val="000000" w:themeColor="text1"/>
        </w:rPr>
        <w:t xml:space="preserve">) </w:t>
      </w:r>
      <w:proofErr w:type="spellStart"/>
      <w:r w:rsidR="00CA2CB0" w:rsidRPr="00C01462">
        <w:rPr>
          <w:color w:val="000000" w:themeColor="text1"/>
        </w:rPr>
        <w:t>Tg</w:t>
      </w:r>
      <w:proofErr w:type="spellEnd"/>
      <w:r w:rsidR="00CA2CB0" w:rsidRPr="00C01462">
        <w:rPr>
          <w:color w:val="000000" w:themeColor="text1"/>
        </w:rPr>
        <w:t xml:space="preserve"> a</w:t>
      </w:r>
      <w:r w:rsidR="00CA2CB0" w:rsidRPr="00C01462">
        <w:rPr>
          <w:color w:val="000000" w:themeColor="text1"/>
          <w:vertAlign w:val="superscript"/>
        </w:rPr>
        <w:t>-1</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DA2503" w:rsidRPr="00C01462">
        <w:rPr>
          <w:color w:val="000000" w:themeColor="text1"/>
        </w:rPr>
        <w:t xml:space="preserve">We </w:t>
      </w:r>
      <w:r w:rsidR="00DA2503" w:rsidRPr="00C01462">
        <w:t>attribute the</w:t>
      </w:r>
      <w:r w:rsidR="00AB148C" w:rsidRPr="00C01462">
        <w:t xml:space="preserve"> increase</w:t>
      </w:r>
      <w:r w:rsidR="00DA2503" w:rsidRPr="00C01462">
        <w:t xml:space="preserve"> to underestimated urban emissions, </w:t>
      </w:r>
      <w:r w:rsidR="006C0639" w:rsidRPr="00C01462">
        <w:t xml:space="preserve">including both direct landfill emissions and co-located post-meter natural gas </w:t>
      </w:r>
      <w:r w:rsidR="00AE2CBF" w:rsidRPr="00C01462">
        <w:t>emissions, which we</w:t>
      </w:r>
      <w:r w:rsidR="00DA2503" w:rsidRPr="00C01462">
        <w:t xml:space="preserve"> discuss in section 3.</w:t>
      </w:r>
      <w:r w:rsidR="009F27AC" w:rsidRPr="00C01462">
        <w:t>3</w:t>
      </w:r>
      <w:r w:rsidR="00DA2503" w:rsidRPr="00C01462">
        <w:t>.</w:t>
      </w:r>
    </w:p>
    <w:p w14:paraId="57763988" w14:textId="77777777" w:rsidR="008400F8" w:rsidRPr="00C01462" w:rsidRDefault="008400F8" w:rsidP="000E257D"/>
    <w:p w14:paraId="668C8E97" w14:textId="0AF45190" w:rsidR="009F00AF" w:rsidRPr="00C01462" w:rsidRDefault="008118C7" w:rsidP="000E257D">
      <w:r w:rsidRPr="00C01462">
        <w:t xml:space="preserve">Livestock emissions </w:t>
      </w:r>
      <w:r w:rsidR="006B1CD2" w:rsidRPr="00C01462">
        <w:t>show the</w:t>
      </w:r>
      <w:r w:rsidR="00A0748E" w:rsidRPr="00C01462">
        <w:t xml:space="preserve"> second</w:t>
      </w:r>
      <w:r w:rsidR="006B1CD2" w:rsidRPr="00C01462">
        <w:t xml:space="preserve"> largest absolute increase </w:t>
      </w:r>
      <w:r w:rsidR="009F00AF" w:rsidRPr="00C01462">
        <w:t>from</w:t>
      </w:r>
      <w:r w:rsidR="006B1CD2" w:rsidRPr="00C01462">
        <w:t xml:space="preserve"> the prior</w:t>
      </w:r>
      <w:r w:rsidR="009F00AF" w:rsidRPr="00C01462">
        <w:t xml:space="preserve"> emissions estimate</w:t>
      </w:r>
      <w:r w:rsidR="004D7FC3" w:rsidRPr="00C01462">
        <w:t xml:space="preserve">. </w:t>
      </w:r>
      <w:r w:rsidR="00CA2CB0" w:rsidRPr="00C01462">
        <w:t xml:space="preserve">We optimize 65% (45% - 76%) of prior emissions and find a sectoral averaging kernel sensitivity of 0.67 (0.50 - 0.77). </w:t>
      </w:r>
      <w:r w:rsidR="003E5FF0" w:rsidRPr="00C01462">
        <w:t>P</w:t>
      </w:r>
      <w:r w:rsidR="004D7FC3" w:rsidRPr="00C01462">
        <w:t xml:space="preserve">osterior emissions of 10.5 (9.9 - 10.9) </w:t>
      </w:r>
      <w:proofErr w:type="spellStart"/>
      <w:r w:rsidR="004D7FC3" w:rsidRPr="00C01462">
        <w:t>Tg</w:t>
      </w:r>
      <w:proofErr w:type="spellEnd"/>
      <w:r w:rsidR="004D7FC3" w:rsidRPr="00C01462">
        <w:t xml:space="preserve"> a</w:t>
      </w:r>
      <w:r w:rsidR="004D7FC3" w:rsidRPr="00C01462">
        <w:rPr>
          <w:vertAlign w:val="superscript"/>
        </w:rPr>
        <w:t>-1</w:t>
      </w:r>
      <w:r w:rsidR="00AF6257" w:rsidRPr="00C01462">
        <w:t xml:space="preserve"> represent</w:t>
      </w:r>
      <w:r w:rsidR="00CA2CB0" w:rsidRPr="00C01462">
        <w:t xml:space="preserve"> </w:t>
      </w:r>
      <w:proofErr w:type="gramStart"/>
      <w:r w:rsidR="00AF6257" w:rsidRPr="00C01462">
        <w:t>a</w:t>
      </w:r>
      <w:proofErr w:type="gramEnd"/>
      <w:r w:rsidR="006506BC" w:rsidRPr="00C01462">
        <w:t xml:space="preserve"> increase of</w:t>
      </w:r>
      <w:r w:rsidR="004D7FC3" w:rsidRPr="00C01462">
        <w:t xml:space="preserve"> </w:t>
      </w:r>
      <w:r w:rsidR="004637D0" w:rsidRPr="00C01462">
        <w:t>14%</w:t>
      </w:r>
      <w:r w:rsidR="004D7FC3" w:rsidRPr="00C01462">
        <w:t xml:space="preserve"> </w:t>
      </w:r>
      <w:r w:rsidR="00435381" w:rsidRPr="00C01462">
        <w:t xml:space="preserve">(8% - 19%) </w:t>
      </w:r>
      <w:r w:rsidRPr="00C01462">
        <w:t xml:space="preserve">from </w:t>
      </w:r>
      <w:r w:rsidR="004D7FC3" w:rsidRPr="00C01462">
        <w:t xml:space="preserve">the prior and 11% </w:t>
      </w:r>
      <w:r w:rsidR="00435381" w:rsidRPr="00C01462">
        <w:t xml:space="preserve">(5% - 16%) </w:t>
      </w:r>
      <w:r w:rsidR="004D7FC3" w:rsidRPr="00C01462">
        <w:t>from the most recent EPA GHGI estimate for 2019</w:t>
      </w:r>
      <w:r w:rsidR="006B1CD2" w:rsidRPr="00C01462">
        <w:t xml:space="preserve">. </w:t>
      </w:r>
      <w:r w:rsidR="004D7FC3" w:rsidRPr="00C01462">
        <w:t>Lu et al. (2022) found</w:t>
      </w:r>
      <w:r w:rsidR="004D7FC3" w:rsidRPr="00C01462">
        <w:rPr>
          <w:color w:val="000000" w:themeColor="text1"/>
        </w:rPr>
        <w:t xml:space="preserve"> </w:t>
      </w:r>
      <w:r w:rsidR="009F00AF" w:rsidRPr="00C01462">
        <w:rPr>
          <w:color w:val="000000" w:themeColor="text1"/>
        </w:rPr>
        <w:t xml:space="preserve">similar </w:t>
      </w:r>
      <w:r w:rsidR="004D7FC3" w:rsidRPr="00C01462">
        <w:rPr>
          <w:color w:val="000000" w:themeColor="text1"/>
        </w:rPr>
        <w:t>mean posterior livestock emissions of 10.</w:t>
      </w:r>
      <w:r w:rsidR="00272CC5" w:rsidRPr="00C01462">
        <w:rPr>
          <w:color w:val="000000" w:themeColor="text1"/>
        </w:rPr>
        <w:t>4</w:t>
      </w:r>
      <w:r w:rsidR="004D7FC3" w:rsidRPr="00C01462">
        <w:rPr>
          <w:color w:val="000000" w:themeColor="text1"/>
        </w:rPr>
        <w:t xml:space="preserve"> (</w:t>
      </w:r>
      <w:r w:rsidR="00272CC5" w:rsidRPr="00C01462">
        <w:rPr>
          <w:color w:val="000000" w:themeColor="text1"/>
        </w:rPr>
        <w:t>8</w:t>
      </w:r>
      <w:r w:rsidR="004D7FC3" w:rsidRPr="00C01462">
        <w:rPr>
          <w:color w:val="000000" w:themeColor="text1"/>
        </w:rPr>
        <w:t>.</w:t>
      </w:r>
      <w:r w:rsidR="00272CC5" w:rsidRPr="00C01462">
        <w:rPr>
          <w:color w:val="000000" w:themeColor="text1"/>
        </w:rPr>
        <w:t>8</w:t>
      </w:r>
      <w:r w:rsidR="004D7FC3" w:rsidRPr="00C01462">
        <w:rPr>
          <w:color w:val="000000" w:themeColor="text1"/>
        </w:rPr>
        <w:t xml:space="preserve"> - 11.</w:t>
      </w:r>
      <w:r w:rsidR="00272CC5" w:rsidRPr="00C01462">
        <w:rPr>
          <w:color w:val="000000" w:themeColor="text1"/>
        </w:rPr>
        <w:t>6</w:t>
      </w:r>
      <w:r w:rsidR="004D7FC3" w:rsidRPr="00C01462">
        <w:rPr>
          <w:color w:val="000000" w:themeColor="text1"/>
        </w:rPr>
        <w:t xml:space="preserve">) </w:t>
      </w:r>
      <w:proofErr w:type="spellStart"/>
      <w:r w:rsidR="004D7FC3" w:rsidRPr="00C01462">
        <w:rPr>
          <w:color w:val="000000" w:themeColor="text1"/>
        </w:rPr>
        <w:t>Tg</w:t>
      </w:r>
      <w:proofErr w:type="spellEnd"/>
      <w:r w:rsidR="004D7FC3" w:rsidRPr="00C01462">
        <w:rPr>
          <w:color w:val="000000" w:themeColor="text1"/>
        </w:rPr>
        <w:t xml:space="preserve"> a</w:t>
      </w:r>
      <w:r w:rsidR="004D7FC3" w:rsidRPr="00C01462">
        <w:rPr>
          <w:color w:val="000000" w:themeColor="text1"/>
          <w:vertAlign w:val="superscript"/>
        </w:rPr>
        <w:t>-1</w:t>
      </w:r>
      <w:r w:rsidR="004D7FC3" w:rsidRPr="00C01462">
        <w:rPr>
          <w:color w:val="000000" w:themeColor="text1"/>
        </w:rPr>
        <w:t xml:space="preserve"> over CONUS</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4637D0" w:rsidRPr="00C01462">
        <w:t xml:space="preserve">Yu et al. (2021) conducted a seasonal inversion of aircraft observations over the north central United States and </w:t>
      </w:r>
      <w:proofErr w:type="gramStart"/>
      <w:r w:rsidR="004637D0" w:rsidRPr="00C01462">
        <w:t>south central</w:t>
      </w:r>
      <w:proofErr w:type="gramEnd"/>
      <w:r w:rsidR="004637D0" w:rsidRPr="00C01462">
        <w:t xml:space="preserve"> Canada </w:t>
      </w:r>
      <w:r w:rsidR="004D7FC3" w:rsidRPr="00C01462">
        <w:t xml:space="preserve">to find </w:t>
      </w:r>
      <w:r w:rsidR="004637D0" w:rsidRPr="00C01462">
        <w:t xml:space="preserve">mean posterior livestock emissions of 5.5 (5.1 - 6.2) </w:t>
      </w:r>
      <w:proofErr w:type="spellStart"/>
      <w:r w:rsidR="004637D0" w:rsidRPr="00C01462">
        <w:t>Tg</w:t>
      </w:r>
      <w:proofErr w:type="spellEnd"/>
      <w:r w:rsidR="004637D0" w:rsidRPr="00C01462">
        <w:t xml:space="preserve"> a</w:t>
      </w:r>
      <w:r w:rsidR="004637D0" w:rsidRPr="00C01462">
        <w:rPr>
          <w:vertAlign w:val="superscript"/>
        </w:rPr>
        <w:t>-1</w:t>
      </w:r>
      <w:r w:rsidR="004D7FC3" w:rsidRPr="00C01462">
        <w:t xml:space="preserve">, which agrees well with our posterior livestock estimate of </w:t>
      </w:r>
      <w:r w:rsidR="004637D0" w:rsidRPr="00C01462">
        <w:t xml:space="preserve">5.4 (5.1 - 5.6) </w:t>
      </w:r>
      <w:proofErr w:type="spellStart"/>
      <w:r w:rsidR="004637D0" w:rsidRPr="00C01462">
        <w:t>Tg</w:t>
      </w:r>
      <w:proofErr w:type="spellEnd"/>
      <w:r w:rsidR="004637D0" w:rsidRPr="00C01462">
        <w:t xml:space="preserve"> a</w:t>
      </w:r>
      <w:r w:rsidR="004637D0" w:rsidRPr="00C01462">
        <w:rPr>
          <w:vertAlign w:val="superscript"/>
        </w:rPr>
        <w:t>-1</w:t>
      </w:r>
      <w:r w:rsidR="004637D0" w:rsidRPr="00C01462">
        <w:t xml:space="preserve"> over the same region. </w:t>
      </w:r>
      <w:r w:rsidR="00DD54A9" w:rsidRPr="00C01462">
        <w:t xml:space="preserve">We </w:t>
      </w:r>
      <w:r w:rsidR="00064212" w:rsidRPr="00C01462">
        <w:t xml:space="preserve">attribute </w:t>
      </w:r>
      <w:r w:rsidR="00DD54A9" w:rsidRPr="00C01462">
        <w:t xml:space="preserve">the low EPA GHGI estimate </w:t>
      </w:r>
      <w:r w:rsidR="00064212" w:rsidRPr="00C01462">
        <w:t xml:space="preserve">to underestimated manure management emissions, which we discuss </w:t>
      </w:r>
      <w:r w:rsidR="00DD54A9" w:rsidRPr="00C01462">
        <w:t>in section 3.</w:t>
      </w:r>
      <w:r w:rsidR="009F27AC" w:rsidRPr="00C01462">
        <w:t>4</w:t>
      </w:r>
      <w:r w:rsidR="00DD54A9" w:rsidRPr="00C01462">
        <w:t>.</w:t>
      </w:r>
    </w:p>
    <w:p w14:paraId="4905B3F3" w14:textId="77777777" w:rsidR="009F00AF" w:rsidRPr="00C01462" w:rsidRDefault="009F00AF" w:rsidP="000E257D"/>
    <w:p w14:paraId="4F77B324" w14:textId="3F25D8A4" w:rsidR="00B3336E" w:rsidRPr="00C01462" w:rsidRDefault="00B3336E" w:rsidP="000E257D">
      <w:r w:rsidRPr="00C01462">
        <w:t xml:space="preserve">Our posterior emissions for fossil fuel emissions show </w:t>
      </w:r>
      <w:r w:rsidR="00493E5C" w:rsidRPr="00C01462">
        <w:t xml:space="preserve">a </w:t>
      </w:r>
      <w:r w:rsidRPr="00C01462">
        <w:t xml:space="preserve">significant increase in information content produced by the improved observational density offered by TROPOMI. </w:t>
      </w:r>
      <w:r w:rsidR="002B69A4" w:rsidRPr="00C01462">
        <w:t>We optimize</w:t>
      </w:r>
      <w:r w:rsidR="008B08D6" w:rsidRPr="00C01462">
        <w:t xml:space="preserve"> 88% (80% - 92%) of prior </w:t>
      </w:r>
      <w:r w:rsidRPr="00C01462">
        <w:t xml:space="preserve">oil and natural gas </w:t>
      </w:r>
      <w:r w:rsidR="008B08D6" w:rsidRPr="00C01462">
        <w:t>emissions</w:t>
      </w:r>
      <w:r w:rsidR="002B69A4" w:rsidRPr="00C01462">
        <w:t xml:space="preserve"> and</w:t>
      </w:r>
      <w:r w:rsidR="00E10C69" w:rsidRPr="00C01462">
        <w:t xml:space="preserve"> almost all prior coal mining emissions, and our sectoral averaging kernel sensitivities are twice as large as those found in </w:t>
      </w:r>
      <w:r w:rsidR="006506BC" w:rsidRPr="00C01462">
        <w:t xml:space="preserve">Lu et al. (2022). </w:t>
      </w:r>
      <w:r w:rsidRPr="00C01462">
        <w:t>Posterior oil and natural gas emissions</w:t>
      </w:r>
      <w:r w:rsidR="006506BC" w:rsidRPr="00C01462">
        <w:t xml:space="preserve"> </w:t>
      </w:r>
      <w:r w:rsidRPr="00C01462">
        <w:t>are</w:t>
      </w:r>
      <w:r w:rsidR="006506BC" w:rsidRPr="00C01462">
        <w:t xml:space="preserve"> </w:t>
      </w:r>
      <w:r w:rsidR="006506BC" w:rsidRPr="00C01462">
        <w:t>10.</w:t>
      </w:r>
      <w:r w:rsidR="006506BC" w:rsidRPr="00C01462">
        <w:t>5</w:t>
      </w:r>
      <w:r w:rsidR="006506BC" w:rsidRPr="00C01462">
        <w:t xml:space="preserve"> (10.</w:t>
      </w:r>
      <w:r w:rsidR="006506BC" w:rsidRPr="00C01462">
        <w:t>2</w:t>
      </w:r>
      <w:r w:rsidR="006506BC" w:rsidRPr="00C01462">
        <w:t xml:space="preserve"> - 10.</w:t>
      </w:r>
      <w:r w:rsidR="006506BC" w:rsidRPr="00C01462">
        <w:t>9</w:t>
      </w:r>
      <w:r w:rsidR="006506BC" w:rsidRPr="00C01462">
        <w:t xml:space="preserve">) </w:t>
      </w:r>
      <w:proofErr w:type="spellStart"/>
      <w:r w:rsidR="006506BC" w:rsidRPr="00C01462">
        <w:t>Tg</w:t>
      </w:r>
      <w:proofErr w:type="spellEnd"/>
      <w:r w:rsidR="006506BC" w:rsidRPr="00C01462">
        <w:t xml:space="preserve"> a</w:t>
      </w:r>
      <w:r w:rsidR="006506BC" w:rsidRPr="00C01462">
        <w:rPr>
          <w:vertAlign w:val="superscript"/>
        </w:rPr>
        <w:t>-1</w:t>
      </w:r>
      <w:r w:rsidR="006506BC" w:rsidRPr="00C01462">
        <w:t xml:space="preserve">, an </w:t>
      </w:r>
      <w:r w:rsidR="00666585" w:rsidRPr="00C01462">
        <w:t xml:space="preserve">increase </w:t>
      </w:r>
      <w:r w:rsidR="006506BC" w:rsidRPr="00C01462">
        <w:t xml:space="preserve">of </w:t>
      </w:r>
      <w:r w:rsidR="00112BF4" w:rsidRPr="00C01462">
        <w:t xml:space="preserve">11% (8% - 15%) </w:t>
      </w:r>
      <w:r w:rsidR="00666585" w:rsidRPr="00C01462">
        <w:t xml:space="preserve">from </w:t>
      </w:r>
      <w:r w:rsidR="00112BF4" w:rsidRPr="00C01462">
        <w:t xml:space="preserve">the prior emissions estimate and </w:t>
      </w:r>
      <w:r w:rsidR="009257AC" w:rsidRPr="00C01462">
        <w:t>15</w:t>
      </w:r>
      <w:r w:rsidR="00112BF4" w:rsidRPr="00C01462">
        <w:t xml:space="preserve">% </w:t>
      </w:r>
      <w:r w:rsidR="009257AC" w:rsidRPr="00C01462">
        <w:t>(12% - 20%) from the most recent EPA GHGI estimate for 2019</w:t>
      </w:r>
      <w:r w:rsidR="002E042A" w:rsidRPr="00C01462">
        <w:t xml:space="preserve">. </w:t>
      </w:r>
      <w:r w:rsidRPr="00C01462">
        <w:t xml:space="preserve">The larger discrepancy from the updated EPA GHGI estimate reflects the inventory’s decreased production emissions despite increases in processing, transmission, and storage emissions and the addition of post-meter emissions. Coal mining emissions </w:t>
      </w:r>
      <w:r w:rsidRPr="00C01462">
        <w:t>exhibit</w:t>
      </w:r>
      <w:r w:rsidRPr="00C01462">
        <w:t xml:space="preserve"> the largest </w:t>
      </w:r>
      <w:r w:rsidRPr="00C01462">
        <w:t>decline</w:t>
      </w:r>
      <w:r w:rsidRPr="00C01462">
        <w:t xml:space="preserve"> in</w:t>
      </w:r>
      <w:r w:rsidRPr="00C01462">
        <w:t xml:space="preserve"> sectoral</w:t>
      </w:r>
      <w:r w:rsidRPr="00C01462">
        <w:t xml:space="preserve"> emissions</w:t>
      </w:r>
      <w:r w:rsidRPr="00C01462">
        <w:t xml:space="preserve">, decreasing </w:t>
      </w:r>
      <w:r w:rsidRPr="00C01462">
        <w:t>49% (34% - 61%) relative to the prior and 30% (10% - 46%) relative to the most recent EPA GHGI estimate for 2019.</w:t>
      </w:r>
      <w:r w:rsidRPr="00C01462">
        <w:t xml:space="preserve"> </w:t>
      </w:r>
      <w:r w:rsidRPr="00C01462">
        <w:t>The decrease in emissions is consistent the 30% decrease in CONUS coal production since 2012 (USGS).</w:t>
      </w:r>
      <w:r w:rsidRPr="00C01462">
        <w:t xml:space="preserve"> </w:t>
      </w:r>
    </w:p>
    <w:p w14:paraId="7AB947EB" w14:textId="77777777" w:rsidR="00B3336E" w:rsidRPr="00C01462" w:rsidRDefault="00B3336E" w:rsidP="000E257D"/>
    <w:p w14:paraId="1243577B" w14:textId="6915F4A4" w:rsidR="00F3489B" w:rsidRPr="00C01462" w:rsidRDefault="00493E5C" w:rsidP="000E257D">
      <w:r w:rsidRPr="00C01462">
        <w:t xml:space="preserve">We also find </w:t>
      </w:r>
      <w:r w:rsidRPr="00C01462">
        <w:t>broad consistency with past studie</w:t>
      </w:r>
      <w:r w:rsidRPr="00C01462">
        <w:t xml:space="preserve">s of fossil fuel methane emissions. </w:t>
      </w:r>
      <w:r w:rsidR="002E042A" w:rsidRPr="00C01462">
        <w:t xml:space="preserve">Lu et al. (2022) found </w:t>
      </w:r>
      <w:r w:rsidR="00E10C69" w:rsidRPr="00C01462">
        <w:t xml:space="preserve">much </w:t>
      </w:r>
      <w:r w:rsidR="002E042A" w:rsidRPr="00C01462">
        <w:t xml:space="preserve">larger </w:t>
      </w:r>
      <w:r w:rsidR="00E10C69" w:rsidRPr="00C01462">
        <w:t xml:space="preserve">fossil fuel </w:t>
      </w:r>
      <w:r w:rsidR="002E042A" w:rsidRPr="00C01462">
        <w:t>posterior emissions of 4.</w:t>
      </w:r>
      <w:r w:rsidR="00272CC5" w:rsidRPr="00C01462">
        <w:t>8</w:t>
      </w:r>
      <w:r w:rsidR="002E042A" w:rsidRPr="00C01462">
        <w:t xml:space="preserve"> (3.</w:t>
      </w:r>
      <w:r w:rsidR="00272CC5" w:rsidRPr="00C01462">
        <w:t>1</w:t>
      </w:r>
      <w:r w:rsidR="002E042A" w:rsidRPr="00C01462">
        <w:t xml:space="preserve"> - 4.</w:t>
      </w:r>
      <w:r w:rsidR="00272CC5" w:rsidRPr="00C01462">
        <w:t>9</w:t>
      </w:r>
      <w:r w:rsidR="002E042A" w:rsidRPr="00C01462">
        <w:t xml:space="preserve">) </w:t>
      </w:r>
      <w:proofErr w:type="spellStart"/>
      <w:r w:rsidR="002E042A" w:rsidRPr="00C01462">
        <w:t>Tg</w:t>
      </w:r>
      <w:proofErr w:type="spellEnd"/>
      <w:r w:rsidR="002E042A" w:rsidRPr="00C01462">
        <w:t xml:space="preserve"> a</w:t>
      </w:r>
      <w:r w:rsidR="002E042A" w:rsidRPr="00C01462">
        <w:rPr>
          <w:vertAlign w:val="superscript"/>
        </w:rPr>
        <w:t>-1</w:t>
      </w:r>
      <w:r w:rsidR="002E042A" w:rsidRPr="00C01462">
        <w:t xml:space="preserve"> for oil</w:t>
      </w:r>
      <w:r w:rsidR="00E10C69" w:rsidRPr="00C01462">
        <w:t xml:space="preserve">, </w:t>
      </w:r>
      <w:r w:rsidR="00272CC5" w:rsidRPr="00C01462">
        <w:t>8</w:t>
      </w:r>
      <w:r w:rsidR="002E042A" w:rsidRPr="00C01462">
        <w:t>.9 (8.</w:t>
      </w:r>
      <w:r w:rsidR="00272CC5" w:rsidRPr="00C01462">
        <w:t>0</w:t>
      </w:r>
      <w:r w:rsidR="002E042A" w:rsidRPr="00C01462">
        <w:t xml:space="preserve"> - </w:t>
      </w:r>
      <w:r w:rsidR="00272CC5" w:rsidRPr="00C01462">
        <w:t>9.8</w:t>
      </w:r>
      <w:r w:rsidR="002E042A" w:rsidRPr="00C01462">
        <w:t xml:space="preserve">) </w:t>
      </w:r>
      <w:proofErr w:type="spellStart"/>
      <w:r w:rsidR="002E042A" w:rsidRPr="00C01462">
        <w:t>Tg</w:t>
      </w:r>
      <w:proofErr w:type="spellEnd"/>
      <w:r w:rsidR="002E042A" w:rsidRPr="00C01462">
        <w:t xml:space="preserve"> a</w:t>
      </w:r>
      <w:r w:rsidR="002E042A" w:rsidRPr="00C01462">
        <w:rPr>
          <w:vertAlign w:val="superscript"/>
        </w:rPr>
        <w:t>-1</w:t>
      </w:r>
      <w:r w:rsidR="002E042A" w:rsidRPr="00C01462">
        <w:t xml:space="preserve"> for natural gas</w:t>
      </w:r>
      <w:r w:rsidR="00E10C69" w:rsidRPr="00C01462">
        <w:t>, and 2.</w:t>
      </w:r>
      <w:r w:rsidR="00272CC5" w:rsidRPr="00C01462">
        <w:t>9</w:t>
      </w:r>
      <w:r w:rsidR="00E10C69" w:rsidRPr="00C01462">
        <w:t xml:space="preserve"> (2.</w:t>
      </w:r>
      <w:r w:rsidR="00272CC5" w:rsidRPr="00C01462">
        <w:t>3</w:t>
      </w:r>
      <w:r w:rsidR="00E10C69" w:rsidRPr="00C01462">
        <w:t xml:space="preserve"> - 3.</w:t>
      </w:r>
      <w:r w:rsidR="00272CC5" w:rsidRPr="00C01462">
        <w:t>4</w:t>
      </w:r>
      <w:r w:rsidR="00E10C69" w:rsidRPr="00C01462">
        <w:t xml:space="preserve">) </w:t>
      </w:r>
      <w:proofErr w:type="spellStart"/>
      <w:r w:rsidR="00E10C69" w:rsidRPr="00C01462">
        <w:t>Tg</w:t>
      </w:r>
      <w:proofErr w:type="spellEnd"/>
      <w:r w:rsidR="00E10C69" w:rsidRPr="00C01462">
        <w:t xml:space="preserve"> a</w:t>
      </w:r>
      <w:r w:rsidR="00E10C69" w:rsidRPr="00C01462">
        <w:rPr>
          <w:vertAlign w:val="superscript"/>
        </w:rPr>
        <w:t>-1</w:t>
      </w:r>
      <w:r w:rsidR="00E10C69" w:rsidRPr="00C01462">
        <w:t xml:space="preserve"> for </w:t>
      </w:r>
      <w:r w:rsidR="00E10C69" w:rsidRPr="00C01462">
        <w:t xml:space="preserve">coal </w:t>
      </w:r>
      <w:r w:rsidR="0034548D" w:rsidRPr="00C01462">
        <w:t>for 2017</w:t>
      </w:r>
      <w:r w:rsidR="002E042A" w:rsidRPr="00C01462">
        <w:t xml:space="preserve">. </w:t>
      </w:r>
      <w:r w:rsidRPr="00C01462">
        <w:t>However</w:t>
      </w:r>
      <w:r w:rsidR="002E042A" w:rsidRPr="00C01462">
        <w:t xml:space="preserve">, </w:t>
      </w:r>
      <w:r w:rsidR="0034548D" w:rsidRPr="00C01462">
        <w:t>they</w:t>
      </w:r>
      <w:r w:rsidR="00E22378" w:rsidRPr="00C01462">
        <w:t xml:space="preserve"> found </w:t>
      </w:r>
      <w:r w:rsidR="003E097F" w:rsidRPr="00C01462">
        <w:t>decreasing</w:t>
      </w:r>
      <w:r w:rsidR="0034548D" w:rsidRPr="00C01462">
        <w:t xml:space="preserve"> natural gas emissions </w:t>
      </w:r>
      <w:r w:rsidR="00272CC5" w:rsidRPr="00C01462">
        <w:t xml:space="preserve">beginning in 2014 </w:t>
      </w:r>
      <w:r w:rsidR="00E10C69" w:rsidRPr="00C01462">
        <w:t xml:space="preserve">that </w:t>
      </w:r>
      <w:r w:rsidR="0034548D" w:rsidRPr="00C01462">
        <w:t>could explain part of the</w:t>
      </w:r>
      <w:r w:rsidR="00755CE0" w:rsidRPr="00C01462">
        <w:t xml:space="preserve"> </w:t>
      </w:r>
      <w:r w:rsidR="0034548D" w:rsidRPr="00C01462">
        <w:t>discrepancy</w:t>
      </w:r>
      <w:r w:rsidR="00E10C69" w:rsidRPr="00C01462">
        <w:t xml:space="preserve"> if they continued until 2019. </w:t>
      </w:r>
      <w:r w:rsidR="00497616" w:rsidRPr="00C01462">
        <w:t xml:space="preserve">Shen et al. (2022) found slightly lower oil and natural gas emissions of 12.6 ± 2.1 </w:t>
      </w:r>
      <w:proofErr w:type="spellStart"/>
      <w:r w:rsidR="00497616" w:rsidRPr="00C01462">
        <w:t>Tg</w:t>
      </w:r>
      <w:proofErr w:type="spellEnd"/>
      <w:r w:rsidR="00497616" w:rsidRPr="00C01462">
        <w:t xml:space="preserve"> a</w:t>
      </w:r>
      <w:r w:rsidR="00497616" w:rsidRPr="00C01462">
        <w:rPr>
          <w:vertAlign w:val="superscript"/>
        </w:rPr>
        <w:t>-1</w:t>
      </w:r>
      <w:r w:rsidR="00497616" w:rsidRPr="00C01462">
        <w:t xml:space="preserve"> from an inversion of TROPOMI data over oil and natural gas basins extrapolated to the national scale for May 2018 to 2020</w:t>
      </w:r>
      <w:r w:rsidR="00497616" w:rsidRPr="00C01462">
        <w:t xml:space="preserve">, which is consistent with continued emissions decreases. </w:t>
      </w:r>
      <w:r w:rsidR="00755CE0" w:rsidRPr="00C01462">
        <w:t xml:space="preserve">Deng et al. (2022) found </w:t>
      </w:r>
      <w:r w:rsidR="00B229EE" w:rsidRPr="00C01462">
        <w:t xml:space="preserve">much smaller </w:t>
      </w:r>
      <w:r w:rsidR="00755CE0" w:rsidRPr="00C01462">
        <w:t>cumulative fossil fuel</w:t>
      </w:r>
      <w:r w:rsidRPr="00C01462">
        <w:t xml:space="preserve"> </w:t>
      </w:r>
      <w:r w:rsidR="00755CE0" w:rsidRPr="00C01462">
        <w:t xml:space="preserve">emissions of 9.8 (8.1 - 13.7)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w:t>
      </w:r>
      <w:r w:rsidR="00755CE0" w:rsidRPr="00C01462">
        <w:t xml:space="preserve"> GOSAT </w:t>
      </w:r>
      <w:r w:rsidRPr="00C01462">
        <w:t>inversions</w:t>
      </w:r>
      <w:r w:rsidR="00755CE0" w:rsidRPr="00C01462">
        <w:t xml:space="preserve"> and 12.6 (8.0 - 16.7)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w:t>
      </w:r>
      <w:r w:rsidR="00755CE0" w:rsidRPr="00C01462">
        <w:t xml:space="preserve"> in situ </w:t>
      </w:r>
      <w:r w:rsidRPr="00C01462">
        <w:t>inversions</w:t>
      </w:r>
      <w:r w:rsidR="00497616" w:rsidRPr="00C01462">
        <w:t xml:space="preserve"> in 2019</w:t>
      </w:r>
      <w:r w:rsidR="00937D59" w:rsidRPr="00C01462">
        <w:t>, both of which are consistent with our result.</w:t>
      </w:r>
    </w:p>
    <w:p w14:paraId="40B46E1E" w14:textId="60D3F3E8" w:rsidR="00F37575" w:rsidRPr="00C01462" w:rsidRDefault="00F37575"/>
    <w:p w14:paraId="5C40954F" w14:textId="17E6E0B1" w:rsidR="00864D68" w:rsidRPr="00C01462" w:rsidRDefault="00864D68" w:rsidP="00864D68">
      <w:pPr>
        <w:rPr>
          <w:b/>
          <w:bCs/>
        </w:rPr>
      </w:pPr>
      <w:r w:rsidRPr="00C01462">
        <w:rPr>
          <w:b/>
          <w:bCs/>
        </w:rPr>
        <w:t xml:space="preserve">3.2 </w:t>
      </w:r>
      <w:r w:rsidR="002D3DE6" w:rsidRPr="00C01462">
        <w:rPr>
          <w:b/>
          <w:bCs/>
        </w:rPr>
        <w:t>State</w:t>
      </w:r>
      <w:r w:rsidRPr="00C01462">
        <w:rPr>
          <w:b/>
          <w:bCs/>
        </w:rPr>
        <w:t xml:space="preserve"> sectoral emissions</w:t>
      </w:r>
    </w:p>
    <w:p w14:paraId="299C7F61" w14:textId="5C451454" w:rsidR="003A2E4E" w:rsidRPr="00C01462" w:rsidRDefault="00BA4A05">
      <w:r w:rsidRPr="00C01462">
        <w:lastRenderedPageBreak/>
        <w:t xml:space="preserve">The high resolution achieved by our inversion allows for finer-scale source attribution. </w:t>
      </w:r>
      <w:r w:rsidR="00F83042" w:rsidRPr="00C01462">
        <w:t xml:space="preserve">Within CONUS, we </w:t>
      </w:r>
      <w:r w:rsidR="00E216A3" w:rsidRPr="00C01462">
        <w:t>partition</w:t>
      </w:r>
      <w:r w:rsidR="00F83042" w:rsidRPr="00C01462">
        <w:t xml:space="preserve"> emissions</w:t>
      </w:r>
      <w:r w:rsidR="00487C28" w:rsidRPr="00C01462">
        <w:t>, excluding offshore emissions,</w:t>
      </w:r>
      <w:r w:rsidR="00F83042" w:rsidRPr="00C01462">
        <w:t xml:space="preserve"> to each of the 48 states</w:t>
      </w:r>
      <w:r w:rsidRPr="00C01462">
        <w:t xml:space="preserve"> as described in section 2.8</w:t>
      </w:r>
      <w:r w:rsidR="00F37575" w:rsidRPr="00C01462">
        <w:t xml:space="preserve">. </w:t>
      </w:r>
      <w:r w:rsidR="00E216A3" w:rsidRPr="00C01462">
        <w:t xml:space="preserve">Figure 5 shows state prior and posterior emissions, table 4 shows the </w:t>
      </w:r>
      <w:r w:rsidR="003A2E4E" w:rsidRPr="00C01462">
        <w:t>corresponding data</w:t>
      </w:r>
      <w:r w:rsidR="00E216A3" w:rsidRPr="00C01462">
        <w:t xml:space="preserve"> for the top 10 methane producing states, and table S1 shows the </w:t>
      </w:r>
      <w:r w:rsidR="003A2E4E" w:rsidRPr="00C01462">
        <w:t xml:space="preserve">full </w:t>
      </w:r>
      <w:r w:rsidR="00E216A3" w:rsidRPr="00C01462">
        <w:t>results.</w:t>
      </w:r>
      <w:r w:rsidRPr="00C01462">
        <w:t xml:space="preserve"> </w:t>
      </w:r>
      <w:r w:rsidR="003A2E4E" w:rsidRPr="00C01462">
        <w:t xml:space="preserve">TROPOMI </w:t>
      </w:r>
      <w:r w:rsidR="00887A6B" w:rsidRPr="00C01462">
        <w:t>provides a strong constraint at this resolution</w:t>
      </w:r>
      <w:r w:rsidR="003A2E4E" w:rsidRPr="00C01462">
        <w:t xml:space="preserve">, with mean state averaging kernel sensitivities larger than 0.5 in 29 of all </w:t>
      </w:r>
      <w:r w:rsidR="00195C82" w:rsidRPr="00C01462">
        <w:t xml:space="preserve">48 </w:t>
      </w:r>
      <w:r w:rsidR="003A2E4E" w:rsidRPr="00C01462">
        <w:t>states and in 20 of the top 25 methane producing states.</w:t>
      </w:r>
      <w:r w:rsidR="00887A6B" w:rsidRPr="00C01462">
        <w:t xml:space="preserve"> Our reduced-rank inversion also constrains emissions in most states</w:t>
      </w:r>
      <w:r w:rsidR="00AF2E9D" w:rsidRPr="00C01462">
        <w:t>: we optimize an average of 80% of prior emissions in each of the top 25 methane producing states.</w:t>
      </w:r>
    </w:p>
    <w:p w14:paraId="77F0861F" w14:textId="45266C80" w:rsidR="003A2E4E" w:rsidRPr="00C01462" w:rsidRDefault="003A2E4E"/>
    <w:p w14:paraId="6A2509B5" w14:textId="31349D85" w:rsidR="00330C31" w:rsidRPr="00C01462" w:rsidRDefault="00CF0880">
      <w:r w:rsidRPr="00C01462">
        <w:t xml:space="preserve">Emissions are consolidated </w:t>
      </w:r>
      <w:r w:rsidR="00C6220E" w:rsidRPr="00C01462">
        <w:t xml:space="preserve">in </w:t>
      </w:r>
      <w:r w:rsidR="00D22480" w:rsidRPr="00C01462">
        <w:t>the</w:t>
      </w:r>
      <w:r w:rsidRPr="00C01462">
        <w:t xml:space="preserve"> largest</w:t>
      </w:r>
      <w:r w:rsidR="00D22480" w:rsidRPr="00C01462">
        <w:t xml:space="preserve"> methane</w:t>
      </w:r>
      <w:r w:rsidR="009A306C" w:rsidRPr="00C01462">
        <w:t xml:space="preserve"> </w:t>
      </w:r>
      <w:r w:rsidR="00D22480" w:rsidRPr="00C01462">
        <w:t>producing states</w:t>
      </w:r>
      <w:r w:rsidR="00375B38" w:rsidRPr="00C01462">
        <w:t>, with</w:t>
      </w:r>
      <w:r w:rsidR="00AF2E9D" w:rsidRPr="00C01462">
        <w:t xml:space="preserve"> </w:t>
      </w:r>
      <w:commentRangeStart w:id="8"/>
      <w:r w:rsidR="00AF2E9D" w:rsidRPr="00C01462">
        <w:t xml:space="preserve">8 </w:t>
      </w:r>
      <w:commentRangeEnd w:id="8"/>
      <w:r w:rsidR="009F4847" w:rsidRPr="00C01462">
        <w:rPr>
          <w:rStyle w:val="CommentReference"/>
        </w:rPr>
        <w:commentReference w:id="8"/>
      </w:r>
      <w:r w:rsidR="00AF2E9D" w:rsidRPr="00C01462">
        <w:t>states responsible for</w:t>
      </w:r>
      <w:r w:rsidR="00D22480" w:rsidRPr="00C01462">
        <w:t xml:space="preserve"> 50% of </w:t>
      </w:r>
      <w:r w:rsidR="008E6071" w:rsidRPr="00C01462">
        <w:t xml:space="preserve">mean </w:t>
      </w:r>
      <w:r w:rsidR="00D22480" w:rsidRPr="00C01462">
        <w:t>posterior emissions</w:t>
      </w:r>
      <w:r w:rsidR="00801A88" w:rsidRPr="00C01462">
        <w:t xml:space="preserve"> in CONUS</w:t>
      </w:r>
      <w:r w:rsidRPr="00C01462">
        <w:t xml:space="preserve"> (</w:t>
      </w:r>
      <w:r w:rsidR="00330C31" w:rsidRPr="00C01462">
        <w:t>7 for prior emissions</w:t>
      </w:r>
      <w:r w:rsidRPr="00C01462">
        <w:t>)</w:t>
      </w:r>
      <w:r w:rsidR="00375B38" w:rsidRPr="00C01462">
        <w:t xml:space="preserve"> and 7 states responsible for more than </w:t>
      </w:r>
      <w:commentRangeStart w:id="9"/>
      <w:r w:rsidR="00375B38" w:rsidRPr="00C01462">
        <w:t>54</w:t>
      </w:r>
      <w:commentRangeEnd w:id="9"/>
      <w:r w:rsidR="009217A3" w:rsidRPr="00C01462">
        <w:rPr>
          <w:rStyle w:val="CommentReference"/>
        </w:rPr>
        <w:commentReference w:id="9"/>
      </w:r>
      <w:r w:rsidR="00375B38" w:rsidRPr="00C01462">
        <w:t>% of inferred emissions increases.</w:t>
      </w:r>
      <w:r w:rsidRPr="00C01462">
        <w:t xml:space="preserve"> </w:t>
      </w:r>
      <w:r w:rsidR="00375B38" w:rsidRPr="00C01462">
        <w:t xml:space="preserve">Texas </w:t>
      </w:r>
      <w:r w:rsidR="009217A3" w:rsidRPr="00C01462">
        <w:t xml:space="preserve">alone produces </w:t>
      </w:r>
      <w:r w:rsidRPr="00C01462">
        <w:t xml:space="preserve">21% </w:t>
      </w:r>
      <w:r w:rsidR="009217A3" w:rsidRPr="00C01462">
        <w:t>of the mean posterior emissions</w:t>
      </w:r>
      <w:r w:rsidRPr="00C01462">
        <w:t xml:space="preserve"> (18% in the prior)</w:t>
      </w:r>
      <w:r w:rsidR="009217A3" w:rsidRPr="00C01462">
        <w:t xml:space="preserve"> and 25% of the inferred emissions increase</w:t>
      </w:r>
      <w:r w:rsidR="00330C31" w:rsidRPr="00C01462">
        <w:t xml:space="preserve">. </w:t>
      </w:r>
      <w:r w:rsidRPr="00C01462">
        <w:t xml:space="preserve">Oil and natural gas emissions account for </w:t>
      </w:r>
      <w:r w:rsidR="004E6E8C" w:rsidRPr="00C01462">
        <w:t>66</w:t>
      </w:r>
      <w:r w:rsidRPr="00C01462">
        <w:t xml:space="preserve">% of </w:t>
      </w:r>
      <w:r w:rsidR="004E6E8C" w:rsidRPr="00C01462">
        <w:t xml:space="preserve">the observed increase </w:t>
      </w:r>
      <w:r w:rsidR="00C84194" w:rsidRPr="00C01462">
        <w:t xml:space="preserve">in Texas </w:t>
      </w:r>
      <w:r w:rsidRPr="00C01462">
        <w:t xml:space="preserve">and are concentrated over the Permian basin, the largest oil and natural gas producing region in CONUS (cite). We also find significant increases over the Texan portions of the Haynesville shale and over the Houston metropolitan area. </w:t>
      </w:r>
      <w:r w:rsidRPr="00C01462">
        <w:t xml:space="preserve">More generally, we find </w:t>
      </w:r>
      <w:r w:rsidR="005F72B4" w:rsidRPr="00C01462">
        <w:t>significant emission increases in 7 of the top 10</w:t>
      </w:r>
      <w:r w:rsidRPr="00C01462">
        <w:t xml:space="preserve"> methane producing states, with </w:t>
      </w:r>
      <w:r w:rsidR="00C84194" w:rsidRPr="00C01462">
        <w:t>a significant decrease in New Mexico and no significant change in Pennsylvania and Kansas.</w:t>
      </w:r>
      <w:r w:rsidR="00B05D2D" w:rsidRPr="00C01462">
        <w:t xml:space="preserve"> O</w:t>
      </w:r>
      <w:r w:rsidR="005C583B" w:rsidRPr="00C01462">
        <w:t xml:space="preserve">il and natural gas </w:t>
      </w:r>
      <w:r w:rsidR="00AF2E9D" w:rsidRPr="00C01462">
        <w:t xml:space="preserve">are responsible for </w:t>
      </w:r>
      <w:r w:rsidR="00B05D2D" w:rsidRPr="00C01462">
        <w:t>47</w:t>
      </w:r>
      <w:r w:rsidR="00AF2E9D" w:rsidRPr="00C01462">
        <w:t xml:space="preserve">% of mean posterior emissions </w:t>
      </w:r>
      <w:r w:rsidR="004905D2" w:rsidRPr="00C01462">
        <w:t>and 44% of the observed increase in</w:t>
      </w:r>
      <w:r w:rsidR="005C583B" w:rsidRPr="00C01462">
        <w:t xml:space="preserve"> these </w:t>
      </w:r>
      <w:r w:rsidR="00B05D2D" w:rsidRPr="00C01462">
        <w:t>10</w:t>
      </w:r>
      <w:r w:rsidR="005C583B" w:rsidRPr="00C01462">
        <w:t xml:space="preserve"> states</w:t>
      </w:r>
      <w:r w:rsidR="004905D2" w:rsidRPr="00C01462">
        <w:t>,</w:t>
      </w:r>
      <w:r w:rsidR="00AF2E9D" w:rsidRPr="00C01462">
        <w:t xml:space="preserve"> </w:t>
      </w:r>
      <w:r w:rsidR="00867180" w:rsidRPr="00C01462">
        <w:t>compared</w:t>
      </w:r>
      <w:r w:rsidR="005C583B" w:rsidRPr="00C01462">
        <w:t xml:space="preserve"> to the national average </w:t>
      </w:r>
      <w:r w:rsidR="00867180" w:rsidRPr="00C01462">
        <w:t xml:space="preserve">of </w:t>
      </w:r>
      <w:r w:rsidR="005C583B" w:rsidRPr="00C01462">
        <w:t>33%</w:t>
      </w:r>
      <w:r w:rsidR="004905D2" w:rsidRPr="00C01462">
        <w:t xml:space="preserve"> and </w:t>
      </w:r>
      <w:commentRangeStart w:id="10"/>
      <w:r w:rsidR="004905D2" w:rsidRPr="00C01462">
        <w:t>36</w:t>
      </w:r>
      <w:commentRangeEnd w:id="10"/>
      <w:r w:rsidR="004905D2" w:rsidRPr="00C01462">
        <w:rPr>
          <w:rStyle w:val="CommentReference"/>
        </w:rPr>
        <w:commentReference w:id="10"/>
      </w:r>
      <w:r w:rsidR="004905D2" w:rsidRPr="00C01462">
        <w:t>%, respectively.</w:t>
      </w:r>
    </w:p>
    <w:p w14:paraId="5BAF3C61" w14:textId="77777777" w:rsidR="00036E35" w:rsidRPr="00C01462" w:rsidRDefault="00036E35"/>
    <w:p w14:paraId="2FDFB8E4" w14:textId="6E62BA0A" w:rsidR="008E6071" w:rsidRPr="00C01462" w:rsidRDefault="003A2E4E">
      <w:r w:rsidRPr="00C01462">
        <w:t>Shifting trends in methane emission sources since 2012 result in a significant re-ordering in the largest methane</w:t>
      </w:r>
      <w:r w:rsidR="009A306C" w:rsidRPr="00C01462">
        <w:t xml:space="preserve"> </w:t>
      </w:r>
      <w:r w:rsidRPr="00C01462">
        <w:t>producing states from the prior to the posterior.</w:t>
      </w:r>
      <w:r w:rsidR="00E216A3" w:rsidRPr="00C01462">
        <w:t xml:space="preserve"> </w:t>
      </w:r>
      <w:r w:rsidR="000B4540" w:rsidRPr="00C01462">
        <w:t xml:space="preserve">The largest increases in ranking occur in </w:t>
      </w:r>
      <w:r w:rsidR="005A1C4E" w:rsidRPr="00C01462">
        <w:t>Florida (21</w:t>
      </w:r>
      <w:r w:rsidR="005A1C4E" w:rsidRPr="00C01462">
        <w:rPr>
          <w:vertAlign w:val="superscript"/>
        </w:rPr>
        <w:t>st</w:t>
      </w:r>
      <w:r w:rsidR="005A1C4E" w:rsidRPr="00C01462">
        <w:t xml:space="preserve"> to 8</w:t>
      </w:r>
      <w:r w:rsidR="005A1C4E" w:rsidRPr="00C01462">
        <w:rPr>
          <w:vertAlign w:val="superscript"/>
        </w:rPr>
        <w:t>th</w:t>
      </w:r>
      <w:r w:rsidR="005A1C4E" w:rsidRPr="00C01462">
        <w:t>), Indiana (26</w:t>
      </w:r>
      <w:r w:rsidR="005A1C4E" w:rsidRPr="00C01462">
        <w:rPr>
          <w:vertAlign w:val="superscript"/>
        </w:rPr>
        <w:t>th</w:t>
      </w:r>
      <w:r w:rsidR="005A1C4E" w:rsidRPr="00C01462">
        <w:t xml:space="preserve"> to 15</w:t>
      </w:r>
      <w:r w:rsidR="005A1C4E" w:rsidRPr="00C01462">
        <w:rPr>
          <w:vertAlign w:val="superscript"/>
        </w:rPr>
        <w:t>th</w:t>
      </w:r>
      <w:r w:rsidR="005A1C4E" w:rsidRPr="00C01462">
        <w:t>), Georgia (29</w:t>
      </w:r>
      <w:r w:rsidR="005A1C4E" w:rsidRPr="00C01462">
        <w:rPr>
          <w:vertAlign w:val="superscript"/>
        </w:rPr>
        <w:t>th</w:t>
      </w:r>
      <w:r w:rsidR="005A1C4E" w:rsidRPr="00C01462">
        <w:t xml:space="preserve"> to 19</w:t>
      </w:r>
      <w:r w:rsidR="005A1C4E" w:rsidRPr="00C01462">
        <w:rPr>
          <w:vertAlign w:val="superscript"/>
        </w:rPr>
        <w:t>th</w:t>
      </w:r>
      <w:r w:rsidR="005A1C4E" w:rsidRPr="00C01462">
        <w:t>), and Mississippi (33</w:t>
      </w:r>
      <w:r w:rsidR="005A1C4E" w:rsidRPr="00C01462">
        <w:rPr>
          <w:vertAlign w:val="superscript"/>
        </w:rPr>
        <w:t>rd</w:t>
      </w:r>
      <w:r w:rsidR="005A1C4E" w:rsidRPr="00C01462">
        <w:t xml:space="preserve"> to 24</w:t>
      </w:r>
      <w:r w:rsidR="005A1C4E" w:rsidRPr="00C01462">
        <w:rPr>
          <w:vertAlign w:val="superscript"/>
        </w:rPr>
        <w:t>th</w:t>
      </w:r>
      <w:r w:rsidR="005A1C4E" w:rsidRPr="00C01462">
        <w:t>)</w:t>
      </w:r>
      <w:r w:rsidR="00D57CF1" w:rsidRPr="00C01462">
        <w:t xml:space="preserve">. </w:t>
      </w:r>
      <w:r w:rsidR="00AF2E9D" w:rsidRPr="00C01462">
        <w:t xml:space="preserve">Of these, Indiana, Georgia, and Mississippi are sensitive to the observing system, with mean state averaging kernel sensitivities between 0.5 and 0.6, while Florida has a mean sensitivity of 0.32. </w:t>
      </w:r>
      <w:r w:rsidR="00407186" w:rsidRPr="00C01462">
        <w:t>In each of these three states, the observed ranking</w:t>
      </w:r>
      <w:r w:rsidR="00D57CF1" w:rsidRPr="00C01462">
        <w:t xml:space="preserve"> increase </w:t>
      </w:r>
      <w:r w:rsidR="00407186" w:rsidRPr="00C01462">
        <w:t>is</w:t>
      </w:r>
      <w:r w:rsidR="00CB0081" w:rsidRPr="00C01462">
        <w:t xml:space="preserve"> driven by increased landfill emissions</w:t>
      </w:r>
      <w:r w:rsidR="00D57CF1" w:rsidRPr="00C01462">
        <w:t xml:space="preserve">. </w:t>
      </w:r>
      <w:r w:rsidR="00CB0081" w:rsidRPr="00C01462">
        <w:t>The largest decreases in emissions rank all occur in coal-producing states, including Wyoming (14</w:t>
      </w:r>
      <w:r w:rsidR="00CB0081" w:rsidRPr="00C01462">
        <w:rPr>
          <w:vertAlign w:val="superscript"/>
        </w:rPr>
        <w:t>th</w:t>
      </w:r>
      <w:r w:rsidR="00CB0081" w:rsidRPr="00C01462">
        <w:t xml:space="preserve"> to 42</w:t>
      </w:r>
      <w:r w:rsidR="00CB0081" w:rsidRPr="00C01462">
        <w:rPr>
          <w:vertAlign w:val="superscript"/>
        </w:rPr>
        <w:t>nd</w:t>
      </w:r>
      <w:r w:rsidR="00CB0081" w:rsidRPr="00C01462">
        <w:t>), West Virginia (5</w:t>
      </w:r>
      <w:r w:rsidR="00CB0081" w:rsidRPr="00C01462">
        <w:rPr>
          <w:vertAlign w:val="superscript"/>
        </w:rPr>
        <w:t>th</w:t>
      </w:r>
      <w:r w:rsidR="00CB0081" w:rsidRPr="00C01462">
        <w:t xml:space="preserve"> to 20</w:t>
      </w:r>
      <w:r w:rsidR="00CB0081" w:rsidRPr="00C01462">
        <w:rPr>
          <w:vertAlign w:val="superscript"/>
        </w:rPr>
        <w:t>th</w:t>
      </w:r>
      <w:r w:rsidR="00CB0081" w:rsidRPr="00C01462">
        <w:t>), Kentucky (17</w:t>
      </w:r>
      <w:r w:rsidR="00CB0081" w:rsidRPr="00C01462">
        <w:rPr>
          <w:vertAlign w:val="superscript"/>
        </w:rPr>
        <w:t>th</w:t>
      </w:r>
      <w:r w:rsidR="00CB0081" w:rsidRPr="00C01462">
        <w:t xml:space="preserve"> to 27</w:t>
      </w:r>
      <w:r w:rsidR="00CB0081" w:rsidRPr="00C01462">
        <w:rPr>
          <w:vertAlign w:val="superscript"/>
        </w:rPr>
        <w:t>th</w:t>
      </w:r>
      <w:r w:rsidR="00CB0081" w:rsidRPr="00C01462">
        <w:t>), and Virginia (19</w:t>
      </w:r>
      <w:r w:rsidR="00CB0081" w:rsidRPr="00C01462">
        <w:rPr>
          <w:vertAlign w:val="superscript"/>
        </w:rPr>
        <w:t>th</w:t>
      </w:r>
      <w:r w:rsidR="00CB0081" w:rsidRPr="00C01462">
        <w:t xml:space="preserve"> to 28</w:t>
      </w:r>
      <w:r w:rsidR="00CB0081" w:rsidRPr="00C01462">
        <w:rPr>
          <w:vertAlign w:val="superscript"/>
        </w:rPr>
        <w:t>th</w:t>
      </w:r>
      <w:r w:rsidR="00CB0081" w:rsidRPr="00C01462">
        <w:t>)</w:t>
      </w:r>
      <w:r w:rsidR="00407186" w:rsidRPr="00C01462">
        <w:t>, all of which have state averaging kernel sensitivities greater than 0.5</w:t>
      </w:r>
      <w:r w:rsidR="00CB0081" w:rsidRPr="00C01462">
        <w:t xml:space="preserve">. </w:t>
      </w:r>
      <w:r w:rsidR="00E41838" w:rsidRPr="00C01462">
        <w:t xml:space="preserve">This reordering reflects </w:t>
      </w:r>
      <w:r w:rsidR="00CB0081" w:rsidRPr="00C01462">
        <w:t>a systematic underestimate of urban emissions (section 3.</w:t>
      </w:r>
      <w:r w:rsidR="007A62FC" w:rsidRPr="00C01462">
        <w:t>2</w:t>
      </w:r>
      <w:r w:rsidR="00CB0081" w:rsidRPr="00C01462">
        <w:t>)</w:t>
      </w:r>
      <w:r w:rsidR="00E41838" w:rsidRPr="00C01462">
        <w:t xml:space="preserve"> </w:t>
      </w:r>
      <w:r w:rsidR="00CB0081" w:rsidRPr="00C01462">
        <w:t xml:space="preserve">and a </w:t>
      </w:r>
      <w:r w:rsidR="00E41838" w:rsidRPr="00C01462">
        <w:t>shift in the dominance of methane emission sources in the last decade.</w:t>
      </w:r>
    </w:p>
    <w:p w14:paraId="021E4599" w14:textId="1012C1CF" w:rsidR="009E54FB" w:rsidRPr="00C01462" w:rsidRDefault="009E54FB"/>
    <w:p w14:paraId="3AA1D1A1" w14:textId="2618B31B" w:rsidR="001B6C97" w:rsidRPr="00C01462" w:rsidRDefault="001B6C97">
      <w:r w:rsidRPr="00C01462">
        <w:t xml:space="preserve">We compare our posterior emissions to the EPA state emissions inventories for 2019, scaled to match the total mean posterior emissions. On average, our mean posterior emissions are only 4% smaller than the scaled EPA estimates. </w:t>
      </w:r>
      <w:r w:rsidRPr="00C01462">
        <w:t>However</w:t>
      </w:r>
      <w:r w:rsidRPr="00C01462">
        <w:t xml:space="preserve">, the distribution of the </w:t>
      </w:r>
      <w:r w:rsidRPr="00C01462">
        <w:t xml:space="preserve">posterior – inventory </w:t>
      </w:r>
      <w:r w:rsidRPr="00C01462">
        <w:t xml:space="preserve">differences </w:t>
      </w:r>
      <w:r w:rsidRPr="00C01462">
        <w:t>is</w:t>
      </w:r>
      <w:r w:rsidRPr="00C01462">
        <w:t xml:space="preserve"> highly skewed, with the largest </w:t>
      </w:r>
      <w:r w:rsidRPr="00C01462">
        <w:t xml:space="preserve">relative </w:t>
      </w:r>
      <w:r w:rsidRPr="00C01462">
        <w:t xml:space="preserve">discrepancies </w:t>
      </w:r>
      <w:r w:rsidRPr="00C01462">
        <w:t>found</w:t>
      </w:r>
      <w:r w:rsidRPr="00C01462">
        <w:t xml:space="preserve"> in the largest methane producing states</w:t>
      </w:r>
      <w:r w:rsidRPr="00C01462">
        <w:t>:</w:t>
      </w:r>
      <w:r w:rsidRPr="00C01462">
        <w:t xml:space="preserve"> in the top 10 methane producing states, we find that the state posteriors are on average 18% larger than the scaled EPA estimate</w:t>
      </w:r>
      <w:r w:rsidRPr="00C01462">
        <w:t xml:space="preserve">s. </w:t>
      </w:r>
      <w:r w:rsidR="00DB28A5" w:rsidRPr="00C01462">
        <w:t>Consistent with our sectoral analysis, t</w:t>
      </w:r>
      <w:r w:rsidR="00435001" w:rsidRPr="00C01462">
        <w:t>he largest absolute negative posterior – inventory differences are found in historically coal-producing states, including Wyoming, Pennsylvania, and West Virginia. The largest positive differences occur in</w:t>
      </w:r>
      <w:r w:rsidR="00E333C6" w:rsidRPr="00C01462">
        <w:t xml:space="preserve"> states with large</w:t>
      </w:r>
      <w:r w:rsidR="00435001" w:rsidRPr="00C01462">
        <w:t xml:space="preserve"> </w:t>
      </w:r>
      <w:r w:rsidR="00E333C6" w:rsidRPr="00C01462">
        <w:t>oil and natural gas emissions, including Texas, Louisiana, and New Mexico.</w:t>
      </w:r>
    </w:p>
    <w:p w14:paraId="63DEB49C" w14:textId="77777777" w:rsidR="001B6C97" w:rsidRPr="00C01462" w:rsidRDefault="001B6C97"/>
    <w:p w14:paraId="1526CF69" w14:textId="009E6499" w:rsidR="005C180E" w:rsidRPr="00C01462" w:rsidRDefault="00BB675C">
      <w:r w:rsidRPr="00C01462">
        <w:lastRenderedPageBreak/>
        <w:t xml:space="preserve">We </w:t>
      </w:r>
      <w:r w:rsidR="001B6C97" w:rsidRPr="00C01462">
        <w:t xml:space="preserve">also </w:t>
      </w:r>
      <w:r w:rsidRPr="00C01462">
        <w:t>compare our posterior emissions to</w:t>
      </w:r>
      <w:r w:rsidR="007F3124" w:rsidRPr="00C01462">
        <w:t xml:space="preserve"> </w:t>
      </w:r>
      <w:r w:rsidRPr="00C01462">
        <w:t>state</w:t>
      </w:r>
      <w:r w:rsidR="007F3124" w:rsidRPr="00C01462">
        <w:t xml:space="preserve"> greenhouse gas</w:t>
      </w:r>
      <w:r w:rsidRPr="00C01462">
        <w:t xml:space="preserve"> </w:t>
      </w:r>
      <w:r w:rsidR="00D33D40" w:rsidRPr="00C01462">
        <w:t>inventories</w:t>
      </w:r>
      <w:r w:rsidR="00D26C5F" w:rsidRPr="00C01462">
        <w:t xml:space="preserve"> for the year </w:t>
      </w:r>
      <w:r w:rsidR="000076C6" w:rsidRPr="00C01462">
        <w:t>closest</w:t>
      </w:r>
      <w:r w:rsidR="00D26C5F" w:rsidRPr="00C01462">
        <w:t xml:space="preserve"> to 2019 where available and where the observing system provides </w:t>
      </w:r>
      <w:r w:rsidR="000076C6" w:rsidRPr="00C01462">
        <w:t xml:space="preserve">a strong </w:t>
      </w:r>
      <w:r w:rsidR="00D26C5F" w:rsidRPr="00C01462">
        <w:t>constraint (state averaging kernel sensitivity greater than 0.5).</w:t>
      </w:r>
      <w:r w:rsidR="007F3124" w:rsidRPr="00C01462">
        <w:t xml:space="preserve"> </w:t>
      </w:r>
      <w:commentRangeStart w:id="11"/>
      <w:r w:rsidR="00D26C5F" w:rsidRPr="00C01462">
        <w:t xml:space="preserve">Of </w:t>
      </w:r>
      <w:commentRangeEnd w:id="11"/>
      <w:r w:rsidR="0004598D" w:rsidRPr="00C01462">
        <w:rPr>
          <w:rStyle w:val="CommentReference"/>
        </w:rPr>
        <w:commentReference w:id="11"/>
      </w:r>
      <w:r w:rsidR="00D26C5F" w:rsidRPr="00C01462">
        <w:t>the inventories of</w:t>
      </w:r>
      <w:r w:rsidRPr="00C01462">
        <w:t xml:space="preserve"> </w:t>
      </w:r>
      <w:r w:rsidRPr="00C01462">
        <w:t xml:space="preserve">California, Colorado, Iowa, Louisiana, </w:t>
      </w:r>
      <w:r w:rsidR="00D26C5F" w:rsidRPr="00C01462">
        <w:t xml:space="preserve">and </w:t>
      </w:r>
      <w:r w:rsidRPr="00C01462">
        <w:t>Pennsylvani</w:t>
      </w:r>
      <w:r w:rsidR="00D26C5F" w:rsidRPr="00C01462">
        <w:t>a,</w:t>
      </w:r>
      <w:r w:rsidR="008551AB" w:rsidRPr="00C01462">
        <w:t xml:space="preserve"> </w:t>
      </w:r>
      <w:r w:rsidR="000076C6" w:rsidRPr="00C01462">
        <w:t>our posterior agrees only with</w:t>
      </w:r>
      <w:r w:rsidR="007F3124" w:rsidRPr="00C01462">
        <w:t xml:space="preserve"> Pennsylvania. </w:t>
      </w:r>
      <w:r w:rsidR="005A6D62" w:rsidRPr="00C01462">
        <w:t xml:space="preserve">While posterior </w:t>
      </w:r>
      <w:r w:rsidR="00D26C5F" w:rsidRPr="00C01462">
        <w:t>emissions are</w:t>
      </w:r>
      <w:r w:rsidR="005A6D62" w:rsidRPr="00C01462">
        <w:t xml:space="preserve"> not significantly different</w:t>
      </w:r>
      <w:r w:rsidR="00D92AD1" w:rsidRPr="00C01462">
        <w:t xml:space="preserve"> from </w:t>
      </w:r>
      <w:r w:rsidR="00431303" w:rsidRPr="00C01462">
        <w:t>the</w:t>
      </w:r>
      <w:r w:rsidR="00D92AD1" w:rsidRPr="00C01462">
        <w:t xml:space="preserve"> prior </w:t>
      </w:r>
      <w:r w:rsidR="007F3124" w:rsidRPr="00C01462">
        <w:t xml:space="preserve">in </w:t>
      </w:r>
      <w:commentRangeStart w:id="12"/>
      <w:r w:rsidR="007F3124" w:rsidRPr="00C01462">
        <w:t>Pennsylvania</w:t>
      </w:r>
      <w:commentRangeEnd w:id="12"/>
      <w:r w:rsidR="00D92AD1" w:rsidRPr="00C01462">
        <w:rPr>
          <w:rStyle w:val="CommentReference"/>
        </w:rPr>
        <w:commentReference w:id="12"/>
      </w:r>
      <w:r w:rsidR="007F3124" w:rsidRPr="00C01462">
        <w:t xml:space="preserve">, </w:t>
      </w:r>
      <w:r w:rsidR="00D92AD1" w:rsidRPr="00C01462">
        <w:t xml:space="preserve">we find a </w:t>
      </w:r>
      <w:r w:rsidR="00D26C5F" w:rsidRPr="00C01462">
        <w:t xml:space="preserve">source </w:t>
      </w:r>
      <w:r w:rsidR="00D92AD1" w:rsidRPr="00C01462">
        <w:t>shift from fossil fuel</w:t>
      </w:r>
      <w:r w:rsidR="00D26C5F" w:rsidRPr="00C01462">
        <w:t>s</w:t>
      </w:r>
      <w:r w:rsidR="00D92AD1" w:rsidRPr="00C01462">
        <w:t xml:space="preserve"> (from 73% in </w:t>
      </w:r>
      <w:r w:rsidR="000076C6" w:rsidRPr="00C01462">
        <w:t>the</w:t>
      </w:r>
      <w:r w:rsidR="00D92AD1" w:rsidRPr="00C01462">
        <w:t xml:space="preserve"> prior and 76% in the </w:t>
      </w:r>
      <w:r w:rsidR="000076C6" w:rsidRPr="00C01462">
        <w:t>inventory</w:t>
      </w:r>
      <w:r w:rsidR="00D92AD1" w:rsidRPr="00C01462">
        <w:t xml:space="preserve"> to 63% in the posterior) to landfills and livestock (from 25% </w:t>
      </w:r>
      <w:r w:rsidR="00D26C5F" w:rsidRPr="00C01462">
        <w:t xml:space="preserve">in </w:t>
      </w:r>
      <w:r w:rsidR="000076C6" w:rsidRPr="00C01462">
        <w:t>the</w:t>
      </w:r>
      <w:r w:rsidR="00D26C5F" w:rsidRPr="00C01462">
        <w:t xml:space="preserve"> prior </w:t>
      </w:r>
      <w:r w:rsidR="00D92AD1" w:rsidRPr="00C01462">
        <w:t>to 34%</w:t>
      </w:r>
      <w:r w:rsidR="00D26C5F" w:rsidRPr="00C01462">
        <w:t xml:space="preserve"> in the posterior</w:t>
      </w:r>
      <w:r w:rsidR="00D92AD1" w:rsidRPr="00C01462">
        <w:t xml:space="preserve">). </w:t>
      </w:r>
      <w:r w:rsidR="00431303" w:rsidRPr="00C01462">
        <w:t>The inventories of</w:t>
      </w:r>
      <w:r w:rsidR="00EB3129" w:rsidRPr="00C01462">
        <w:t xml:space="preserve"> California, Iowa, and Louisiana</w:t>
      </w:r>
      <w:r w:rsidR="00431303" w:rsidRPr="00C01462">
        <w:t xml:space="preserve"> are smaller than our mean posterior emissions, while Colorado finds larger emissions</w:t>
      </w:r>
      <w:r w:rsidR="000076C6" w:rsidRPr="00C01462">
        <w:t>, with different driving sectors in each state</w:t>
      </w:r>
      <w:r w:rsidR="00EB3129" w:rsidRPr="00C01462">
        <w:t xml:space="preserve">. </w:t>
      </w:r>
      <w:r w:rsidR="00DF50D4" w:rsidRPr="00C01462">
        <w:t xml:space="preserve">Our prior and </w:t>
      </w:r>
      <w:r w:rsidR="005A6D62" w:rsidRPr="00C01462">
        <w:t xml:space="preserve">mean </w:t>
      </w:r>
      <w:r w:rsidR="00DF50D4" w:rsidRPr="00C01462">
        <w:t xml:space="preserve">posterior estimates are larger than the California inventory by 13% and 32%, respectively, with 78% of the </w:t>
      </w:r>
      <w:r w:rsidR="00431303" w:rsidRPr="00C01462">
        <w:t xml:space="preserve">inferred </w:t>
      </w:r>
      <w:r w:rsidR="00DF50D4" w:rsidRPr="00C01462">
        <w:t xml:space="preserve">increase attributable to </w:t>
      </w:r>
      <w:commentRangeStart w:id="13"/>
      <w:r w:rsidR="00DF50D4" w:rsidRPr="00C01462">
        <w:t xml:space="preserve">livestock </w:t>
      </w:r>
      <w:commentRangeEnd w:id="13"/>
      <w:r w:rsidR="003E50EA" w:rsidRPr="00C01462">
        <w:rPr>
          <w:rStyle w:val="CommentReference"/>
        </w:rPr>
        <w:commentReference w:id="13"/>
      </w:r>
      <w:r w:rsidR="00DF50D4" w:rsidRPr="00C01462">
        <w:t>and 14% to oil and natural</w:t>
      </w:r>
      <w:r w:rsidR="005A6D62" w:rsidRPr="00C01462">
        <w:t xml:space="preserve"> </w:t>
      </w:r>
      <w:r w:rsidR="00DF50D4" w:rsidRPr="00C01462">
        <w:t>gas</w:t>
      </w:r>
      <w:r w:rsidR="005A6D62" w:rsidRPr="00C01462">
        <w:t>.</w:t>
      </w:r>
      <w:r w:rsidR="00DF50D4" w:rsidRPr="00C01462">
        <w:t xml:space="preserve"> In Iowa, our prior estimate is </w:t>
      </w:r>
      <w:r w:rsidR="005A6D62" w:rsidRPr="00C01462">
        <w:t xml:space="preserve">only 4% smaller than the inventory value, but we find a mean 33% increase in emissions that is attributed to livestock (70%) and landfills (18%). The Louisiana inventory </w:t>
      </w:r>
      <w:r w:rsidR="00431303" w:rsidRPr="00C01462">
        <w:t>finds</w:t>
      </w:r>
      <w:r w:rsidR="005A6D62" w:rsidRPr="00C01462">
        <w:t xml:space="preserve"> methane emissions half as small as our prior, and we find an additional mean 65% increase </w:t>
      </w:r>
      <w:r w:rsidR="003C174E" w:rsidRPr="00C01462">
        <w:t xml:space="preserve">in emissions </w:t>
      </w:r>
      <w:r w:rsidR="000076C6" w:rsidRPr="00C01462">
        <w:t>attributed to</w:t>
      </w:r>
      <w:r w:rsidR="003C174E" w:rsidRPr="00C01462">
        <w:t xml:space="preserve"> oil and natural gas (71%) and other sources, predominantly rice (16%).</w:t>
      </w:r>
      <w:r w:rsidR="00431303" w:rsidRPr="00C01462">
        <w:t xml:space="preserve"> </w:t>
      </w:r>
      <w:r w:rsidR="00295D37" w:rsidRPr="00C01462">
        <w:t xml:space="preserve">The Colorado inventory </w:t>
      </w:r>
      <w:r w:rsidR="00431303" w:rsidRPr="00C01462">
        <w:t>is</w:t>
      </w:r>
      <w:r w:rsidR="00295D37" w:rsidRPr="00C01462">
        <w:t xml:space="preserve"> </w:t>
      </w:r>
      <w:r w:rsidR="005C180E" w:rsidRPr="00C01462">
        <w:t xml:space="preserve">larger by </w:t>
      </w:r>
      <w:r w:rsidR="00295D37" w:rsidRPr="00C01462">
        <w:t xml:space="preserve">44% </w:t>
      </w:r>
      <w:r w:rsidR="005C180E" w:rsidRPr="00C01462">
        <w:t xml:space="preserve">than </w:t>
      </w:r>
      <w:r w:rsidR="00295D37" w:rsidRPr="00C01462">
        <w:t>our prior estimate and 65% than our mean posterior emissions</w:t>
      </w:r>
      <w:r w:rsidR="00431303" w:rsidRPr="00C01462">
        <w:t xml:space="preserve">. The difference between the inventory and the inversion is due to </w:t>
      </w:r>
      <w:r w:rsidR="005C180E" w:rsidRPr="00C01462">
        <w:t xml:space="preserve">oil and natural gas, </w:t>
      </w:r>
      <w:r w:rsidR="00431303" w:rsidRPr="00C01462">
        <w:t xml:space="preserve">where the inventory estimates emissions </w:t>
      </w:r>
      <w:r w:rsidR="005C180E" w:rsidRPr="00C01462">
        <w:t xml:space="preserve">more than twice as </w:t>
      </w:r>
      <w:r w:rsidR="000076C6" w:rsidRPr="00C01462">
        <w:t>large</w:t>
      </w:r>
      <w:r w:rsidR="005C180E" w:rsidRPr="00C01462">
        <w:t xml:space="preserve"> as our prior.</w:t>
      </w:r>
    </w:p>
    <w:p w14:paraId="5785E71F" w14:textId="47006A2D" w:rsidR="008E3D30" w:rsidRPr="00C01462" w:rsidRDefault="008E3D30"/>
    <w:p w14:paraId="75F62473" w14:textId="5EA6939E" w:rsidR="008E3D30" w:rsidRPr="00C01462" w:rsidRDefault="008E3D30">
      <w:pPr>
        <w:rPr>
          <w:color w:val="FF0000"/>
        </w:rPr>
      </w:pPr>
      <w:r w:rsidRPr="00C01462">
        <w:rPr>
          <w:color w:val="FF0000"/>
        </w:rPr>
        <w:t>[Add comparison to other state papers, especially states in the top 10]</w:t>
      </w:r>
    </w:p>
    <w:p w14:paraId="5A8E617F" w14:textId="4369170A" w:rsidR="00A76812" w:rsidRPr="00C01462" w:rsidRDefault="00A76812" w:rsidP="008D393C">
      <w:pPr>
        <w:tabs>
          <w:tab w:val="left" w:pos="1653"/>
        </w:tabs>
      </w:pPr>
    </w:p>
    <w:p w14:paraId="263D4E1F" w14:textId="3B48CEF4" w:rsidR="00B02373" w:rsidRPr="00C01462" w:rsidRDefault="00B02373">
      <w:pPr>
        <w:rPr>
          <w:b/>
          <w:bCs/>
        </w:rPr>
      </w:pPr>
      <w:r w:rsidRPr="00C01462">
        <w:rPr>
          <w:b/>
          <w:bCs/>
        </w:rPr>
        <w:t>3.</w:t>
      </w:r>
      <w:r w:rsidR="00864D68" w:rsidRPr="00C01462">
        <w:rPr>
          <w:b/>
          <w:bCs/>
        </w:rPr>
        <w:t>3</w:t>
      </w:r>
      <w:r w:rsidRPr="00C01462">
        <w:rPr>
          <w:b/>
          <w:bCs/>
        </w:rPr>
        <w:t xml:space="preserve"> Urban sectoral emissions</w:t>
      </w:r>
    </w:p>
    <w:p w14:paraId="38098F58" w14:textId="7BD1AE1E" w:rsidR="00FA6F96" w:rsidRPr="00C01462" w:rsidRDefault="00CC42FE" w:rsidP="000C5B1A">
      <w:r w:rsidRPr="00C01462">
        <w:t xml:space="preserve">We calculate the mean posterior emissions for the </w:t>
      </w:r>
      <w:r w:rsidR="00F77B87" w:rsidRPr="00C01462">
        <w:t>262 urban areas</w:t>
      </w:r>
      <w:r w:rsidRPr="00C01462">
        <w:t xml:space="preserve"> defined by the U.S. Census Bureau </w:t>
      </w:r>
      <w:r w:rsidR="00F77B87" w:rsidRPr="00C01462">
        <w:t xml:space="preserve">for 2010 </w:t>
      </w:r>
      <w:r w:rsidRPr="00C01462">
        <w:t xml:space="preserve">(section </w:t>
      </w:r>
      <w:r w:rsidR="009F4847" w:rsidRPr="00C01462">
        <w:t>2.8</w:t>
      </w:r>
      <w:r w:rsidR="00EC061D" w:rsidRPr="00C01462">
        <w:t>)</w:t>
      </w:r>
      <w:r w:rsidR="009F4847" w:rsidRPr="00C01462">
        <w:t xml:space="preserve"> </w:t>
      </w:r>
      <w:r w:rsidR="00F77B87" w:rsidRPr="00C01462">
        <w:t xml:space="preserve">with a 2010 population greater than 1e6 and </w:t>
      </w:r>
      <w:r w:rsidR="001C76C1" w:rsidRPr="00C01462">
        <w:t xml:space="preserve">that are </w:t>
      </w:r>
      <w:r w:rsidR="009F4847" w:rsidRPr="00C01462">
        <w:t xml:space="preserve">optimized by at least one of the 15 inversion ensemble members. </w:t>
      </w:r>
      <w:r w:rsidR="000C5B1A" w:rsidRPr="00C01462">
        <w:t xml:space="preserve">Most </w:t>
      </w:r>
      <w:r w:rsidR="00FA6F96" w:rsidRPr="00C01462">
        <w:t xml:space="preserve">past </w:t>
      </w:r>
      <w:r w:rsidR="000C5B1A" w:rsidRPr="00C01462">
        <w:t xml:space="preserve">studies of urban areas </w:t>
      </w:r>
      <w:r w:rsidR="00FA6F96" w:rsidRPr="00C01462">
        <w:t>relied</w:t>
      </w:r>
      <w:r w:rsidR="000C5B1A" w:rsidRPr="00C01462">
        <w:t xml:space="preserve"> on in situ and aircraft observations and therefore quantif</w:t>
      </w:r>
      <w:r w:rsidR="00FA6F96" w:rsidRPr="00C01462">
        <w:t>ied</w:t>
      </w:r>
      <w:r w:rsidR="000C5B1A" w:rsidRPr="00C01462">
        <w:t xml:space="preserve"> emissions in a small </w:t>
      </w:r>
      <w:r w:rsidR="000C5B1A" w:rsidRPr="00C01462">
        <w:t xml:space="preserve">(&lt;10) </w:t>
      </w:r>
      <w:r w:rsidR="000C5B1A" w:rsidRPr="00C01462">
        <w:t xml:space="preserve">number of cities. Plant et al. (2022) </w:t>
      </w:r>
      <w:r w:rsidR="00FA6F96" w:rsidRPr="00C01462">
        <w:t>used TROPOMI data</w:t>
      </w:r>
      <w:r w:rsidR="000C5B1A" w:rsidRPr="00C01462">
        <w:t xml:space="preserve"> </w:t>
      </w:r>
      <w:r w:rsidR="00FA6F96" w:rsidRPr="00C01462">
        <w:t xml:space="preserve">to analyze </w:t>
      </w:r>
      <w:r w:rsidR="000C5B1A" w:rsidRPr="00C01462">
        <w:t>urban methane emissions in CONUS</w:t>
      </w:r>
      <w:r w:rsidR="00FA6F96" w:rsidRPr="00C01462">
        <w:t xml:space="preserve">, but </w:t>
      </w:r>
      <w:r w:rsidR="000C5B1A" w:rsidRPr="00C01462">
        <w:t xml:space="preserve">they limited their analysis to eight cities. To our knowledge, this study is the first to comprehensively analyze urban emissions in CONUS. </w:t>
      </w:r>
    </w:p>
    <w:p w14:paraId="0EBB1201" w14:textId="77777777" w:rsidR="00FA6F96" w:rsidRPr="00C01462" w:rsidRDefault="00FA6F96" w:rsidP="000C5B1A"/>
    <w:p w14:paraId="030A1CC9" w14:textId="208076D9" w:rsidR="009F4847" w:rsidRPr="00C01462" w:rsidRDefault="00FA6F96">
      <w:r w:rsidRPr="00C01462">
        <w:t xml:space="preserve">The 262 analyzed </w:t>
      </w:r>
      <w:r w:rsidR="000C5B1A" w:rsidRPr="00C01462">
        <w:t xml:space="preserve">urban areas occupy less than 3% of CONUS surface area but are responsible for </w:t>
      </w:r>
      <w:r w:rsidR="000C5B1A" w:rsidRPr="00C01462">
        <w:t>6.8</w:t>
      </w:r>
      <w:r w:rsidR="000C5B1A" w:rsidRPr="00C01462">
        <w:t>% of prior emissions.</w:t>
      </w:r>
      <w:r w:rsidRPr="00C01462">
        <w:t xml:space="preserve"> </w:t>
      </w:r>
      <w:r w:rsidR="006A0883" w:rsidRPr="00C01462">
        <w:t>The observing system provides a weaker constraint on urban areas than on sectors or states</w:t>
      </w:r>
      <w:r w:rsidR="00726E62" w:rsidRPr="00C01462">
        <w:t xml:space="preserve"> </w:t>
      </w:r>
      <w:r w:rsidR="00726E62" w:rsidRPr="00C01462">
        <w:t>due to</w:t>
      </w:r>
      <w:r w:rsidR="00E76887" w:rsidRPr="00C01462">
        <w:t xml:space="preserve"> </w:t>
      </w:r>
      <w:r w:rsidR="00F77B87" w:rsidRPr="00C01462">
        <w:t xml:space="preserve">smoothing errors, </w:t>
      </w:r>
      <w:r w:rsidR="00D70492" w:rsidRPr="00C01462">
        <w:t xml:space="preserve">the </w:t>
      </w:r>
      <w:r w:rsidR="00F77B87" w:rsidRPr="00C01462">
        <w:t>larger instrument errors incurred by the heterogeneity of the urban grid, and</w:t>
      </w:r>
      <w:r w:rsidR="00D70492" w:rsidRPr="00C01462">
        <w:t xml:space="preserve"> the</w:t>
      </w:r>
      <w:r w:rsidR="00F77B87" w:rsidRPr="00C01462">
        <w:t xml:space="preserve"> </w:t>
      </w:r>
      <w:r w:rsidR="00D70492" w:rsidRPr="00C01462">
        <w:t>increase in</w:t>
      </w:r>
      <w:r w:rsidR="00F77B87" w:rsidRPr="00C01462">
        <w:t xml:space="preserve"> model transport errors </w:t>
      </w:r>
      <w:r w:rsidRPr="00C01462">
        <w:t>at high</w:t>
      </w:r>
      <w:r w:rsidR="00F77B87" w:rsidRPr="00C01462">
        <w:t xml:space="preserve"> resolution. We find</w:t>
      </w:r>
      <w:r w:rsidR="006A0883" w:rsidRPr="00C01462">
        <w:t xml:space="preserve"> </w:t>
      </w:r>
      <w:r w:rsidR="00726E62" w:rsidRPr="00C01462">
        <w:t xml:space="preserve">mean </w:t>
      </w:r>
      <w:r w:rsidR="006A0883" w:rsidRPr="00C01462">
        <w:t xml:space="preserve">urban averaging kernel sensitivity values </w:t>
      </w:r>
      <w:r w:rsidR="00726E62" w:rsidRPr="00C01462">
        <w:t xml:space="preserve">of </w:t>
      </w:r>
      <w:r w:rsidR="006A0883" w:rsidRPr="00C01462">
        <w:t>0.</w:t>
      </w:r>
      <w:r w:rsidR="00F77B87" w:rsidRPr="00C01462">
        <w:t xml:space="preserve">19 </w:t>
      </w:r>
      <w:r w:rsidR="006A0883" w:rsidRPr="00C01462">
        <w:t>(0.</w:t>
      </w:r>
      <w:r w:rsidR="00F77B87" w:rsidRPr="00C01462">
        <w:t>09</w:t>
      </w:r>
      <w:r w:rsidR="006A0883" w:rsidRPr="00C01462">
        <w:t xml:space="preserve"> - 0.3</w:t>
      </w:r>
      <w:r w:rsidR="00F77B87" w:rsidRPr="00C01462">
        <w:t>0</w:t>
      </w:r>
      <w:r w:rsidR="00726E62" w:rsidRPr="00C01462">
        <w:t>)</w:t>
      </w:r>
      <w:r w:rsidR="006A0883" w:rsidRPr="00C01462">
        <w:t xml:space="preserve">. </w:t>
      </w:r>
      <w:r w:rsidR="00F77B87" w:rsidRPr="00C01462">
        <w:t>Despite the weak constraint, we</w:t>
      </w:r>
      <w:r w:rsidR="00726E62" w:rsidRPr="00C01462">
        <w:t xml:space="preserve"> still find significant corrections:</w:t>
      </w:r>
      <w:r w:rsidR="0089735F" w:rsidRPr="00C01462">
        <w:t xml:space="preserve"> </w:t>
      </w:r>
      <w:r w:rsidR="00932DCB" w:rsidRPr="00C01462">
        <w:t>posterior emissions are on average</w:t>
      </w:r>
      <w:r w:rsidR="009F4847" w:rsidRPr="00C01462">
        <w:t xml:space="preserve"> </w:t>
      </w:r>
      <w:r w:rsidR="00F77B87" w:rsidRPr="00C01462">
        <w:t>29</w:t>
      </w:r>
      <w:r w:rsidR="009F4847" w:rsidRPr="00C01462">
        <w:t>% (</w:t>
      </w:r>
      <w:r w:rsidR="00F77B87" w:rsidRPr="00C01462">
        <w:t>16</w:t>
      </w:r>
      <w:r w:rsidR="009F4847" w:rsidRPr="00C01462">
        <w:t xml:space="preserve">% - </w:t>
      </w:r>
      <w:r w:rsidR="00F77B87" w:rsidRPr="00C01462">
        <w:t>44</w:t>
      </w:r>
      <w:r w:rsidR="009F4847" w:rsidRPr="00C01462">
        <w:t xml:space="preserve">%) larger than </w:t>
      </w:r>
      <w:r w:rsidR="00932DCB" w:rsidRPr="00C01462">
        <w:t xml:space="preserve">the </w:t>
      </w:r>
      <w:commentRangeStart w:id="14"/>
      <w:r w:rsidR="00932DCB" w:rsidRPr="00C01462">
        <w:t>prior</w:t>
      </w:r>
      <w:commentRangeEnd w:id="14"/>
      <w:r w:rsidR="00A52B95" w:rsidRPr="00C01462">
        <w:rPr>
          <w:rStyle w:val="CommentReference"/>
        </w:rPr>
        <w:commentReference w:id="14"/>
      </w:r>
      <w:r w:rsidR="000C5B1A" w:rsidRPr="00C01462">
        <w:t xml:space="preserve"> so that urban areas are responsible for 8.3% (7.7% - 7.2%) of total emissions.</w:t>
      </w:r>
    </w:p>
    <w:p w14:paraId="5A413B1B" w14:textId="13854FC8" w:rsidR="007050CC" w:rsidRPr="00C01462" w:rsidRDefault="007050CC"/>
    <w:p w14:paraId="7C44DB99" w14:textId="07DBFC40" w:rsidR="00B15AE1" w:rsidRPr="00C01462" w:rsidRDefault="007050CC">
      <w:r w:rsidRPr="00C01462">
        <w:t xml:space="preserve">The observed increase in urban emissions suggests an underestimate of </w:t>
      </w:r>
      <w:r w:rsidR="001435A8" w:rsidRPr="00C01462">
        <w:t xml:space="preserve">landfill emissions or natural gas distribution or post-meter emissions. </w:t>
      </w:r>
      <w:r w:rsidR="00B15AE1" w:rsidRPr="00C01462">
        <w:t>The EPA added post-meter emissions of 456 Gg a</w:t>
      </w:r>
      <w:r w:rsidR="00B15AE1" w:rsidRPr="00C01462">
        <w:rPr>
          <w:vertAlign w:val="superscript"/>
        </w:rPr>
        <w:t>-1</w:t>
      </w:r>
      <w:r w:rsidR="00B15AE1" w:rsidRPr="00C01462">
        <w:t xml:space="preserve"> to their most recent GHGI for 2019, representing 5% of oil and natural gas emissions. </w:t>
      </w:r>
      <w:r w:rsidR="004B493F" w:rsidRPr="00C01462">
        <w:t xml:space="preserve">This addition explains </w:t>
      </w:r>
      <w:r w:rsidR="004B493F" w:rsidRPr="00C01462">
        <w:t xml:space="preserve">69% (43% - 130%) </w:t>
      </w:r>
      <w:r w:rsidR="004B493F" w:rsidRPr="00C01462">
        <w:t>of the inferred</w:t>
      </w:r>
      <w:r w:rsidR="00B15AE1" w:rsidRPr="00C01462">
        <w:t xml:space="preserve"> net adjustment of </w:t>
      </w:r>
      <w:r w:rsidR="00F77B87" w:rsidRPr="00C01462">
        <w:t>658</w:t>
      </w:r>
      <w:r w:rsidR="00B15AE1" w:rsidRPr="00C01462">
        <w:t xml:space="preserve"> </w:t>
      </w:r>
      <w:r w:rsidR="00687833" w:rsidRPr="00C01462">
        <w:t>(</w:t>
      </w:r>
      <w:r w:rsidR="00F77B87" w:rsidRPr="00C01462">
        <w:t>350</w:t>
      </w:r>
      <w:r w:rsidR="00687833" w:rsidRPr="00C01462">
        <w:t xml:space="preserve"> - </w:t>
      </w:r>
      <w:r w:rsidR="00F77B87" w:rsidRPr="00C01462">
        <w:t>1066</w:t>
      </w:r>
      <w:r w:rsidR="00687833" w:rsidRPr="00C01462">
        <w:t xml:space="preserve">) </w:t>
      </w:r>
      <w:r w:rsidR="00B15AE1" w:rsidRPr="00C01462">
        <w:t>Gg a</w:t>
      </w:r>
      <w:r w:rsidR="00B15AE1" w:rsidRPr="00C01462">
        <w:rPr>
          <w:vertAlign w:val="superscript"/>
        </w:rPr>
        <w:t>-1</w:t>
      </w:r>
      <w:r w:rsidR="00B15AE1" w:rsidRPr="00C01462">
        <w:t xml:space="preserve"> to urban areas. </w:t>
      </w:r>
      <w:r w:rsidR="004B493F" w:rsidRPr="00C01462">
        <w:t>W</w:t>
      </w:r>
      <w:r w:rsidR="005F62E3" w:rsidRPr="00C01462">
        <w:t xml:space="preserve">e find that we are unable to </w:t>
      </w:r>
      <w:r w:rsidR="003F5E73" w:rsidRPr="00C01462">
        <w:t xml:space="preserve">explain the remaining discrepancy because </w:t>
      </w:r>
      <w:r w:rsidR="005F62E3" w:rsidRPr="00C01462">
        <w:t>source co-location results in high sectoral covariance.</w:t>
      </w:r>
      <w:r w:rsidR="005F62E3" w:rsidRPr="00C01462">
        <w:t xml:space="preserve"> We also find no correlations between the observed increase in either </w:t>
      </w:r>
      <w:r w:rsidR="00CB5085" w:rsidRPr="00C01462">
        <w:t xml:space="preserve">aggregated urban areas or individual urban grid cells </w:t>
      </w:r>
      <w:r w:rsidR="005F62E3" w:rsidRPr="00C01462">
        <w:t>and urban area population</w:t>
      </w:r>
      <w:r w:rsidR="00A014F9" w:rsidRPr="00C01462">
        <w:t xml:space="preserve"> </w:t>
      </w:r>
      <w:r w:rsidR="00A014F9" w:rsidRPr="00C01462">
        <w:lastRenderedPageBreak/>
        <w:t>for 2010</w:t>
      </w:r>
      <w:r w:rsidR="005F62E3" w:rsidRPr="00C01462">
        <w:t xml:space="preserve">, population change from </w:t>
      </w:r>
      <w:r w:rsidR="00A014F9" w:rsidRPr="00C01462">
        <w:t>2000</w:t>
      </w:r>
      <w:r w:rsidR="005F62E3" w:rsidRPr="00C01462">
        <w:t xml:space="preserve"> to </w:t>
      </w:r>
      <w:r w:rsidR="00A014F9" w:rsidRPr="00C01462">
        <w:t>2010</w:t>
      </w:r>
      <w:r w:rsidR="005F62E3" w:rsidRPr="00C01462">
        <w:t xml:space="preserve">, population density, or surface area. </w:t>
      </w:r>
      <w:r w:rsidR="00CB5085" w:rsidRPr="00C01462">
        <w:t>The lack of correlation reflects the variability of methane emission sources and trends between urban areas</w:t>
      </w:r>
      <w:r w:rsidR="00C30ED6" w:rsidRPr="00C01462">
        <w:t>, as</w:t>
      </w:r>
      <w:r w:rsidR="00A014F9" w:rsidRPr="00C01462">
        <w:t xml:space="preserve"> </w:t>
      </w:r>
      <w:r w:rsidR="00C30ED6" w:rsidRPr="00C01462">
        <w:t>supported by earlier</w:t>
      </w:r>
      <w:r w:rsidR="00A014F9" w:rsidRPr="00C01462">
        <w:t xml:space="preserve"> studies. </w:t>
      </w:r>
      <w:proofErr w:type="spellStart"/>
      <w:r w:rsidR="00A014F9" w:rsidRPr="00C01462">
        <w:t>Floerchinger</w:t>
      </w:r>
      <w:proofErr w:type="spellEnd"/>
      <w:r w:rsidR="00A014F9" w:rsidRPr="00C01462">
        <w:t xml:space="preserve"> et al. (2021) found “dramatically different” emission profiles in </w:t>
      </w:r>
      <w:r w:rsidR="001A367E" w:rsidRPr="00C01462">
        <w:t>an aircraft survey</w:t>
      </w:r>
      <w:r w:rsidR="00A014F9" w:rsidRPr="00C01462">
        <w:t xml:space="preserve"> of </w:t>
      </w:r>
      <w:r w:rsidR="006D25B8" w:rsidRPr="00C01462">
        <w:t xml:space="preserve">methane and ethane over </w:t>
      </w:r>
      <w:r w:rsidR="00A014F9" w:rsidRPr="00C01462">
        <w:t>seven U.S. cities</w:t>
      </w:r>
      <w:r w:rsidR="00CB1EB6" w:rsidRPr="00C01462">
        <w:t xml:space="preserve">, with the fraction of emissions attributable to natural gas ranging from 0.32 </w:t>
      </w:r>
      <w:r w:rsidR="00E66293" w:rsidRPr="00C01462">
        <w:t>to</w:t>
      </w:r>
      <w:r w:rsidR="00CB1EB6" w:rsidRPr="00C01462">
        <w:t xml:space="preserve"> 1.0. </w:t>
      </w:r>
      <w:r w:rsidR="00BA1AFC" w:rsidRPr="00C01462">
        <w:t>S</w:t>
      </w:r>
      <w:r w:rsidR="00581BE2" w:rsidRPr="00C01462">
        <w:t>argent et al. (20</w:t>
      </w:r>
      <w:r w:rsidR="00E2007F" w:rsidRPr="00C01462">
        <w:t>21</w:t>
      </w:r>
      <w:r w:rsidR="00581BE2" w:rsidRPr="00C01462">
        <w:t xml:space="preserve">) surveyed 12 studies spanning six cities and found that natural gas contributions to urban emissions ranged from 43% to 88%. </w:t>
      </w:r>
      <w:r w:rsidR="00CB1EB6" w:rsidRPr="00C01462">
        <w:t>Both</w:t>
      </w:r>
      <w:r w:rsidR="00581BE2" w:rsidRPr="00C01462">
        <w:t xml:space="preserve"> studies included geographically diverse cities with a range of populations.</w:t>
      </w:r>
      <w:r w:rsidR="00E028EC" w:rsidRPr="00C01462">
        <w:t xml:space="preserve"> </w:t>
      </w:r>
      <w:r w:rsidR="00E028EC" w:rsidRPr="00C01462">
        <w:t xml:space="preserve">Plant et al. (2019) </w:t>
      </w:r>
      <w:r w:rsidR="00CB1EB6" w:rsidRPr="00C01462">
        <w:t>used</w:t>
      </w:r>
      <w:r w:rsidR="00E028EC" w:rsidRPr="00C01462">
        <w:t xml:space="preserve"> aircraft data over </w:t>
      </w:r>
      <w:r w:rsidR="00CB1EB6" w:rsidRPr="00C01462">
        <w:t>six</w:t>
      </w:r>
      <w:r w:rsidR="00E028EC" w:rsidRPr="00C01462">
        <w:t xml:space="preserve"> cities</w:t>
      </w:r>
      <w:r w:rsidR="00CB1EB6" w:rsidRPr="00C01462">
        <w:t xml:space="preserve"> on the East Coast of CONUS</w:t>
      </w:r>
      <w:r w:rsidR="00E028EC" w:rsidRPr="00C01462">
        <w:t xml:space="preserve"> </w:t>
      </w:r>
      <w:r w:rsidR="00CB1EB6" w:rsidRPr="00C01462">
        <w:t xml:space="preserve">and </w:t>
      </w:r>
      <w:r w:rsidR="00E028EC" w:rsidRPr="00C01462">
        <w:t>found that on average between 80% and 110% of emissions in each city were explained by natural gas emissions. However, their confidence intervals ranged from a minimum of 45% to a maximum of 170%, reflecting significant uncertainty in the source attribution.</w:t>
      </w:r>
    </w:p>
    <w:p w14:paraId="1778B01D" w14:textId="77777777" w:rsidR="00B15AE1" w:rsidRPr="00C01462" w:rsidRDefault="00B15AE1"/>
    <w:p w14:paraId="764CF176" w14:textId="1B9C60CD" w:rsidR="006E07BF" w:rsidRPr="00C01462" w:rsidRDefault="001A367E">
      <w:r w:rsidRPr="00C01462">
        <w:t>We look in detail at the top 10 methane</w:t>
      </w:r>
      <w:r w:rsidR="009A306C" w:rsidRPr="00C01462">
        <w:t xml:space="preserve"> </w:t>
      </w:r>
      <w:r w:rsidRPr="00C01462">
        <w:t xml:space="preserve">producing urban areas as ranked by mean posterior </w:t>
      </w:r>
      <w:r w:rsidR="00816CC5" w:rsidRPr="00C01462">
        <w:t>emissions</w:t>
      </w:r>
      <w:r w:rsidRPr="00C01462">
        <w:t xml:space="preserve">, shown in Figure 6. </w:t>
      </w:r>
      <w:r w:rsidR="00A74664" w:rsidRPr="00C01462">
        <w:t xml:space="preserve">We find a larger constraint in these cities compared to the average, with an </w:t>
      </w:r>
      <w:commentRangeStart w:id="15"/>
      <w:r w:rsidR="00A74664" w:rsidRPr="00C01462">
        <w:t xml:space="preserve">average mean </w:t>
      </w:r>
      <w:commentRangeEnd w:id="15"/>
      <w:r w:rsidR="00A74664" w:rsidRPr="00C01462">
        <w:rPr>
          <w:rStyle w:val="CommentReference"/>
        </w:rPr>
        <w:commentReference w:id="15"/>
      </w:r>
      <w:r w:rsidR="00A74664" w:rsidRPr="00C01462">
        <w:t xml:space="preserve">urban averaging kernel sensitivity of 0.40. </w:t>
      </w:r>
      <w:r w:rsidR="009A306C" w:rsidRPr="00C01462">
        <w:t xml:space="preserve">As found </w:t>
      </w:r>
      <w:r w:rsidR="006E07BF" w:rsidRPr="00C01462">
        <w:t>in</w:t>
      </w:r>
      <w:r w:rsidR="009A306C" w:rsidRPr="00C01462">
        <w:t xml:space="preserve"> </w:t>
      </w:r>
      <w:r w:rsidR="00A74664" w:rsidRPr="00C01462">
        <w:t>our states analysis</w:t>
      </w:r>
      <w:r w:rsidR="009A306C" w:rsidRPr="00C01462">
        <w:t xml:space="preserve">, </w:t>
      </w:r>
      <w:r w:rsidR="006E07BF" w:rsidRPr="00C01462">
        <w:t xml:space="preserve">methane emissions are </w:t>
      </w:r>
      <w:r w:rsidR="009A306C" w:rsidRPr="00C01462">
        <w:t>consolidat</w:t>
      </w:r>
      <w:r w:rsidR="006E07BF" w:rsidRPr="00C01462">
        <w:t>ed</w:t>
      </w:r>
      <w:r w:rsidR="009A306C" w:rsidRPr="00C01462">
        <w:t xml:space="preserve"> in the </w:t>
      </w:r>
      <w:r w:rsidR="00B50D7D" w:rsidRPr="00C01462">
        <w:t>regions</w:t>
      </w:r>
      <w:r w:rsidR="009A306C" w:rsidRPr="00C01462">
        <w:t xml:space="preserve"> with the largest emissions. </w:t>
      </w:r>
      <w:r w:rsidR="00B50D7D" w:rsidRPr="00C01462">
        <w:t>These top</w:t>
      </w:r>
      <w:r w:rsidR="009A306C" w:rsidRPr="00C01462">
        <w:t xml:space="preserve"> 10 </w:t>
      </w:r>
      <w:r w:rsidR="00B50D7D" w:rsidRPr="00C01462">
        <w:t xml:space="preserve">methane producing </w:t>
      </w:r>
      <w:r w:rsidR="009A306C" w:rsidRPr="00C01462">
        <w:t xml:space="preserve">cities are responsible for 39% of prior methane emissions and 45% (42% - 49%) of mean posterior methane emissions in the 262 urban areas analyzed. </w:t>
      </w:r>
      <w:r w:rsidR="00F43966" w:rsidRPr="00C01462">
        <w:t xml:space="preserve">We find a much larger </w:t>
      </w:r>
      <w:r w:rsidR="00E66293" w:rsidRPr="00C01462">
        <w:t xml:space="preserve">mean </w:t>
      </w:r>
      <w:r w:rsidR="00F43966" w:rsidRPr="00C01462">
        <w:t>increase</w:t>
      </w:r>
      <w:r w:rsidR="00E66293" w:rsidRPr="00C01462">
        <w:t xml:space="preserve"> </w:t>
      </w:r>
      <w:r w:rsidR="00F43966" w:rsidRPr="00C01462">
        <w:t xml:space="preserve">relative to the prior </w:t>
      </w:r>
      <w:r w:rsidR="00E66293" w:rsidRPr="00C01462">
        <w:t>of 78%</w:t>
      </w:r>
      <w:r w:rsidR="00E66293" w:rsidRPr="00C01462">
        <w:t xml:space="preserve"> </w:t>
      </w:r>
      <w:r w:rsidR="00994AE4" w:rsidRPr="00C01462">
        <w:t>compared to</w:t>
      </w:r>
      <w:r w:rsidR="00F43966" w:rsidRPr="00C01462">
        <w:t xml:space="preserve"> </w:t>
      </w:r>
      <w:r w:rsidR="004724C3" w:rsidRPr="00C01462">
        <w:t>the</w:t>
      </w:r>
      <w:r w:rsidR="00F43966" w:rsidRPr="00C01462">
        <w:t xml:space="preserve"> averag</w:t>
      </w:r>
      <w:r w:rsidR="00E66293" w:rsidRPr="00C01462">
        <w:t xml:space="preserve">e of 29%. </w:t>
      </w:r>
      <w:r w:rsidR="00A74664" w:rsidRPr="00C01462">
        <w:t xml:space="preserve">Emissions more than double in </w:t>
      </w:r>
      <w:r w:rsidR="00A94625" w:rsidRPr="00C01462">
        <w:t>four of the 10</w:t>
      </w:r>
      <w:r w:rsidR="00A74664" w:rsidRPr="00C01462">
        <w:t xml:space="preserve"> cities: Detroit (130% increase), Miami (</w:t>
      </w:r>
      <w:r w:rsidR="007025FC" w:rsidRPr="00C01462">
        <w:t>189% increase), Atlanta (110% increase), and Indianapolis (134% increase). The large increase in Miami may be due to aliasing co-located wetlands, which is reflected in the larger range of posterior estimates across the ensemble.</w:t>
      </w:r>
      <w:r w:rsidR="00994AE4" w:rsidRPr="00C01462">
        <w:t xml:space="preserve"> We find a decrease in emissions only in Los Angeles.</w:t>
      </w:r>
    </w:p>
    <w:p w14:paraId="7E8E9E02" w14:textId="77777777" w:rsidR="006E07BF" w:rsidRPr="00C01462" w:rsidRDefault="006E07BF"/>
    <w:p w14:paraId="58ADDB13" w14:textId="3DCC1A04" w:rsidR="009A306C" w:rsidRPr="00C01462" w:rsidRDefault="009A306C" w:rsidP="00994AE4">
      <w:r w:rsidRPr="00C01462">
        <w:t>There is considerable overlap between the top 10 methane producing cities and the 10 largest cities</w:t>
      </w:r>
      <w:r w:rsidR="00A94181" w:rsidRPr="00C01462">
        <w:t xml:space="preserve"> as ranked by the 2010 Census population</w:t>
      </w:r>
      <w:r w:rsidR="00994AE4" w:rsidRPr="00C01462">
        <w:t>.</w:t>
      </w:r>
      <w:r w:rsidR="00A94181" w:rsidRPr="00C01462">
        <w:t xml:space="preserve"> </w:t>
      </w:r>
      <w:r w:rsidR="00C30ED6" w:rsidRPr="00C01462">
        <w:t>Th</w:t>
      </w:r>
      <w:r w:rsidR="00994AE4" w:rsidRPr="00C01462">
        <w:t xml:space="preserve">is </w:t>
      </w:r>
      <w:r w:rsidR="00C30ED6" w:rsidRPr="00C01462">
        <w:t xml:space="preserve">reflects </w:t>
      </w:r>
      <w:r w:rsidR="00994AE4" w:rsidRPr="00C01462">
        <w:t>the relationship</w:t>
      </w:r>
      <w:r w:rsidR="00C30ED6" w:rsidRPr="00C01462">
        <w:t xml:space="preserve"> between population and both landfill emissions and distribution and post-meter natural gas emissions.</w:t>
      </w:r>
      <w:r w:rsidR="006E07BF" w:rsidRPr="00C01462">
        <w:t xml:space="preserve"> </w:t>
      </w:r>
      <w:r w:rsidR="00994AE4" w:rsidRPr="00C01462">
        <w:t xml:space="preserve">However, we find no correlation between population and the inferred emissions change. Indeed, </w:t>
      </w:r>
      <w:r w:rsidR="001E60C7" w:rsidRPr="00C01462">
        <w:t xml:space="preserve">the three largest cities </w:t>
      </w:r>
      <w:r w:rsidR="00994AE4" w:rsidRPr="00C01462">
        <w:t xml:space="preserve">by population </w:t>
      </w:r>
      <w:r w:rsidR="001E60C7" w:rsidRPr="00C01462">
        <w:t xml:space="preserve">in CONUS (New York, Los Angeles, and Chicago) have the three smallest per capita methane emissions </w:t>
      </w:r>
      <w:r w:rsidR="00994AE4" w:rsidRPr="00C01462">
        <w:t>within</w:t>
      </w:r>
      <w:r w:rsidR="001E60C7" w:rsidRPr="00C01462">
        <w:t xml:space="preserve"> the top 10.</w:t>
      </w:r>
      <w:r w:rsidR="00994AE4" w:rsidRPr="00C01462">
        <w:t xml:space="preserve"> Washington and Boston</w:t>
      </w:r>
      <w:r w:rsidR="00994AE4" w:rsidRPr="00C01462">
        <w:t>, top 10 cities by population, are excluded from the list of the top 10 methane producing cities</w:t>
      </w:r>
      <w:r w:rsidR="00994AE4" w:rsidRPr="00C01462">
        <w:t>. Boston is likely excluded from the list due to the low constraint provided by TROPOMI rather than low emissions: we find a mean urban averaging kernel sensitivity of 0.10.</w:t>
      </w:r>
      <w:r w:rsidR="00994AE4" w:rsidRPr="00C01462">
        <w:t xml:space="preserve"> </w:t>
      </w:r>
      <w:r w:rsidR="00994AE4" w:rsidRPr="00C01462">
        <w:t xml:space="preserve">Detroit and Indianapolis </w:t>
      </w:r>
      <w:r w:rsidR="00994AE4" w:rsidRPr="00C01462">
        <w:t>are included instead, pointing</w:t>
      </w:r>
      <w:r w:rsidR="006E07BF" w:rsidRPr="00C01462">
        <w:t xml:space="preserve"> to the importance of </w:t>
      </w:r>
      <w:r w:rsidR="00B50D7D" w:rsidRPr="00C01462">
        <w:t>smaller, non-coastal population centers</w:t>
      </w:r>
      <w:r w:rsidR="00366013" w:rsidRPr="00C01462">
        <w:t xml:space="preserve"> </w:t>
      </w:r>
      <w:r w:rsidR="001E60C7" w:rsidRPr="00C01462">
        <w:t>for methane emissions</w:t>
      </w:r>
      <w:r w:rsidR="00366013" w:rsidRPr="00C01462">
        <w:t xml:space="preserve">. </w:t>
      </w:r>
      <w:r w:rsidR="00B50D7D" w:rsidRPr="00C01462">
        <w:t>These two cities have the largest per capita posterior methane emissions in the top 1</w:t>
      </w:r>
      <w:r w:rsidR="001E60C7" w:rsidRPr="00C01462">
        <w:t>0</w:t>
      </w:r>
      <w:r w:rsidR="00B50D7D" w:rsidRPr="00C01462">
        <w:t xml:space="preserve">, followed closely by Dallas. </w:t>
      </w:r>
      <w:r w:rsidR="00A94181" w:rsidRPr="00C01462">
        <w:t>Moreover, these cities are understudied compared to the larger urban centers:</w:t>
      </w:r>
      <w:r w:rsidR="00366013" w:rsidRPr="00C01462">
        <w:t xml:space="preserve"> </w:t>
      </w:r>
      <w:r w:rsidR="00994AE4" w:rsidRPr="00C01462">
        <w:t xml:space="preserve">of </w:t>
      </w:r>
      <w:r w:rsidR="00366013" w:rsidRPr="00C01462">
        <w:t xml:space="preserve">17 studies of </w:t>
      </w:r>
      <w:r w:rsidR="00C5151E" w:rsidRPr="00C01462">
        <w:t xml:space="preserve">urban methane emissions </w:t>
      </w:r>
      <w:r w:rsidR="003D3E63" w:rsidRPr="00C01462">
        <w:t xml:space="preserve">published </w:t>
      </w:r>
      <w:r w:rsidR="00C5151E" w:rsidRPr="00C01462">
        <w:t>since 2015, o</w:t>
      </w:r>
      <w:r w:rsidR="003D3E63" w:rsidRPr="00C01462">
        <w:t xml:space="preserve">nly three considered emissions from cities outside of coastal metropolitan centers. </w:t>
      </w:r>
      <w:r w:rsidR="00F43966" w:rsidRPr="00C01462">
        <w:t>These</w:t>
      </w:r>
      <w:r w:rsidR="003D3E63" w:rsidRPr="00C01462">
        <w:t xml:space="preserve"> </w:t>
      </w:r>
      <w:r w:rsidR="00F43966" w:rsidRPr="00C01462">
        <w:t>three studies quantified</w:t>
      </w:r>
      <w:r w:rsidR="003D3E63" w:rsidRPr="00C01462">
        <w:t xml:space="preserve"> emissions from two cities: Kansas City (Plant et al., 2022) and Indianapolis (Lamb et al., 2016 and Jones et al., 2021).</w:t>
      </w:r>
    </w:p>
    <w:p w14:paraId="063CD5EC" w14:textId="66E780AB" w:rsidR="00B50D7D" w:rsidRPr="00C01462" w:rsidRDefault="00B50D7D"/>
    <w:p w14:paraId="3C6343B9" w14:textId="16AD1E42" w:rsidR="003B127B" w:rsidRPr="00C01462" w:rsidRDefault="00B50D7D" w:rsidP="00D2531D">
      <w:r w:rsidRPr="00C01462">
        <w:t xml:space="preserve">We compare our posterior emissions </w:t>
      </w:r>
      <w:r w:rsidR="00994AE4" w:rsidRPr="00C01462">
        <w:t>to</w:t>
      </w:r>
      <w:r w:rsidRPr="00C01462">
        <w:t xml:space="preserve"> previous studies.</w:t>
      </w:r>
      <w:r w:rsidR="00994AE4" w:rsidRPr="00C01462">
        <w:t xml:space="preserve"> </w:t>
      </w:r>
      <w:r w:rsidR="00CC07A0" w:rsidRPr="00C01462">
        <w:t>While urban methane emissions tend to be relatively stable over time (</w:t>
      </w:r>
      <w:r w:rsidR="000C5B1A" w:rsidRPr="00C01462">
        <w:t>e.g., Fairley and Fischer 2015; Sargent et al., 2021</w:t>
      </w:r>
      <w:r w:rsidR="00CC07A0" w:rsidRPr="00C01462">
        <w:t>)</w:t>
      </w:r>
      <w:r w:rsidR="000C5B1A" w:rsidRPr="00C01462">
        <w:t>, we limit ourselves to studies published since 2015 to minimize the effect of population and infrastructure changes on the comparison.</w:t>
      </w:r>
      <w:r w:rsidR="00E2508A" w:rsidRPr="00C01462">
        <w:t xml:space="preserve"> </w:t>
      </w:r>
      <w:r w:rsidR="00487BDE" w:rsidRPr="00C01462">
        <w:t>Across the 17 studies surveyed,</w:t>
      </w:r>
      <w:r w:rsidR="000C5B1A" w:rsidRPr="00C01462">
        <w:t xml:space="preserve"> we find smaller emissions</w:t>
      </w:r>
      <w:r w:rsidR="00487BDE" w:rsidRPr="00C01462">
        <w:t xml:space="preserve"> on average</w:t>
      </w:r>
      <w:r w:rsidR="00DA7212" w:rsidRPr="00C01462">
        <w:t xml:space="preserve">, suggesting that </w:t>
      </w:r>
      <w:r w:rsidR="00DA7212" w:rsidRPr="00C01462">
        <w:t xml:space="preserve">our estimate of city methane emissions </w:t>
      </w:r>
      <w:r w:rsidR="00DA7212" w:rsidRPr="00C01462">
        <w:t>may be</w:t>
      </w:r>
      <w:r w:rsidR="00DA7212" w:rsidRPr="00C01462">
        <w:t xml:space="preserve"> conservative.</w:t>
      </w:r>
      <w:r w:rsidR="00DA7212" w:rsidRPr="00C01462">
        <w:t xml:space="preserve"> </w:t>
      </w:r>
      <w:r w:rsidR="00E2508A" w:rsidRPr="00C01462">
        <w:t xml:space="preserve">Some of </w:t>
      </w:r>
      <w:r w:rsidR="00E2508A" w:rsidRPr="00C01462">
        <w:lastRenderedPageBreak/>
        <w:t xml:space="preserve">the underestimate may be </w:t>
      </w:r>
      <w:r w:rsidR="009350E5" w:rsidRPr="00C01462">
        <w:t>result from</w:t>
      </w:r>
      <w:r w:rsidR="00E2508A" w:rsidRPr="00C01462">
        <w:t xml:space="preserve"> the specification of urban </w:t>
      </w:r>
      <w:r w:rsidR="009350E5" w:rsidRPr="00C01462">
        <w:t>extent</w:t>
      </w:r>
      <w:r w:rsidR="00E2508A" w:rsidRPr="00C01462">
        <w:t xml:space="preserve">; our restrictive definition may </w:t>
      </w:r>
      <w:r w:rsidR="00594675" w:rsidRPr="00C01462">
        <w:t xml:space="preserve">generate </w:t>
      </w:r>
      <w:r w:rsidR="00E2508A" w:rsidRPr="00C01462">
        <w:t xml:space="preserve">smaller total urban </w:t>
      </w:r>
      <w:commentRangeStart w:id="16"/>
      <w:r w:rsidR="00E2508A" w:rsidRPr="00C01462">
        <w:t>emissions</w:t>
      </w:r>
      <w:commentRangeEnd w:id="16"/>
      <w:r w:rsidR="00DA7212" w:rsidRPr="00C01462">
        <w:rPr>
          <w:rStyle w:val="CommentReference"/>
        </w:rPr>
        <w:commentReference w:id="16"/>
      </w:r>
      <w:r w:rsidR="00E2508A" w:rsidRPr="00C01462">
        <w:t xml:space="preserve">. </w:t>
      </w:r>
      <w:r w:rsidR="00594675" w:rsidRPr="00C01462">
        <w:t xml:space="preserve">We also incur larger errors by </w:t>
      </w:r>
      <w:r w:rsidR="009350E5" w:rsidRPr="00C01462">
        <w:t xml:space="preserve">using </w:t>
      </w:r>
      <w:r w:rsidR="00594675" w:rsidRPr="00C01462">
        <w:t>satellite observations</w:t>
      </w:r>
      <w:r w:rsidR="00487BDE" w:rsidRPr="00C01462">
        <w:t xml:space="preserve"> instead of in situ and aircraft dat</w:t>
      </w:r>
      <w:r w:rsidR="009350E5" w:rsidRPr="00C01462">
        <w:t>a, which are more sensitive to the variable topography and albedo of the urban grid. Moreover, w</w:t>
      </w:r>
      <w:r w:rsidR="00D2531D" w:rsidRPr="00C01462">
        <w:t>e find the largest discrepancies over cities with complex coastlines</w:t>
      </w:r>
      <w:r w:rsidR="00D03253" w:rsidRPr="00C01462">
        <w:t>,</w:t>
      </w:r>
      <w:r w:rsidR="009350E5" w:rsidRPr="00C01462">
        <w:t xml:space="preserve"> including San Francisco</w:t>
      </w:r>
      <w:r w:rsidR="005D7D3C">
        <w:t xml:space="preserve"> </w:t>
      </w:r>
      <w:r w:rsidR="00890B4F">
        <w:t xml:space="preserve">(Fairley and Fischer, 2015; </w:t>
      </w:r>
      <w:proofErr w:type="spellStart"/>
      <w:r w:rsidR="00890B4F">
        <w:t>Jeong</w:t>
      </w:r>
      <w:proofErr w:type="spellEnd"/>
      <w:r w:rsidR="00890B4F">
        <w:t xml:space="preserve"> et al., 2016, 2016; Guha et al., 2022</w:t>
      </w:r>
      <w:r w:rsidR="005D7D3C">
        <w:t>)</w:t>
      </w:r>
      <w:r w:rsidR="009350E5" w:rsidRPr="00C01462">
        <w:t>, Washington (D.C.</w:t>
      </w:r>
      <w:r w:rsidR="00890B4F">
        <w:t xml:space="preserve">; Huang et al., 2016; </w:t>
      </w:r>
      <w:r w:rsidR="005463D2">
        <w:t xml:space="preserve">Ren et al., 2018; </w:t>
      </w:r>
      <w:r w:rsidR="00890B4F">
        <w:t>Lopez</w:t>
      </w:r>
      <w:r w:rsidR="005463D2">
        <w:t>-</w:t>
      </w:r>
      <w:proofErr w:type="spellStart"/>
      <w:r w:rsidR="005463D2">
        <w:t>Coto</w:t>
      </w:r>
      <w:proofErr w:type="spellEnd"/>
      <w:r w:rsidR="005463D2">
        <w:t xml:space="preserve"> et al., 2020; </w:t>
      </w:r>
      <w:r w:rsidR="00890B4F">
        <w:t>Plant et al., 2019</w:t>
      </w:r>
      <w:r w:rsidR="005463D2">
        <w:t xml:space="preserve">, </w:t>
      </w:r>
      <w:r w:rsidR="00890B4F">
        <w:t>2022</w:t>
      </w:r>
      <w:r w:rsidR="009350E5" w:rsidRPr="00C01462">
        <w:t>), Boston</w:t>
      </w:r>
      <w:r w:rsidR="005463D2">
        <w:t xml:space="preserve"> (Plant et al., 2019, 2022; Sargent et al., 2021)</w:t>
      </w:r>
      <w:r w:rsidR="009350E5" w:rsidRPr="00C01462">
        <w:t xml:space="preserve">, and </w:t>
      </w:r>
      <w:commentRangeStart w:id="17"/>
      <w:r w:rsidR="009350E5" w:rsidRPr="00C01462">
        <w:t>Baltimore</w:t>
      </w:r>
      <w:commentRangeEnd w:id="17"/>
      <w:r w:rsidR="009350E5" w:rsidRPr="00C01462">
        <w:rPr>
          <w:rStyle w:val="CommentReference"/>
        </w:rPr>
        <w:commentReference w:id="17"/>
      </w:r>
      <w:r w:rsidR="005463D2">
        <w:t xml:space="preserve"> (</w:t>
      </w:r>
      <w:r w:rsidR="005463D2">
        <w:t>Huang et al., 2016; Ren et al., 2018; Lopez-</w:t>
      </w:r>
      <w:proofErr w:type="spellStart"/>
      <w:r w:rsidR="005463D2">
        <w:t>Coto</w:t>
      </w:r>
      <w:proofErr w:type="spellEnd"/>
      <w:r w:rsidR="005463D2">
        <w:t xml:space="preserve"> et al., 2020; Plant et al., 2019, 2022</w:t>
      </w:r>
      <w:r w:rsidR="005463D2" w:rsidRPr="00C01462">
        <w:t>)</w:t>
      </w:r>
      <w:r w:rsidR="009350E5" w:rsidRPr="00C01462">
        <w:t xml:space="preserve">, suggesting that TROPOMI may have a coastal bias. </w:t>
      </w:r>
      <w:r w:rsidR="001D05E3" w:rsidRPr="00C01462">
        <w:t xml:space="preserve">We find smaller discrepancies over Philadelphia and Atlanta, where Plant et al. (2022) finds mean emissions that are larger than but still </w:t>
      </w:r>
      <w:commentRangeStart w:id="18"/>
      <w:r w:rsidR="001D05E3" w:rsidRPr="00C01462">
        <w:t xml:space="preserve">consistent </w:t>
      </w:r>
      <w:commentRangeEnd w:id="18"/>
      <w:r w:rsidR="00487BDE" w:rsidRPr="00C01462">
        <w:rPr>
          <w:rStyle w:val="CommentReference"/>
        </w:rPr>
        <w:commentReference w:id="18"/>
      </w:r>
      <w:r w:rsidR="001D05E3" w:rsidRPr="00C01462">
        <w:t xml:space="preserve">with our posterior using TROPOMI </w:t>
      </w:r>
      <w:proofErr w:type="gramStart"/>
      <w:r w:rsidR="001D05E3" w:rsidRPr="00C01462">
        <w:t>methane :</w:t>
      </w:r>
      <w:proofErr w:type="gramEnd"/>
      <w:r w:rsidR="001D05E3" w:rsidRPr="00C01462">
        <w:t xml:space="preserve"> carbon monoxide ratios and carbon monoxide inventories. </w:t>
      </w:r>
      <w:r w:rsidR="00487BDE" w:rsidRPr="00C01462">
        <w:t>We</w:t>
      </w:r>
      <w:r w:rsidR="00487BDE" w:rsidRPr="00C01462">
        <w:t xml:space="preserve"> find consistent results with all surveyed studies</w:t>
      </w:r>
      <w:r w:rsidR="00487BDE" w:rsidRPr="00C01462">
        <w:t xml:space="preserve"> i</w:t>
      </w:r>
      <w:r w:rsidR="001D05E3" w:rsidRPr="00C01462">
        <w:t xml:space="preserve">n New York </w:t>
      </w:r>
      <w:commentRangeStart w:id="19"/>
      <w:r w:rsidR="001D05E3" w:rsidRPr="00C01462">
        <w:t xml:space="preserve">City </w:t>
      </w:r>
      <w:commentRangeEnd w:id="19"/>
      <w:r w:rsidR="009350E5" w:rsidRPr="00C01462">
        <w:rPr>
          <w:rStyle w:val="CommentReference"/>
        </w:rPr>
        <w:commentReference w:id="19"/>
      </w:r>
      <w:r w:rsidR="001D05E3" w:rsidRPr="00C01462">
        <w:t xml:space="preserve">and </w:t>
      </w:r>
      <w:r w:rsidR="00487BDE" w:rsidRPr="00C01462">
        <w:t>Indianapolis (</w:t>
      </w:r>
      <w:r w:rsidR="00487BDE" w:rsidRPr="00C01462">
        <w:t>Plant et al., 2019</w:t>
      </w:r>
      <w:r w:rsidR="00E73639">
        <w:t xml:space="preserve">, </w:t>
      </w:r>
      <w:r w:rsidR="00487BDE" w:rsidRPr="00C01462">
        <w:t>2022</w:t>
      </w:r>
      <w:r w:rsidR="00487BDE" w:rsidRPr="00C01462">
        <w:t>; Pitt et al., 2022; Lamb et al., 2016; Jones et al., 2021)</w:t>
      </w:r>
      <w:commentRangeStart w:id="20"/>
      <w:r w:rsidR="00487BDE" w:rsidRPr="00C01462">
        <w:t>.</w:t>
      </w:r>
      <w:commentRangeEnd w:id="20"/>
      <w:r w:rsidR="00487BDE" w:rsidRPr="00C01462">
        <w:rPr>
          <w:rStyle w:val="CommentReference"/>
        </w:rPr>
        <w:commentReference w:id="20"/>
      </w:r>
      <w:r w:rsidR="00A75D32" w:rsidRPr="00C01462">
        <w:t xml:space="preserve"> </w:t>
      </w:r>
    </w:p>
    <w:p w14:paraId="216DF9ED" w14:textId="77777777" w:rsidR="00A75D32" w:rsidRPr="00C01462" w:rsidRDefault="00A75D32" w:rsidP="00D2531D"/>
    <w:p w14:paraId="2ABD45CC" w14:textId="00F51870" w:rsidR="003B127B" w:rsidRPr="00C01462" w:rsidRDefault="00A75D32" w:rsidP="00D2531D">
      <w:r w:rsidRPr="00C01462">
        <w:t xml:space="preserve">We also compare our posterior emissions to methane estimates from city greenhouse gas inventories. Of the 12 largest cities by posterior emissions or by 2010 population, we find that only New York City and Philadelphia </w:t>
      </w:r>
      <w:r w:rsidR="00DA7212" w:rsidRPr="00C01462">
        <w:t xml:space="preserve">estimate </w:t>
      </w:r>
      <w:r w:rsidRPr="00C01462">
        <w:t xml:space="preserve">methane estimate. In both cases, </w:t>
      </w:r>
      <w:r w:rsidR="00DA7212" w:rsidRPr="00C01462">
        <w:t>the inventory value is lower than both our prior and our posterior results</w:t>
      </w:r>
      <w:r w:rsidR="00AB3C41" w:rsidRPr="00C01462">
        <w:t>. Indeed, the inferred increase in methane emissions in both cities results in posterior emissions more than twice as large as the inventory value.</w:t>
      </w:r>
    </w:p>
    <w:p w14:paraId="7838DF83" w14:textId="77777777" w:rsidR="00EE137E" w:rsidRPr="00C01462" w:rsidRDefault="00EE137E"/>
    <w:p w14:paraId="634901B0" w14:textId="4C59EB08" w:rsidR="00EB3DE1" w:rsidRPr="00C01462" w:rsidRDefault="00B02373">
      <w:r w:rsidRPr="00C01462">
        <w:rPr>
          <w:b/>
          <w:bCs/>
        </w:rPr>
        <w:t>3.</w:t>
      </w:r>
      <w:r w:rsidR="00864D68" w:rsidRPr="00C01462">
        <w:rPr>
          <w:b/>
          <w:bCs/>
        </w:rPr>
        <w:t>4</w:t>
      </w:r>
      <w:r w:rsidRPr="00C01462">
        <w:rPr>
          <w:b/>
          <w:bCs/>
        </w:rPr>
        <w:t xml:space="preserve"> Livestock emissions</w:t>
      </w:r>
    </w:p>
    <w:p w14:paraId="547ED0F1" w14:textId="375B678A" w:rsidR="00ED5363" w:rsidRPr="00C01462" w:rsidRDefault="00AD2391">
      <w:pPr>
        <w:rPr>
          <w:color w:val="FF0000"/>
        </w:rPr>
      </w:pPr>
      <w:r w:rsidRPr="00C01462">
        <w:rPr>
          <w:color w:val="FF0000"/>
        </w:rPr>
        <w:t>[Insert work on identifying the cause of the livestock increase.]</w:t>
      </w:r>
    </w:p>
    <w:p w14:paraId="430DD6D6" w14:textId="77777777" w:rsidR="005A6CB7" w:rsidRPr="00C01462" w:rsidRDefault="005A6CB7"/>
    <w:p w14:paraId="0180047E" w14:textId="033FAF1D" w:rsidR="00B44582" w:rsidRPr="00C01462" w:rsidRDefault="00B44582">
      <w:pPr>
        <w:rPr>
          <w:b/>
          <w:bCs/>
        </w:rPr>
      </w:pPr>
      <w:r w:rsidRPr="00C01462">
        <w:rPr>
          <w:b/>
          <w:bCs/>
        </w:rPr>
        <w:t>4 Conclusions</w:t>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2-10T12:21:00Z" w:initials="HN">
    <w:p w14:paraId="17CDF281" w14:textId="77777777" w:rsidR="007B190B" w:rsidRDefault="007B190B" w:rsidP="00535B3A">
      <w:r>
        <w:rPr>
          <w:rStyle w:val="CommentReference"/>
        </w:rPr>
        <w:annotationRef/>
      </w:r>
      <w:r>
        <w:rPr>
          <w:sz w:val="20"/>
          <w:szCs w:val="20"/>
        </w:rPr>
        <w:t>I wasn’t sure how to handle the changing affiliations over the course of this project.</w:t>
      </w:r>
    </w:p>
  </w:comment>
  <w:comment w:id="1" w:author="Hannah Nesser" w:date="2022-12-10T12:11:00Z" w:initials="HN">
    <w:p w14:paraId="09F3F687" w14:textId="2492C9AF" w:rsidR="0043500C" w:rsidRDefault="0043500C" w:rsidP="0039547F">
      <w:r>
        <w:rPr>
          <w:rStyle w:val="CommentReference"/>
        </w:rPr>
        <w:annotationRef/>
      </w:r>
      <w:r>
        <w:rPr>
          <w:sz w:val="20"/>
          <w:szCs w:val="20"/>
        </w:rPr>
        <w:t>Edit once results are achieved.</w:t>
      </w:r>
    </w:p>
  </w:comment>
  <w:comment w:id="2" w:author="Hannah Nesser" w:date="2022-12-09T21:44:00Z" w:initials="HN">
    <w:p w14:paraId="5049C020" w14:textId="775F3932" w:rsidR="009B17D8" w:rsidRDefault="009B17D8" w:rsidP="00DB4E31">
      <w:r>
        <w:rPr>
          <w:rStyle w:val="CommentReference"/>
        </w:rPr>
        <w:annotationRef/>
      </w:r>
      <w:r>
        <w:rPr>
          <w:sz w:val="20"/>
          <w:szCs w:val="20"/>
        </w:rPr>
        <w:t>I’m sure I’m missing papers, and will do a more thorough search after I get the first draft to you. But I’m open to suggestions, too!</w:t>
      </w:r>
    </w:p>
  </w:comment>
  <w:comment w:id="3" w:author="Hannah Nesser" w:date="2022-08-01T15:31:00Z" w:initials="HN">
    <w:p w14:paraId="2D4C0CE3" w14:textId="31F8EA11" w:rsidR="00FB7ECB" w:rsidRDefault="00FB7ECB" w:rsidP="00D93715">
      <w:r>
        <w:rPr>
          <w:rStyle w:val="CommentReference"/>
        </w:rPr>
        <w:annotationRef/>
      </w:r>
      <w:r>
        <w:rPr>
          <w:sz w:val="20"/>
          <w:szCs w:val="20"/>
        </w:rPr>
        <w:t>Calculate</w:t>
      </w:r>
    </w:p>
  </w:comment>
  <w:comment w:id="4" w:author="Hannah Nesser" w:date="2022-08-03T18:44:00Z" w:initials="HN">
    <w:p w14:paraId="0072A257" w14:textId="77777777" w:rsidR="00190FA3" w:rsidRDefault="00190FA3" w:rsidP="00190FA3">
      <w:r>
        <w:rPr>
          <w:rStyle w:val="CommentReference"/>
        </w:rPr>
        <w:annotationRef/>
      </w:r>
      <w:r>
        <w:rPr>
          <w:sz w:val="20"/>
          <w:szCs w:val="20"/>
        </w:rPr>
        <w:t>DJF</w:t>
      </w:r>
    </w:p>
    <w:p w14:paraId="48CA883F" w14:textId="77777777" w:rsidR="00190FA3" w:rsidRDefault="00190FA3" w:rsidP="00190FA3">
      <w:r>
        <w:rPr>
          <w:sz w:val="20"/>
          <w:szCs w:val="20"/>
        </w:rPr>
        <w:t xml:space="preserve">  R2            : 0.30</w:t>
      </w:r>
    </w:p>
    <w:p w14:paraId="1CD9ABE9" w14:textId="77777777" w:rsidR="00190FA3" w:rsidRDefault="00190FA3" w:rsidP="00190FA3">
      <w:r>
        <w:rPr>
          <w:sz w:val="20"/>
          <w:szCs w:val="20"/>
        </w:rPr>
        <w:t xml:space="preserve">  bias          : -11.73</w:t>
      </w:r>
    </w:p>
    <w:p w14:paraId="65A4D279" w14:textId="77777777" w:rsidR="00190FA3" w:rsidRDefault="00190FA3" w:rsidP="00190FA3">
      <w:r>
        <w:rPr>
          <w:sz w:val="20"/>
          <w:szCs w:val="20"/>
        </w:rPr>
        <w:t xml:space="preserve">  std           : 16.29</w:t>
      </w:r>
    </w:p>
    <w:p w14:paraId="7F2B5B12" w14:textId="77777777" w:rsidR="00190FA3" w:rsidRDefault="00190FA3" w:rsidP="00190FA3">
      <w:r>
        <w:rPr>
          <w:sz w:val="20"/>
          <w:szCs w:val="20"/>
        </w:rPr>
        <w:t xml:space="preserve">  regional bias : 16.30</w:t>
      </w:r>
    </w:p>
    <w:p w14:paraId="3D51D00E" w14:textId="77777777" w:rsidR="00190FA3" w:rsidRDefault="00190FA3" w:rsidP="00190FA3">
      <w:r>
        <w:rPr>
          <w:sz w:val="20"/>
          <w:szCs w:val="20"/>
        </w:rPr>
        <w:t>JJA</w:t>
      </w:r>
    </w:p>
    <w:p w14:paraId="06A76F26" w14:textId="77777777" w:rsidR="00190FA3" w:rsidRDefault="00190FA3" w:rsidP="00190FA3">
      <w:r>
        <w:rPr>
          <w:sz w:val="20"/>
          <w:szCs w:val="20"/>
        </w:rPr>
        <w:t xml:space="preserve">  R2            : 0.44</w:t>
      </w:r>
    </w:p>
    <w:p w14:paraId="605FB1E9" w14:textId="77777777" w:rsidR="00190FA3" w:rsidRDefault="00190FA3" w:rsidP="00190FA3">
      <w:r>
        <w:rPr>
          <w:sz w:val="20"/>
          <w:szCs w:val="20"/>
        </w:rPr>
        <w:t xml:space="preserve">  bias          : -4.99</w:t>
      </w:r>
    </w:p>
    <w:p w14:paraId="52391ED2" w14:textId="77777777" w:rsidR="00190FA3" w:rsidRDefault="00190FA3" w:rsidP="00190FA3">
      <w:r>
        <w:rPr>
          <w:sz w:val="20"/>
          <w:szCs w:val="20"/>
        </w:rPr>
        <w:t xml:space="preserve">  std           : 13.88</w:t>
      </w:r>
    </w:p>
    <w:p w14:paraId="74603CB2" w14:textId="77777777" w:rsidR="00190FA3" w:rsidRDefault="00190FA3" w:rsidP="00190FA3">
      <w:r>
        <w:rPr>
          <w:sz w:val="20"/>
          <w:szCs w:val="20"/>
        </w:rPr>
        <w:t xml:space="preserve">  regional bias : 13.88</w:t>
      </w:r>
    </w:p>
    <w:p w14:paraId="2B0573C6" w14:textId="77777777" w:rsidR="00190FA3" w:rsidRDefault="00190FA3" w:rsidP="00190FA3">
      <w:r>
        <w:rPr>
          <w:sz w:val="20"/>
          <w:szCs w:val="20"/>
        </w:rPr>
        <w:t>MAM</w:t>
      </w:r>
    </w:p>
    <w:p w14:paraId="0B373731" w14:textId="77777777" w:rsidR="00190FA3" w:rsidRDefault="00190FA3" w:rsidP="00190FA3">
      <w:r>
        <w:rPr>
          <w:sz w:val="20"/>
          <w:szCs w:val="20"/>
        </w:rPr>
        <w:t xml:space="preserve">  R2            : 0.49</w:t>
      </w:r>
    </w:p>
    <w:p w14:paraId="604D187C" w14:textId="77777777" w:rsidR="00190FA3" w:rsidRDefault="00190FA3" w:rsidP="00190FA3">
      <w:r>
        <w:rPr>
          <w:sz w:val="20"/>
          <w:szCs w:val="20"/>
        </w:rPr>
        <w:t xml:space="preserve">  bias          : -13.21</w:t>
      </w:r>
    </w:p>
    <w:p w14:paraId="08B1240B" w14:textId="77777777" w:rsidR="00190FA3" w:rsidRDefault="00190FA3" w:rsidP="00190FA3">
      <w:r>
        <w:rPr>
          <w:sz w:val="20"/>
          <w:szCs w:val="20"/>
        </w:rPr>
        <w:t xml:space="preserve">  std           : 13.31</w:t>
      </w:r>
    </w:p>
    <w:p w14:paraId="0EC0690E" w14:textId="77777777" w:rsidR="00190FA3" w:rsidRDefault="00190FA3" w:rsidP="00190FA3">
      <w:r>
        <w:rPr>
          <w:sz w:val="20"/>
          <w:szCs w:val="20"/>
        </w:rPr>
        <w:t xml:space="preserve">  regional bias : 13.32</w:t>
      </w:r>
    </w:p>
    <w:p w14:paraId="068AF443" w14:textId="77777777" w:rsidR="00190FA3" w:rsidRDefault="00190FA3" w:rsidP="00190FA3">
      <w:r>
        <w:rPr>
          <w:sz w:val="20"/>
          <w:szCs w:val="20"/>
        </w:rPr>
        <w:t>SON</w:t>
      </w:r>
    </w:p>
    <w:p w14:paraId="1BC96E55" w14:textId="77777777" w:rsidR="00190FA3" w:rsidRDefault="00190FA3" w:rsidP="00190FA3">
      <w:r>
        <w:rPr>
          <w:sz w:val="20"/>
          <w:szCs w:val="20"/>
        </w:rPr>
        <w:t xml:space="preserve">  R2            : 0.44</w:t>
      </w:r>
    </w:p>
    <w:p w14:paraId="199A6B01" w14:textId="77777777" w:rsidR="00190FA3" w:rsidRDefault="00190FA3" w:rsidP="00190FA3">
      <w:r>
        <w:rPr>
          <w:sz w:val="20"/>
          <w:szCs w:val="20"/>
        </w:rPr>
        <w:t xml:space="preserve">  bias          : -9.05</w:t>
      </w:r>
    </w:p>
    <w:p w14:paraId="5407BAB6" w14:textId="77777777" w:rsidR="00190FA3" w:rsidRDefault="00190FA3" w:rsidP="00190FA3">
      <w:r>
        <w:rPr>
          <w:sz w:val="20"/>
          <w:szCs w:val="20"/>
        </w:rPr>
        <w:t xml:space="preserve">  std           : 14.84</w:t>
      </w:r>
    </w:p>
    <w:p w14:paraId="4792BE8B" w14:textId="77777777" w:rsidR="00190FA3" w:rsidRDefault="00190FA3" w:rsidP="00190FA3">
      <w:r>
        <w:rPr>
          <w:sz w:val="20"/>
          <w:szCs w:val="20"/>
        </w:rPr>
        <w:t xml:space="preserve">  regional bias : 14.84</w:t>
      </w:r>
    </w:p>
  </w:comment>
  <w:comment w:id="5" w:author="Hannah Nesser" w:date="2022-11-30T13:56:00Z" w:initials="HN">
    <w:p w14:paraId="75935935" w14:textId="77777777" w:rsidR="00AE2CBF" w:rsidRDefault="00AE2CBF" w:rsidP="003E5EB9">
      <w:r>
        <w:rPr>
          <w:rStyle w:val="CommentReference"/>
        </w:rPr>
        <w:annotationRef/>
      </w:r>
      <w:r>
        <w:rPr>
          <w:sz w:val="20"/>
          <w:szCs w:val="20"/>
        </w:rPr>
        <w:t>Can we say something more generally about how EPA is overestimating the decline in methane emissions?</w:t>
      </w:r>
    </w:p>
  </w:comment>
  <w:comment w:id="6" w:author="Hannah Nesser" w:date="2022-11-30T13:57:00Z" w:initials="HN">
    <w:p w14:paraId="2AD37CC3" w14:textId="77777777" w:rsidR="00AE2CBF" w:rsidRDefault="00AE2CBF" w:rsidP="00364163">
      <w:r>
        <w:rPr>
          <w:rStyle w:val="CommentReference"/>
        </w:rPr>
        <w:annotationRef/>
      </w:r>
      <w:r>
        <w:rPr>
          <w:sz w:val="20"/>
          <w:szCs w:val="20"/>
        </w:rPr>
        <w:t xml:space="preserve">This seems to hold for everything but livestock and coal. </w:t>
      </w:r>
    </w:p>
  </w:comment>
  <w:comment w:id="7" w:author="Hannah Nesser" w:date="2022-11-29T18:26:00Z" w:initials="HN">
    <w:p w14:paraId="304D03E7" w14:textId="4BCC930A" w:rsidR="008B08D6" w:rsidRDefault="008B08D6" w:rsidP="009965E4">
      <w:r>
        <w:rPr>
          <w:rStyle w:val="CommentReference"/>
        </w:rPr>
        <w:annotationRef/>
      </w:r>
      <w:r>
        <w:rPr>
          <w:sz w:val="20"/>
          <w:szCs w:val="20"/>
        </w:rPr>
        <w:t>Though this could also result from the smaller ensemble? Though the larger spread in Xiao’s work may also result from the lack of quality control in his ensemble.</w:t>
      </w:r>
    </w:p>
  </w:comment>
  <w:comment w:id="8" w:author="Hannah Nesser" w:date="2022-12-04T14:56:00Z" w:initials="HN">
    <w:p w14:paraId="09CF9934" w14:textId="77777777" w:rsidR="009F4847" w:rsidRDefault="009F4847" w:rsidP="00C75B5F">
      <w:r>
        <w:rPr>
          <w:rStyle w:val="CommentReference"/>
        </w:rPr>
        <w:annotationRef/>
      </w:r>
      <w:r>
        <w:rPr>
          <w:sz w:val="20"/>
          <w:szCs w:val="20"/>
        </w:rPr>
        <w:t>Throughout this section, I avoid using statistics and stick with the mean values. I’m not sure if this is the right move or not—it made sense since I was talking about individual states and I limited the discussion to states with avker sensitivities greater than 0.5.</w:t>
      </w:r>
    </w:p>
  </w:comment>
  <w:comment w:id="9" w:author="Hannah Nesser" w:date="2022-12-04T13:50:00Z" w:initials="HN">
    <w:p w14:paraId="1A2C0AB4" w14:textId="345C6A4E" w:rsidR="009217A3" w:rsidRDefault="009217A3" w:rsidP="00257224">
      <w:r>
        <w:rPr>
          <w:rStyle w:val="CommentReference"/>
        </w:rPr>
        <w:annotationRef/>
      </w:r>
      <w:r>
        <w:rPr>
          <w:sz w:val="20"/>
          <w:szCs w:val="20"/>
        </w:rPr>
        <w:t>This is 54% of positive corrections, not 54% of the net. Wasn’t sure how else to do this...</w:t>
      </w:r>
    </w:p>
  </w:comment>
  <w:comment w:id="10" w:author="Hannah Nesser" w:date="2022-12-03T15:43:00Z" w:initials="HN">
    <w:p w14:paraId="644391EB" w14:textId="5A5C8F8C" w:rsidR="004905D2" w:rsidRDefault="004905D2" w:rsidP="00E72DAF">
      <w:r>
        <w:rPr>
          <w:rStyle w:val="CommentReference"/>
        </w:rPr>
        <w:annotationRef/>
      </w:r>
      <w:r>
        <w:rPr>
          <w:sz w:val="20"/>
          <w:szCs w:val="20"/>
        </w:rPr>
        <w:t>Double check this number.</w:t>
      </w:r>
    </w:p>
  </w:comment>
  <w:comment w:id="11" w:author="Hannah Nesser" w:date="2022-12-05T11:13:00Z" w:initials="HN">
    <w:p w14:paraId="7BF81317" w14:textId="77777777" w:rsidR="0004598D" w:rsidRDefault="0004598D" w:rsidP="005F4B4A">
      <w:r>
        <w:rPr>
          <w:rStyle w:val="CommentReference"/>
        </w:rPr>
        <w:annotationRef/>
      </w:r>
      <w:r>
        <w:rPr>
          <w:sz w:val="20"/>
          <w:szCs w:val="20"/>
        </w:rPr>
        <w:t>I only went through state inventories linked by EPA. I should probably do a google for the other ~26 states.</w:t>
      </w:r>
    </w:p>
  </w:comment>
  <w:comment w:id="12" w:author="Hannah Nesser" w:date="2022-12-03T18:41:00Z" w:initials="HN">
    <w:p w14:paraId="402F59A5" w14:textId="6D3C669F" w:rsidR="00D92AD1" w:rsidRDefault="00D92AD1" w:rsidP="00A54B00">
      <w:r>
        <w:rPr>
          <w:rStyle w:val="CommentReference"/>
        </w:rPr>
        <w:annotationRef/>
      </w:r>
      <w:r>
        <w:rPr>
          <w:sz w:val="20"/>
          <w:szCs w:val="20"/>
        </w:rPr>
        <w:t>Double check if we can separate out sectors.</w:t>
      </w:r>
    </w:p>
  </w:comment>
  <w:comment w:id="13" w:author="Hannah Nesser" w:date="2022-12-05T13:55:00Z" w:initials="HN">
    <w:p w14:paraId="5A38F053" w14:textId="77777777" w:rsidR="003E50EA" w:rsidRDefault="003E50EA" w:rsidP="00155885">
      <w:r>
        <w:rPr>
          <w:rStyle w:val="CommentReference"/>
        </w:rPr>
        <w:annotationRef/>
      </w:r>
      <w:r>
        <w:rPr>
          <w:sz w:val="20"/>
          <w:szCs w:val="20"/>
        </w:rPr>
        <w:t>Compare to Jeong et al. (2016) https://agupubs.onlinelibrary.wiley.com/doi/pdfdirect/10.1002/2016JD025404</w:t>
      </w:r>
    </w:p>
  </w:comment>
  <w:comment w:id="14" w:author="Hannah Nesser" w:date="2022-12-07T16:40:00Z" w:initials="HN">
    <w:p w14:paraId="28436BEA" w14:textId="77777777" w:rsidR="00A52B95" w:rsidRDefault="00A52B95" w:rsidP="006F48C9">
      <w:r>
        <w:rPr>
          <w:rStyle w:val="CommentReference"/>
        </w:rPr>
        <w:annotationRef/>
      </w:r>
      <w:r>
        <w:rPr>
          <w:sz w:val="20"/>
          <w:szCs w:val="20"/>
        </w:rPr>
        <w:t>If we wanted, we could say that we tested the sensitivity of this result to the specification of city boundary by using metropolitan statistical areas, and found that the significant increase is robust.</w:t>
      </w:r>
    </w:p>
  </w:comment>
  <w:comment w:id="15" w:author="Hannah Nesser" w:date="2022-12-07T17:31:00Z" w:initials="HN">
    <w:p w14:paraId="784D5A6D" w14:textId="77777777" w:rsidR="00A74664" w:rsidRDefault="00A74664" w:rsidP="00DC2F89">
      <w:r>
        <w:rPr>
          <w:rStyle w:val="CommentReference"/>
        </w:rPr>
        <w:annotationRef/>
      </w:r>
      <w:r>
        <w:rPr>
          <w:sz w:val="20"/>
          <w:szCs w:val="20"/>
        </w:rPr>
        <w:t>Terrible phrasing, but I’m not sure how to say that it’s a mean of means (since we’re using an ensemble)</w:t>
      </w:r>
    </w:p>
  </w:comment>
  <w:comment w:id="16" w:author="Hannah Nesser" w:date="2022-12-09T19:56:00Z" w:initials="HN">
    <w:p w14:paraId="493CE3C4" w14:textId="77777777" w:rsidR="00DA7212" w:rsidRDefault="00DA7212" w:rsidP="008559F5">
      <w:r>
        <w:rPr>
          <w:rStyle w:val="CommentReference"/>
        </w:rPr>
        <w:annotationRef/>
      </w:r>
      <w:r>
        <w:rPr>
          <w:sz w:val="20"/>
          <w:szCs w:val="20"/>
        </w:rPr>
        <w:t>I wonder if the W approach is limited in urban areas—if a grid cell is 50% in an urban area, aren’t most emissions from the urban area? We could easily do a sensitivity test where we assign a “1” weighting to any grid cell with an urban component.</w:t>
      </w:r>
    </w:p>
  </w:comment>
  <w:comment w:id="17" w:author="Hannah Nesser" w:date="2022-12-09T19:23:00Z" w:initials="HN">
    <w:p w14:paraId="1A788705" w14:textId="5517932B" w:rsidR="009350E5" w:rsidRDefault="009350E5" w:rsidP="00531924">
      <w:r>
        <w:rPr>
          <w:rStyle w:val="CommentReference"/>
        </w:rPr>
        <w:annotationRef/>
      </w:r>
      <w:r>
        <w:rPr>
          <w:sz w:val="20"/>
          <w:szCs w:val="20"/>
        </w:rPr>
        <w:t>San Francisco (4 study mean 13.6 times larger than our posterior mean), Washington, D.C. and Baltimore (2 study mean 9.75 and 4.67 times larger in D.C. and Baltimore, respectively, and 2 study mean 8.38 times larger in the combined metropolitan area), Boston (3 study mean 5.33 times larger than our mean), and Los Angeles (5 study mean 3.99 times larger</w:t>
      </w:r>
      <w:r>
        <w:rPr>
          <w:sz w:val="20"/>
          <w:szCs w:val="20"/>
          <w:u w:val="single"/>
        </w:rPr>
        <w:t>[HN1]</w:t>
      </w:r>
      <w:r>
        <w:rPr>
          <w:sz w:val="20"/>
          <w:szCs w:val="20"/>
        </w:rPr>
        <w:t> ).</w:t>
      </w:r>
    </w:p>
    <w:p w14:paraId="1CE09719" w14:textId="77777777" w:rsidR="009350E5" w:rsidRDefault="009350E5" w:rsidP="00531924"/>
    <w:p w14:paraId="6F114A1C" w14:textId="77777777" w:rsidR="009350E5" w:rsidRDefault="009350E5" w:rsidP="00531924">
      <w:r>
        <w:rPr>
          <w:sz w:val="20"/>
          <w:szCs w:val="20"/>
        </w:rPr>
        <w:t> </w:t>
      </w:r>
      <w:r>
        <w:rPr>
          <w:sz w:val="20"/>
          <w:szCs w:val="20"/>
          <w:u w:val="single"/>
        </w:rPr>
        <w:t>[HN1]</w:t>
      </w:r>
      <w:r>
        <w:rPr>
          <w:sz w:val="20"/>
          <w:szCs w:val="20"/>
        </w:rPr>
        <w:t>Not sure if this is worth putting into a table.</w:t>
      </w:r>
    </w:p>
    <w:p w14:paraId="42570566" w14:textId="77777777" w:rsidR="009350E5" w:rsidRDefault="009350E5" w:rsidP="00531924"/>
  </w:comment>
  <w:comment w:id="18" w:author="Hannah Nesser" w:date="2022-12-09T19:13:00Z" w:initials="HN">
    <w:p w14:paraId="0A74AD43" w14:textId="28B6FE2F" w:rsidR="00487BDE" w:rsidRDefault="00487BDE" w:rsidP="00A57A3D">
      <w:r>
        <w:rPr>
          <w:rStyle w:val="CommentReference"/>
        </w:rPr>
        <w:annotationRef/>
      </w:r>
      <w:r>
        <w:rPr>
          <w:sz w:val="20"/>
          <w:szCs w:val="20"/>
        </w:rPr>
        <w:t>Overlapping error bars</w:t>
      </w:r>
    </w:p>
  </w:comment>
  <w:comment w:id="19" w:author="Hannah Nesser" w:date="2022-12-09T19:25:00Z" w:initials="HN">
    <w:p w14:paraId="7E1CBBF1" w14:textId="77777777" w:rsidR="009350E5" w:rsidRDefault="009350E5" w:rsidP="008D59FE">
      <w:r>
        <w:rPr>
          <w:rStyle w:val="CommentReference"/>
        </w:rPr>
        <w:annotationRef/>
      </w:r>
      <w:r>
        <w:rPr>
          <w:sz w:val="20"/>
          <w:szCs w:val="20"/>
        </w:rPr>
        <w:t>I have no explanation for why NYC does not fall into the “complex coastal environment” explanation…</w:t>
      </w:r>
    </w:p>
  </w:comment>
  <w:comment w:id="20" w:author="Hannah Nesser" w:date="2022-12-09T19:14:00Z" w:initials="HN">
    <w:p w14:paraId="7DE3EA2E" w14:textId="62A9A0FF" w:rsidR="00487BDE" w:rsidRDefault="00487BDE" w:rsidP="00DC5154">
      <w:r>
        <w:rPr>
          <w:rStyle w:val="CommentReference"/>
        </w:rPr>
        <w:annotationRef/>
      </w:r>
      <w:r>
        <w:rPr>
          <w:sz w:val="20"/>
          <w:szCs w:val="20"/>
        </w:rPr>
        <w:t>I left out Kansas City because we found very small negative emissions. Happy to mention it, but it felt like it would require a sentence or two of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F281" w15:done="0"/>
  <w15:commentEx w15:paraId="09F3F687" w15:done="0"/>
  <w15:commentEx w15:paraId="5049C020" w15:done="0"/>
  <w15:commentEx w15:paraId="2D4C0CE3" w15:done="0"/>
  <w15:commentEx w15:paraId="4792BE8B" w15:done="0"/>
  <w15:commentEx w15:paraId="75935935" w15:done="0"/>
  <w15:commentEx w15:paraId="2AD37CC3" w15:paraIdParent="75935935" w15:done="0"/>
  <w15:commentEx w15:paraId="304D03E7" w15:done="0"/>
  <w15:commentEx w15:paraId="09CF9934" w15:done="0"/>
  <w15:commentEx w15:paraId="1A2C0AB4" w15:done="0"/>
  <w15:commentEx w15:paraId="644391EB" w15:done="0"/>
  <w15:commentEx w15:paraId="7BF81317" w15:done="0"/>
  <w15:commentEx w15:paraId="402F59A5" w15:done="0"/>
  <w15:commentEx w15:paraId="5A38F053" w15:done="0"/>
  <w15:commentEx w15:paraId="28436BEA" w15:done="0"/>
  <w15:commentEx w15:paraId="784D5A6D" w15:done="0"/>
  <w15:commentEx w15:paraId="493CE3C4" w15:done="0"/>
  <w15:commentEx w15:paraId="42570566" w15:done="0"/>
  <w15:commentEx w15:paraId="0A74AD43" w15:done="0"/>
  <w15:commentEx w15:paraId="7E1CBBF1" w15:done="0"/>
  <w15:commentEx w15:paraId="7DE3EA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F85F" w16cex:dateUtc="2022-12-10T17:21:00Z"/>
  <w16cex:commentExtensible w16cex:durableId="273EF5F3" w16cex:dateUtc="2022-12-10T17:11:00Z"/>
  <w16cex:commentExtensible w16cex:durableId="273E2AB3" w16cex:dateUtc="2022-12-10T02:44:00Z"/>
  <w16cex:commentExtensible w16cex:durableId="2692703D" w16cex:dateUtc="2022-08-01T19:31:00Z"/>
  <w16cex:commentExtensible w16cex:durableId="269540A6" w16cex:dateUtc="2022-08-03T22:44:00Z"/>
  <w16cex:commentExtensible w16cex:durableId="2731DF9F" w16cex:dateUtc="2022-11-30T18:56:00Z"/>
  <w16cex:commentExtensible w16cex:durableId="2731DFB3" w16cex:dateUtc="2022-11-30T18:57:00Z"/>
  <w16cex:commentExtensible w16cex:durableId="2730CD61" w16cex:dateUtc="2022-11-29T23:26:00Z"/>
  <w16cex:commentExtensible w16cex:durableId="273733A0" w16cex:dateUtc="2022-12-04T19:56:00Z"/>
  <w16cex:commentExtensible w16cex:durableId="2737240D" w16cex:dateUtc="2022-12-04T18:50:00Z"/>
  <w16cex:commentExtensible w16cex:durableId="2735ED0F" w16cex:dateUtc="2022-12-03T20:43:00Z"/>
  <w16cex:commentExtensible w16cex:durableId="273850F3" w16cex:dateUtc="2022-12-05T16:13:00Z"/>
  <w16cex:commentExtensible w16cex:durableId="273616EF" w16cex:dateUtc="2022-12-03T23:41:00Z"/>
  <w16cex:commentExtensible w16cex:durableId="273876B8" w16cex:dateUtc="2022-12-05T18:55:00Z"/>
  <w16cex:commentExtensible w16cex:durableId="273B4089" w16cex:dateUtc="2022-12-07T21:40:00Z"/>
  <w16cex:commentExtensible w16cex:durableId="273B4C57" w16cex:dateUtc="2022-12-07T22:31:00Z"/>
  <w16cex:commentExtensible w16cex:durableId="273E1184" w16cex:dateUtc="2022-12-10T00:56:00Z"/>
  <w16cex:commentExtensible w16cex:durableId="273E09BA" w16cex:dateUtc="2022-12-10T00:23:00Z"/>
  <w16cex:commentExtensible w16cex:durableId="273E0777" w16cex:dateUtc="2022-12-10T00:13:00Z"/>
  <w16cex:commentExtensible w16cex:durableId="273E0A0C" w16cex:dateUtc="2022-12-10T00:25:00Z"/>
  <w16cex:commentExtensible w16cex:durableId="273E07B0" w16cex:dateUtc="2022-12-10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F281" w16cid:durableId="273EF85F"/>
  <w16cid:commentId w16cid:paraId="09F3F687" w16cid:durableId="273EF5F3"/>
  <w16cid:commentId w16cid:paraId="5049C020" w16cid:durableId="273E2AB3"/>
  <w16cid:commentId w16cid:paraId="2D4C0CE3" w16cid:durableId="2692703D"/>
  <w16cid:commentId w16cid:paraId="4792BE8B" w16cid:durableId="269540A6"/>
  <w16cid:commentId w16cid:paraId="75935935" w16cid:durableId="2731DF9F"/>
  <w16cid:commentId w16cid:paraId="2AD37CC3" w16cid:durableId="2731DFB3"/>
  <w16cid:commentId w16cid:paraId="304D03E7" w16cid:durableId="2730CD61"/>
  <w16cid:commentId w16cid:paraId="09CF9934" w16cid:durableId="273733A0"/>
  <w16cid:commentId w16cid:paraId="1A2C0AB4" w16cid:durableId="2737240D"/>
  <w16cid:commentId w16cid:paraId="644391EB" w16cid:durableId="2735ED0F"/>
  <w16cid:commentId w16cid:paraId="7BF81317" w16cid:durableId="273850F3"/>
  <w16cid:commentId w16cid:paraId="402F59A5" w16cid:durableId="273616EF"/>
  <w16cid:commentId w16cid:paraId="5A38F053" w16cid:durableId="273876B8"/>
  <w16cid:commentId w16cid:paraId="28436BEA" w16cid:durableId="273B4089"/>
  <w16cid:commentId w16cid:paraId="784D5A6D" w16cid:durableId="273B4C57"/>
  <w16cid:commentId w16cid:paraId="493CE3C4" w16cid:durableId="273E1184"/>
  <w16cid:commentId w16cid:paraId="42570566" w16cid:durableId="273E09BA"/>
  <w16cid:commentId w16cid:paraId="0A74AD43" w16cid:durableId="273E0777"/>
  <w16cid:commentId w16cid:paraId="7E1CBBF1" w16cid:durableId="273E0A0C"/>
  <w16cid:commentId w16cid:paraId="7DE3EA2E" w16cid:durableId="273E07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621C7" w14:textId="77777777" w:rsidR="00163C98" w:rsidRDefault="00163C98" w:rsidP="00112218">
      <w:r>
        <w:separator/>
      </w:r>
    </w:p>
  </w:endnote>
  <w:endnote w:type="continuationSeparator" w:id="0">
    <w:p w14:paraId="0FBEEFBB" w14:textId="77777777" w:rsidR="00163C98" w:rsidRDefault="00163C98"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FF0A" w14:textId="77777777" w:rsidR="00163C98" w:rsidRDefault="00163C98" w:rsidP="00112218">
      <w:r>
        <w:separator/>
      </w:r>
    </w:p>
  </w:footnote>
  <w:footnote w:type="continuationSeparator" w:id="0">
    <w:p w14:paraId="314CB58B" w14:textId="77777777" w:rsidR="00163C98" w:rsidRDefault="00163C98"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BA0"/>
    <w:rsid w:val="00003595"/>
    <w:rsid w:val="000076C6"/>
    <w:rsid w:val="0001160D"/>
    <w:rsid w:val="0001535D"/>
    <w:rsid w:val="0002114F"/>
    <w:rsid w:val="00025A13"/>
    <w:rsid w:val="00034AC8"/>
    <w:rsid w:val="00036E35"/>
    <w:rsid w:val="00037EE2"/>
    <w:rsid w:val="0004598D"/>
    <w:rsid w:val="000471CC"/>
    <w:rsid w:val="00050963"/>
    <w:rsid w:val="000522DC"/>
    <w:rsid w:val="00060237"/>
    <w:rsid w:val="00064212"/>
    <w:rsid w:val="00065213"/>
    <w:rsid w:val="000663AD"/>
    <w:rsid w:val="0008317E"/>
    <w:rsid w:val="00085A48"/>
    <w:rsid w:val="0009149A"/>
    <w:rsid w:val="000948FE"/>
    <w:rsid w:val="000A497F"/>
    <w:rsid w:val="000A6465"/>
    <w:rsid w:val="000B32F7"/>
    <w:rsid w:val="000B4540"/>
    <w:rsid w:val="000B54EC"/>
    <w:rsid w:val="000C0BEA"/>
    <w:rsid w:val="000C0D2F"/>
    <w:rsid w:val="000C19F3"/>
    <w:rsid w:val="000C310B"/>
    <w:rsid w:val="000C43DF"/>
    <w:rsid w:val="000C5B1A"/>
    <w:rsid w:val="000C60C6"/>
    <w:rsid w:val="000C6DDD"/>
    <w:rsid w:val="000C7673"/>
    <w:rsid w:val="000D7E55"/>
    <w:rsid w:val="000E257D"/>
    <w:rsid w:val="000E7A42"/>
    <w:rsid w:val="000F230B"/>
    <w:rsid w:val="0010092E"/>
    <w:rsid w:val="00100E70"/>
    <w:rsid w:val="001017B3"/>
    <w:rsid w:val="00102AF3"/>
    <w:rsid w:val="00112218"/>
    <w:rsid w:val="00112BF4"/>
    <w:rsid w:val="00112E18"/>
    <w:rsid w:val="0011516C"/>
    <w:rsid w:val="00116066"/>
    <w:rsid w:val="00125BEA"/>
    <w:rsid w:val="00132DAA"/>
    <w:rsid w:val="00134F62"/>
    <w:rsid w:val="00136BC7"/>
    <w:rsid w:val="001435A8"/>
    <w:rsid w:val="0014533F"/>
    <w:rsid w:val="00146D72"/>
    <w:rsid w:val="00152FED"/>
    <w:rsid w:val="001568F5"/>
    <w:rsid w:val="00157961"/>
    <w:rsid w:val="00163C98"/>
    <w:rsid w:val="00172BE8"/>
    <w:rsid w:val="0017357A"/>
    <w:rsid w:val="00174751"/>
    <w:rsid w:val="001765E5"/>
    <w:rsid w:val="00183AA0"/>
    <w:rsid w:val="00190FA3"/>
    <w:rsid w:val="0019599B"/>
    <w:rsid w:val="00195C82"/>
    <w:rsid w:val="001A10D0"/>
    <w:rsid w:val="001A367E"/>
    <w:rsid w:val="001A4627"/>
    <w:rsid w:val="001A6F70"/>
    <w:rsid w:val="001B317B"/>
    <w:rsid w:val="001B4897"/>
    <w:rsid w:val="001B4A42"/>
    <w:rsid w:val="001B5212"/>
    <w:rsid w:val="001B6C97"/>
    <w:rsid w:val="001C41E7"/>
    <w:rsid w:val="001C61E6"/>
    <w:rsid w:val="001C76C1"/>
    <w:rsid w:val="001D040A"/>
    <w:rsid w:val="001D05E3"/>
    <w:rsid w:val="001D46FE"/>
    <w:rsid w:val="001E1154"/>
    <w:rsid w:val="001E2000"/>
    <w:rsid w:val="001E60C7"/>
    <w:rsid w:val="001E7BA6"/>
    <w:rsid w:val="001F7B45"/>
    <w:rsid w:val="00202404"/>
    <w:rsid w:val="0020458F"/>
    <w:rsid w:val="002072F5"/>
    <w:rsid w:val="00216EC7"/>
    <w:rsid w:val="0022085E"/>
    <w:rsid w:val="002231DD"/>
    <w:rsid w:val="002456E8"/>
    <w:rsid w:val="00250269"/>
    <w:rsid w:val="00257F6B"/>
    <w:rsid w:val="00260ACC"/>
    <w:rsid w:val="00262395"/>
    <w:rsid w:val="00267AB0"/>
    <w:rsid w:val="00272CC5"/>
    <w:rsid w:val="0027788C"/>
    <w:rsid w:val="0029095D"/>
    <w:rsid w:val="00295D37"/>
    <w:rsid w:val="00296165"/>
    <w:rsid w:val="002A0901"/>
    <w:rsid w:val="002A1950"/>
    <w:rsid w:val="002B69A4"/>
    <w:rsid w:val="002C00EB"/>
    <w:rsid w:val="002C068F"/>
    <w:rsid w:val="002C1748"/>
    <w:rsid w:val="002D111D"/>
    <w:rsid w:val="002D332F"/>
    <w:rsid w:val="002D3DE6"/>
    <w:rsid w:val="002E042A"/>
    <w:rsid w:val="002F0415"/>
    <w:rsid w:val="002F52AD"/>
    <w:rsid w:val="003040A8"/>
    <w:rsid w:val="003158DC"/>
    <w:rsid w:val="003166C7"/>
    <w:rsid w:val="00316DA7"/>
    <w:rsid w:val="00317652"/>
    <w:rsid w:val="0032207F"/>
    <w:rsid w:val="003243C0"/>
    <w:rsid w:val="00327D69"/>
    <w:rsid w:val="00330C31"/>
    <w:rsid w:val="00331023"/>
    <w:rsid w:val="0033785E"/>
    <w:rsid w:val="0034548D"/>
    <w:rsid w:val="00347B67"/>
    <w:rsid w:val="003567BB"/>
    <w:rsid w:val="003569D5"/>
    <w:rsid w:val="003572D4"/>
    <w:rsid w:val="00357B8D"/>
    <w:rsid w:val="00366013"/>
    <w:rsid w:val="00366780"/>
    <w:rsid w:val="00367D8C"/>
    <w:rsid w:val="00375B38"/>
    <w:rsid w:val="00381CA9"/>
    <w:rsid w:val="0038532E"/>
    <w:rsid w:val="003929AE"/>
    <w:rsid w:val="00392D91"/>
    <w:rsid w:val="003A1BC7"/>
    <w:rsid w:val="003A2E4E"/>
    <w:rsid w:val="003B127B"/>
    <w:rsid w:val="003B15AB"/>
    <w:rsid w:val="003B4F4C"/>
    <w:rsid w:val="003B59CB"/>
    <w:rsid w:val="003C174E"/>
    <w:rsid w:val="003C308E"/>
    <w:rsid w:val="003C3729"/>
    <w:rsid w:val="003C65F3"/>
    <w:rsid w:val="003D01B0"/>
    <w:rsid w:val="003D3E63"/>
    <w:rsid w:val="003D698A"/>
    <w:rsid w:val="003D7A11"/>
    <w:rsid w:val="003E097F"/>
    <w:rsid w:val="003E0D11"/>
    <w:rsid w:val="003E1CC1"/>
    <w:rsid w:val="003E50EA"/>
    <w:rsid w:val="003E5769"/>
    <w:rsid w:val="003E5FF0"/>
    <w:rsid w:val="003E6295"/>
    <w:rsid w:val="003F32EE"/>
    <w:rsid w:val="003F3553"/>
    <w:rsid w:val="003F5E73"/>
    <w:rsid w:val="0040206E"/>
    <w:rsid w:val="004021AF"/>
    <w:rsid w:val="0040254E"/>
    <w:rsid w:val="00402AF5"/>
    <w:rsid w:val="004040FD"/>
    <w:rsid w:val="00407186"/>
    <w:rsid w:val="00411C6F"/>
    <w:rsid w:val="00413DF3"/>
    <w:rsid w:val="00417E6F"/>
    <w:rsid w:val="00423707"/>
    <w:rsid w:val="004239AA"/>
    <w:rsid w:val="0042686C"/>
    <w:rsid w:val="00431303"/>
    <w:rsid w:val="00433A5F"/>
    <w:rsid w:val="00435001"/>
    <w:rsid w:val="0043500C"/>
    <w:rsid w:val="00435381"/>
    <w:rsid w:val="004438A4"/>
    <w:rsid w:val="00450C1A"/>
    <w:rsid w:val="004637D0"/>
    <w:rsid w:val="00470366"/>
    <w:rsid w:val="004724C3"/>
    <w:rsid w:val="00486CD4"/>
    <w:rsid w:val="00487BDE"/>
    <w:rsid w:val="00487C28"/>
    <w:rsid w:val="004905D2"/>
    <w:rsid w:val="00490EB9"/>
    <w:rsid w:val="004937F6"/>
    <w:rsid w:val="00493E5C"/>
    <w:rsid w:val="0049510E"/>
    <w:rsid w:val="00497616"/>
    <w:rsid w:val="004A31EF"/>
    <w:rsid w:val="004A3B90"/>
    <w:rsid w:val="004B493F"/>
    <w:rsid w:val="004C2B85"/>
    <w:rsid w:val="004C3387"/>
    <w:rsid w:val="004D3628"/>
    <w:rsid w:val="004D7FC3"/>
    <w:rsid w:val="004E3C17"/>
    <w:rsid w:val="004E6E8C"/>
    <w:rsid w:val="004F7D1B"/>
    <w:rsid w:val="00500F8B"/>
    <w:rsid w:val="00506381"/>
    <w:rsid w:val="00507010"/>
    <w:rsid w:val="00507DDF"/>
    <w:rsid w:val="0051007C"/>
    <w:rsid w:val="005131AC"/>
    <w:rsid w:val="005178BE"/>
    <w:rsid w:val="00520F1D"/>
    <w:rsid w:val="00521D0D"/>
    <w:rsid w:val="00522565"/>
    <w:rsid w:val="005230FD"/>
    <w:rsid w:val="005258BF"/>
    <w:rsid w:val="005302DB"/>
    <w:rsid w:val="00531FA8"/>
    <w:rsid w:val="00536BCE"/>
    <w:rsid w:val="00544FE5"/>
    <w:rsid w:val="00545BFE"/>
    <w:rsid w:val="005463D2"/>
    <w:rsid w:val="00546AAA"/>
    <w:rsid w:val="00554F6C"/>
    <w:rsid w:val="00565423"/>
    <w:rsid w:val="005677C3"/>
    <w:rsid w:val="00567AFF"/>
    <w:rsid w:val="0057503D"/>
    <w:rsid w:val="00577811"/>
    <w:rsid w:val="00577CF6"/>
    <w:rsid w:val="00581BE2"/>
    <w:rsid w:val="0059457F"/>
    <w:rsid w:val="00594675"/>
    <w:rsid w:val="005A1C4E"/>
    <w:rsid w:val="005A6CB7"/>
    <w:rsid w:val="005A6D62"/>
    <w:rsid w:val="005B4BA4"/>
    <w:rsid w:val="005B57BC"/>
    <w:rsid w:val="005C180E"/>
    <w:rsid w:val="005C370D"/>
    <w:rsid w:val="005C3B98"/>
    <w:rsid w:val="005C44B9"/>
    <w:rsid w:val="005C583B"/>
    <w:rsid w:val="005C76E6"/>
    <w:rsid w:val="005D1672"/>
    <w:rsid w:val="005D2126"/>
    <w:rsid w:val="005D50EC"/>
    <w:rsid w:val="005D551E"/>
    <w:rsid w:val="005D7D3C"/>
    <w:rsid w:val="005F2417"/>
    <w:rsid w:val="005F3E24"/>
    <w:rsid w:val="005F5428"/>
    <w:rsid w:val="005F5CFD"/>
    <w:rsid w:val="005F62E3"/>
    <w:rsid w:val="005F7191"/>
    <w:rsid w:val="005F72B4"/>
    <w:rsid w:val="006046B6"/>
    <w:rsid w:val="00605EA4"/>
    <w:rsid w:val="00606F50"/>
    <w:rsid w:val="006128E7"/>
    <w:rsid w:val="00614519"/>
    <w:rsid w:val="00620767"/>
    <w:rsid w:val="00623654"/>
    <w:rsid w:val="006241BE"/>
    <w:rsid w:val="00624A2C"/>
    <w:rsid w:val="006267C3"/>
    <w:rsid w:val="00626899"/>
    <w:rsid w:val="0062723A"/>
    <w:rsid w:val="00630107"/>
    <w:rsid w:val="0063163B"/>
    <w:rsid w:val="00632B26"/>
    <w:rsid w:val="00645B23"/>
    <w:rsid w:val="006464E6"/>
    <w:rsid w:val="006506BC"/>
    <w:rsid w:val="00655EC7"/>
    <w:rsid w:val="006572FD"/>
    <w:rsid w:val="00662572"/>
    <w:rsid w:val="00663B5D"/>
    <w:rsid w:val="00664282"/>
    <w:rsid w:val="00664966"/>
    <w:rsid w:val="00664A9F"/>
    <w:rsid w:val="00666585"/>
    <w:rsid w:val="00667142"/>
    <w:rsid w:val="00687833"/>
    <w:rsid w:val="0069557F"/>
    <w:rsid w:val="006958B6"/>
    <w:rsid w:val="00697043"/>
    <w:rsid w:val="006971A0"/>
    <w:rsid w:val="006A0883"/>
    <w:rsid w:val="006A6CBE"/>
    <w:rsid w:val="006B1CD2"/>
    <w:rsid w:val="006B2808"/>
    <w:rsid w:val="006B39B7"/>
    <w:rsid w:val="006B4E88"/>
    <w:rsid w:val="006C0639"/>
    <w:rsid w:val="006C3DB2"/>
    <w:rsid w:val="006C5D97"/>
    <w:rsid w:val="006D25B8"/>
    <w:rsid w:val="006D530D"/>
    <w:rsid w:val="006E07BF"/>
    <w:rsid w:val="006E6383"/>
    <w:rsid w:val="006F18BF"/>
    <w:rsid w:val="006F218A"/>
    <w:rsid w:val="006F2CD6"/>
    <w:rsid w:val="006F5AB6"/>
    <w:rsid w:val="006F661A"/>
    <w:rsid w:val="007025FC"/>
    <w:rsid w:val="00702EAE"/>
    <w:rsid w:val="007038D6"/>
    <w:rsid w:val="00704EB9"/>
    <w:rsid w:val="00705096"/>
    <w:rsid w:val="007050CC"/>
    <w:rsid w:val="00706960"/>
    <w:rsid w:val="007122CC"/>
    <w:rsid w:val="00714C03"/>
    <w:rsid w:val="00715764"/>
    <w:rsid w:val="007179B7"/>
    <w:rsid w:val="00717DF5"/>
    <w:rsid w:val="00720003"/>
    <w:rsid w:val="00722719"/>
    <w:rsid w:val="007256CA"/>
    <w:rsid w:val="00726E62"/>
    <w:rsid w:val="007328A7"/>
    <w:rsid w:val="00733119"/>
    <w:rsid w:val="007402E1"/>
    <w:rsid w:val="00740715"/>
    <w:rsid w:val="00742DA8"/>
    <w:rsid w:val="00745996"/>
    <w:rsid w:val="0074675F"/>
    <w:rsid w:val="00752D44"/>
    <w:rsid w:val="00755CE0"/>
    <w:rsid w:val="00756BB9"/>
    <w:rsid w:val="00762FD2"/>
    <w:rsid w:val="007648EC"/>
    <w:rsid w:val="00772A9A"/>
    <w:rsid w:val="00774F43"/>
    <w:rsid w:val="007819DD"/>
    <w:rsid w:val="00784266"/>
    <w:rsid w:val="007842A1"/>
    <w:rsid w:val="007912ED"/>
    <w:rsid w:val="00791F53"/>
    <w:rsid w:val="007A1632"/>
    <w:rsid w:val="007A6263"/>
    <w:rsid w:val="007A62FC"/>
    <w:rsid w:val="007B09B2"/>
    <w:rsid w:val="007B190B"/>
    <w:rsid w:val="007B3E30"/>
    <w:rsid w:val="007B4020"/>
    <w:rsid w:val="007C147A"/>
    <w:rsid w:val="007D60DF"/>
    <w:rsid w:val="007E1CCC"/>
    <w:rsid w:val="007E295F"/>
    <w:rsid w:val="007E69C2"/>
    <w:rsid w:val="007E6C3E"/>
    <w:rsid w:val="007F1E4B"/>
    <w:rsid w:val="007F3124"/>
    <w:rsid w:val="00800D24"/>
    <w:rsid w:val="00801A88"/>
    <w:rsid w:val="00806DFF"/>
    <w:rsid w:val="008118C7"/>
    <w:rsid w:val="0081450A"/>
    <w:rsid w:val="008150A2"/>
    <w:rsid w:val="00816CC5"/>
    <w:rsid w:val="0081778E"/>
    <w:rsid w:val="0082093F"/>
    <w:rsid w:val="008302D7"/>
    <w:rsid w:val="00830C59"/>
    <w:rsid w:val="008318F3"/>
    <w:rsid w:val="00834710"/>
    <w:rsid w:val="008400F8"/>
    <w:rsid w:val="00847482"/>
    <w:rsid w:val="008551AB"/>
    <w:rsid w:val="0085587E"/>
    <w:rsid w:val="00863BE8"/>
    <w:rsid w:val="008648FA"/>
    <w:rsid w:val="00864D68"/>
    <w:rsid w:val="00867180"/>
    <w:rsid w:val="00876ADD"/>
    <w:rsid w:val="008778AC"/>
    <w:rsid w:val="00880F12"/>
    <w:rsid w:val="00884168"/>
    <w:rsid w:val="00887A6B"/>
    <w:rsid w:val="00890594"/>
    <w:rsid w:val="00890B4F"/>
    <w:rsid w:val="0089735F"/>
    <w:rsid w:val="008A556F"/>
    <w:rsid w:val="008A7D04"/>
    <w:rsid w:val="008B08D6"/>
    <w:rsid w:val="008C1F0D"/>
    <w:rsid w:val="008D0F19"/>
    <w:rsid w:val="008D393C"/>
    <w:rsid w:val="008D7CFF"/>
    <w:rsid w:val="008E0E09"/>
    <w:rsid w:val="008E2D46"/>
    <w:rsid w:val="008E3D30"/>
    <w:rsid w:val="008E6071"/>
    <w:rsid w:val="008E7712"/>
    <w:rsid w:val="008F0BC7"/>
    <w:rsid w:val="008F4611"/>
    <w:rsid w:val="008F4BC8"/>
    <w:rsid w:val="008F5D43"/>
    <w:rsid w:val="00902065"/>
    <w:rsid w:val="0090361F"/>
    <w:rsid w:val="009054A4"/>
    <w:rsid w:val="009130AC"/>
    <w:rsid w:val="00914C58"/>
    <w:rsid w:val="009217A3"/>
    <w:rsid w:val="0092425A"/>
    <w:rsid w:val="009257AC"/>
    <w:rsid w:val="00930C90"/>
    <w:rsid w:val="00932054"/>
    <w:rsid w:val="00932DCB"/>
    <w:rsid w:val="009332F6"/>
    <w:rsid w:val="009348A6"/>
    <w:rsid w:val="009350E5"/>
    <w:rsid w:val="00935287"/>
    <w:rsid w:val="0093788E"/>
    <w:rsid w:val="00937D59"/>
    <w:rsid w:val="00940EB7"/>
    <w:rsid w:val="00946911"/>
    <w:rsid w:val="00946FDA"/>
    <w:rsid w:val="0095372F"/>
    <w:rsid w:val="00954A4D"/>
    <w:rsid w:val="00963310"/>
    <w:rsid w:val="00973A1E"/>
    <w:rsid w:val="009770AD"/>
    <w:rsid w:val="00980A29"/>
    <w:rsid w:val="009824F2"/>
    <w:rsid w:val="00984D86"/>
    <w:rsid w:val="009861E2"/>
    <w:rsid w:val="00986D28"/>
    <w:rsid w:val="00987FB3"/>
    <w:rsid w:val="00994AE4"/>
    <w:rsid w:val="00996F51"/>
    <w:rsid w:val="009A306C"/>
    <w:rsid w:val="009A6DFD"/>
    <w:rsid w:val="009B17D8"/>
    <w:rsid w:val="009B2A55"/>
    <w:rsid w:val="009B6046"/>
    <w:rsid w:val="009C1320"/>
    <w:rsid w:val="009C13BF"/>
    <w:rsid w:val="009C1C4E"/>
    <w:rsid w:val="009C499F"/>
    <w:rsid w:val="009C59C0"/>
    <w:rsid w:val="009C5A27"/>
    <w:rsid w:val="009E0287"/>
    <w:rsid w:val="009E54FB"/>
    <w:rsid w:val="009F00AF"/>
    <w:rsid w:val="009F13B5"/>
    <w:rsid w:val="009F27AC"/>
    <w:rsid w:val="009F4847"/>
    <w:rsid w:val="009F7EC7"/>
    <w:rsid w:val="00A014F9"/>
    <w:rsid w:val="00A024C2"/>
    <w:rsid w:val="00A02C32"/>
    <w:rsid w:val="00A0748E"/>
    <w:rsid w:val="00A109E9"/>
    <w:rsid w:val="00A1169A"/>
    <w:rsid w:val="00A13ABB"/>
    <w:rsid w:val="00A156A8"/>
    <w:rsid w:val="00A22717"/>
    <w:rsid w:val="00A23C43"/>
    <w:rsid w:val="00A269E0"/>
    <w:rsid w:val="00A349EF"/>
    <w:rsid w:val="00A349F1"/>
    <w:rsid w:val="00A37197"/>
    <w:rsid w:val="00A3776F"/>
    <w:rsid w:val="00A414A6"/>
    <w:rsid w:val="00A418B9"/>
    <w:rsid w:val="00A440C1"/>
    <w:rsid w:val="00A52B95"/>
    <w:rsid w:val="00A53589"/>
    <w:rsid w:val="00A54A38"/>
    <w:rsid w:val="00A60146"/>
    <w:rsid w:val="00A60E0E"/>
    <w:rsid w:val="00A61A17"/>
    <w:rsid w:val="00A634C4"/>
    <w:rsid w:val="00A6433B"/>
    <w:rsid w:val="00A6720E"/>
    <w:rsid w:val="00A72C09"/>
    <w:rsid w:val="00A74664"/>
    <w:rsid w:val="00A759DF"/>
    <w:rsid w:val="00A75D32"/>
    <w:rsid w:val="00A76812"/>
    <w:rsid w:val="00A847E9"/>
    <w:rsid w:val="00A876DA"/>
    <w:rsid w:val="00A9077F"/>
    <w:rsid w:val="00A94181"/>
    <w:rsid w:val="00A94625"/>
    <w:rsid w:val="00A95966"/>
    <w:rsid w:val="00A95FA6"/>
    <w:rsid w:val="00A976BA"/>
    <w:rsid w:val="00AA15A0"/>
    <w:rsid w:val="00AA1DC9"/>
    <w:rsid w:val="00AA2343"/>
    <w:rsid w:val="00AB148C"/>
    <w:rsid w:val="00AB2B3E"/>
    <w:rsid w:val="00AB2E73"/>
    <w:rsid w:val="00AB3C41"/>
    <w:rsid w:val="00AB5662"/>
    <w:rsid w:val="00AD2391"/>
    <w:rsid w:val="00AD706D"/>
    <w:rsid w:val="00AD7C69"/>
    <w:rsid w:val="00AE23A9"/>
    <w:rsid w:val="00AE2CBF"/>
    <w:rsid w:val="00AE7A4E"/>
    <w:rsid w:val="00AE7BA5"/>
    <w:rsid w:val="00AF2E9D"/>
    <w:rsid w:val="00AF32C2"/>
    <w:rsid w:val="00AF5CEB"/>
    <w:rsid w:val="00AF6257"/>
    <w:rsid w:val="00B02373"/>
    <w:rsid w:val="00B05171"/>
    <w:rsid w:val="00B05D2D"/>
    <w:rsid w:val="00B11F0C"/>
    <w:rsid w:val="00B158AB"/>
    <w:rsid w:val="00B15AE1"/>
    <w:rsid w:val="00B17814"/>
    <w:rsid w:val="00B17D47"/>
    <w:rsid w:val="00B229EE"/>
    <w:rsid w:val="00B2589F"/>
    <w:rsid w:val="00B3336E"/>
    <w:rsid w:val="00B34D17"/>
    <w:rsid w:val="00B3556E"/>
    <w:rsid w:val="00B40A20"/>
    <w:rsid w:val="00B44582"/>
    <w:rsid w:val="00B44F51"/>
    <w:rsid w:val="00B5099A"/>
    <w:rsid w:val="00B50D7D"/>
    <w:rsid w:val="00B5244D"/>
    <w:rsid w:val="00B5363B"/>
    <w:rsid w:val="00B60536"/>
    <w:rsid w:val="00B63937"/>
    <w:rsid w:val="00B641C8"/>
    <w:rsid w:val="00B65779"/>
    <w:rsid w:val="00B67DCF"/>
    <w:rsid w:val="00B745EC"/>
    <w:rsid w:val="00B746C6"/>
    <w:rsid w:val="00B85757"/>
    <w:rsid w:val="00B85986"/>
    <w:rsid w:val="00B946E2"/>
    <w:rsid w:val="00BA1AFC"/>
    <w:rsid w:val="00BA4A05"/>
    <w:rsid w:val="00BA4ABC"/>
    <w:rsid w:val="00BB275C"/>
    <w:rsid w:val="00BB4E97"/>
    <w:rsid w:val="00BB64E5"/>
    <w:rsid w:val="00BB675C"/>
    <w:rsid w:val="00BC14A8"/>
    <w:rsid w:val="00BC181E"/>
    <w:rsid w:val="00BC2319"/>
    <w:rsid w:val="00BC409C"/>
    <w:rsid w:val="00BD3D88"/>
    <w:rsid w:val="00BD547C"/>
    <w:rsid w:val="00BD679D"/>
    <w:rsid w:val="00BF094E"/>
    <w:rsid w:val="00BF4129"/>
    <w:rsid w:val="00BF5DBB"/>
    <w:rsid w:val="00C01462"/>
    <w:rsid w:val="00C02291"/>
    <w:rsid w:val="00C025E3"/>
    <w:rsid w:val="00C05FA1"/>
    <w:rsid w:val="00C15C02"/>
    <w:rsid w:val="00C200EB"/>
    <w:rsid w:val="00C22BF6"/>
    <w:rsid w:val="00C23FAB"/>
    <w:rsid w:val="00C25355"/>
    <w:rsid w:val="00C27F11"/>
    <w:rsid w:val="00C30E28"/>
    <w:rsid w:val="00C30ED6"/>
    <w:rsid w:val="00C36AAC"/>
    <w:rsid w:val="00C40351"/>
    <w:rsid w:val="00C421E9"/>
    <w:rsid w:val="00C42943"/>
    <w:rsid w:val="00C47960"/>
    <w:rsid w:val="00C47ECB"/>
    <w:rsid w:val="00C5151E"/>
    <w:rsid w:val="00C53212"/>
    <w:rsid w:val="00C5624D"/>
    <w:rsid w:val="00C6220E"/>
    <w:rsid w:val="00C6508E"/>
    <w:rsid w:val="00C67741"/>
    <w:rsid w:val="00C73594"/>
    <w:rsid w:val="00C753D2"/>
    <w:rsid w:val="00C75AC5"/>
    <w:rsid w:val="00C773C4"/>
    <w:rsid w:val="00C82EBF"/>
    <w:rsid w:val="00C84194"/>
    <w:rsid w:val="00C912C7"/>
    <w:rsid w:val="00C942C7"/>
    <w:rsid w:val="00C96991"/>
    <w:rsid w:val="00C96A94"/>
    <w:rsid w:val="00C976E9"/>
    <w:rsid w:val="00CA2CB0"/>
    <w:rsid w:val="00CA2F01"/>
    <w:rsid w:val="00CA5559"/>
    <w:rsid w:val="00CA7EA4"/>
    <w:rsid w:val="00CB0013"/>
    <w:rsid w:val="00CB0081"/>
    <w:rsid w:val="00CB19BE"/>
    <w:rsid w:val="00CB1EB6"/>
    <w:rsid w:val="00CB4B1F"/>
    <w:rsid w:val="00CB5085"/>
    <w:rsid w:val="00CC07A0"/>
    <w:rsid w:val="00CC42FE"/>
    <w:rsid w:val="00CC48A6"/>
    <w:rsid w:val="00CC7F7C"/>
    <w:rsid w:val="00CD357F"/>
    <w:rsid w:val="00CD39EF"/>
    <w:rsid w:val="00CD400B"/>
    <w:rsid w:val="00CE6CBE"/>
    <w:rsid w:val="00CF0880"/>
    <w:rsid w:val="00CF42A3"/>
    <w:rsid w:val="00CF73B6"/>
    <w:rsid w:val="00D01B9E"/>
    <w:rsid w:val="00D03253"/>
    <w:rsid w:val="00D04493"/>
    <w:rsid w:val="00D0742F"/>
    <w:rsid w:val="00D1165A"/>
    <w:rsid w:val="00D17D7C"/>
    <w:rsid w:val="00D20953"/>
    <w:rsid w:val="00D22480"/>
    <w:rsid w:val="00D2531D"/>
    <w:rsid w:val="00D26C5F"/>
    <w:rsid w:val="00D3266C"/>
    <w:rsid w:val="00D33D40"/>
    <w:rsid w:val="00D3580B"/>
    <w:rsid w:val="00D41E21"/>
    <w:rsid w:val="00D53E12"/>
    <w:rsid w:val="00D57CF1"/>
    <w:rsid w:val="00D63ADD"/>
    <w:rsid w:val="00D701C6"/>
    <w:rsid w:val="00D70492"/>
    <w:rsid w:val="00D7419A"/>
    <w:rsid w:val="00D767D2"/>
    <w:rsid w:val="00D81712"/>
    <w:rsid w:val="00D81B11"/>
    <w:rsid w:val="00D8280E"/>
    <w:rsid w:val="00D8311E"/>
    <w:rsid w:val="00D8398C"/>
    <w:rsid w:val="00D92AD1"/>
    <w:rsid w:val="00D93715"/>
    <w:rsid w:val="00D97F1B"/>
    <w:rsid w:val="00DA00BD"/>
    <w:rsid w:val="00DA2503"/>
    <w:rsid w:val="00DA7212"/>
    <w:rsid w:val="00DB28A5"/>
    <w:rsid w:val="00DB582B"/>
    <w:rsid w:val="00DC09A7"/>
    <w:rsid w:val="00DD1816"/>
    <w:rsid w:val="00DD54A9"/>
    <w:rsid w:val="00DE1CE2"/>
    <w:rsid w:val="00DF1EEA"/>
    <w:rsid w:val="00DF4423"/>
    <w:rsid w:val="00DF50D4"/>
    <w:rsid w:val="00E028EC"/>
    <w:rsid w:val="00E0372F"/>
    <w:rsid w:val="00E10C69"/>
    <w:rsid w:val="00E14379"/>
    <w:rsid w:val="00E165C6"/>
    <w:rsid w:val="00E2007F"/>
    <w:rsid w:val="00E20A10"/>
    <w:rsid w:val="00E20CE6"/>
    <w:rsid w:val="00E20E29"/>
    <w:rsid w:val="00E213E6"/>
    <w:rsid w:val="00E216A3"/>
    <w:rsid w:val="00E22378"/>
    <w:rsid w:val="00E239B0"/>
    <w:rsid w:val="00E2508A"/>
    <w:rsid w:val="00E30AFE"/>
    <w:rsid w:val="00E332C1"/>
    <w:rsid w:val="00E333C6"/>
    <w:rsid w:val="00E334F2"/>
    <w:rsid w:val="00E372F2"/>
    <w:rsid w:val="00E4108E"/>
    <w:rsid w:val="00E41838"/>
    <w:rsid w:val="00E51BEB"/>
    <w:rsid w:val="00E5292E"/>
    <w:rsid w:val="00E56439"/>
    <w:rsid w:val="00E63085"/>
    <w:rsid w:val="00E66293"/>
    <w:rsid w:val="00E72BC7"/>
    <w:rsid w:val="00E73639"/>
    <w:rsid w:val="00E76887"/>
    <w:rsid w:val="00E8511B"/>
    <w:rsid w:val="00E87A82"/>
    <w:rsid w:val="00E91E2A"/>
    <w:rsid w:val="00E91E7D"/>
    <w:rsid w:val="00EA45C5"/>
    <w:rsid w:val="00EA476F"/>
    <w:rsid w:val="00EA52A5"/>
    <w:rsid w:val="00EA6C55"/>
    <w:rsid w:val="00EB22B4"/>
    <w:rsid w:val="00EB3129"/>
    <w:rsid w:val="00EB3DE1"/>
    <w:rsid w:val="00EC061D"/>
    <w:rsid w:val="00EC3AB1"/>
    <w:rsid w:val="00EC6677"/>
    <w:rsid w:val="00EC7B1D"/>
    <w:rsid w:val="00ED5363"/>
    <w:rsid w:val="00ED7D91"/>
    <w:rsid w:val="00EE137E"/>
    <w:rsid w:val="00EE1501"/>
    <w:rsid w:val="00EE3C01"/>
    <w:rsid w:val="00EF11B1"/>
    <w:rsid w:val="00EF19E1"/>
    <w:rsid w:val="00EF3F36"/>
    <w:rsid w:val="00EF55DC"/>
    <w:rsid w:val="00EF6FB5"/>
    <w:rsid w:val="00EF7917"/>
    <w:rsid w:val="00F05472"/>
    <w:rsid w:val="00F06DE2"/>
    <w:rsid w:val="00F11CAA"/>
    <w:rsid w:val="00F11D2A"/>
    <w:rsid w:val="00F1638D"/>
    <w:rsid w:val="00F215E4"/>
    <w:rsid w:val="00F236F8"/>
    <w:rsid w:val="00F3489B"/>
    <w:rsid w:val="00F36F91"/>
    <w:rsid w:val="00F372C5"/>
    <w:rsid w:val="00F37575"/>
    <w:rsid w:val="00F3762B"/>
    <w:rsid w:val="00F43966"/>
    <w:rsid w:val="00F45F91"/>
    <w:rsid w:val="00F46957"/>
    <w:rsid w:val="00F52031"/>
    <w:rsid w:val="00F534F8"/>
    <w:rsid w:val="00F5518E"/>
    <w:rsid w:val="00F56149"/>
    <w:rsid w:val="00F603F1"/>
    <w:rsid w:val="00F77B87"/>
    <w:rsid w:val="00F82B44"/>
    <w:rsid w:val="00F83042"/>
    <w:rsid w:val="00F864CC"/>
    <w:rsid w:val="00F86E2A"/>
    <w:rsid w:val="00F87536"/>
    <w:rsid w:val="00FA3FAA"/>
    <w:rsid w:val="00FA4A08"/>
    <w:rsid w:val="00FA4BC7"/>
    <w:rsid w:val="00FA6D2B"/>
    <w:rsid w:val="00FA6F96"/>
    <w:rsid w:val="00FA72BC"/>
    <w:rsid w:val="00FB7ECB"/>
    <w:rsid w:val="00FD05AA"/>
    <w:rsid w:val="00FD0A57"/>
    <w:rsid w:val="00FD3469"/>
    <w:rsid w:val="00FD63BE"/>
    <w:rsid w:val="00FD7094"/>
    <w:rsid w:val="00FE6A00"/>
    <w:rsid w:val="00FF1C87"/>
    <w:rsid w:val="00FF33F4"/>
    <w:rsid w:val="00FF34FB"/>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s-che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16</Pages>
  <Words>11226</Words>
  <Characters>63991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266</cp:revision>
  <dcterms:created xsi:type="dcterms:W3CDTF">2022-10-13T14:24:00Z</dcterms:created>
  <dcterms:modified xsi:type="dcterms:W3CDTF">2022-12-10T17:26:00Z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