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40BB499B"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FD37D6">
        <w:rPr>
          <w:color w:val="000000" w:themeColor="text1"/>
          <w:vertAlign w:val="superscript"/>
        </w:rPr>
        <w:t>7</w:t>
      </w:r>
      <w:r w:rsidR="00AE57E9" w:rsidRPr="00C9294D">
        <w:rPr>
          <w:color w:val="000000" w:themeColor="text1"/>
        </w:rPr>
        <w:t>, A</w:t>
      </w:r>
      <w:r w:rsidRPr="00C9294D">
        <w:rPr>
          <w:color w:val="000000" w:themeColor="text1"/>
        </w:rPr>
        <w:t>. Anthony Bloom</w:t>
      </w:r>
      <w:r w:rsidR="00FD37D6">
        <w:rPr>
          <w:color w:val="000000" w:themeColor="text1"/>
          <w:vertAlign w:val="superscript"/>
        </w:rPr>
        <w:t>8</w:t>
      </w:r>
      <w:r w:rsidR="007B190B" w:rsidRPr="00C9294D">
        <w:rPr>
          <w:color w:val="000000" w:themeColor="text1"/>
        </w:rPr>
        <w:t xml:space="preserve">, </w:t>
      </w:r>
      <w:r w:rsidRPr="00C9294D">
        <w:rPr>
          <w:color w:val="000000" w:themeColor="text1"/>
        </w:rPr>
        <w:t>John Worden</w:t>
      </w:r>
      <w:r w:rsidR="00FD37D6">
        <w:rPr>
          <w:color w:val="000000" w:themeColor="text1"/>
          <w:vertAlign w:val="superscript"/>
        </w:rPr>
        <w:t>8</w:t>
      </w:r>
      <w:r w:rsidR="00AE57E9" w:rsidRPr="00C9294D">
        <w:rPr>
          <w:color w:val="000000" w:themeColor="text1"/>
        </w:rPr>
        <w:t>, Melissa Weitz</w:t>
      </w:r>
      <w:r w:rsidR="00FD37D6">
        <w:rPr>
          <w:color w:val="000000" w:themeColor="text1"/>
          <w:vertAlign w:val="superscript"/>
        </w:rPr>
        <w:t>9</w:t>
      </w:r>
      <w:r w:rsidR="00AE57E9" w:rsidRPr="00C9294D">
        <w:rPr>
          <w:color w:val="000000" w:themeColor="text1"/>
        </w:rPr>
        <w:t>, William Irving</w:t>
      </w:r>
      <w:r w:rsidR="00FD37D6">
        <w:rPr>
          <w:color w:val="000000" w:themeColor="text1"/>
          <w:vertAlign w:val="superscript"/>
        </w:rPr>
        <w:t>9</w:t>
      </w:r>
      <w:r w:rsidR="00FD37D6">
        <w:rPr>
          <w:color w:val="000000" w:themeColor="text1"/>
        </w:rPr>
        <w:t>,</w:t>
      </w:r>
      <w:r w:rsidR="00FD37D6" w:rsidRPr="00FD37D6">
        <w:rPr>
          <w:color w:val="000000" w:themeColor="text1"/>
        </w:rPr>
        <w:t xml:space="preserve"> </w:t>
      </w:r>
      <w:r w:rsidR="00FD37D6" w:rsidRPr="00C9294D">
        <w:rPr>
          <w:color w:val="000000" w:themeColor="text1"/>
        </w:rPr>
        <w:t>Cynthia A. Randles</w:t>
      </w:r>
      <w:r w:rsidR="00FD37D6">
        <w:rPr>
          <w:color w:val="000000" w:themeColor="text1"/>
          <w:vertAlign w:val="superscript"/>
        </w:rPr>
        <w:t>10</w:t>
      </w:r>
      <w:r w:rsidR="00FD37D6" w:rsidRPr="00C9294D">
        <w:rPr>
          <w:color w:val="000000" w:themeColor="text1"/>
        </w:rPr>
        <w:t>, Bryan K. Mignone</w:t>
      </w:r>
      <w:r w:rsidR="00FD37D6">
        <w:rPr>
          <w:color w:val="000000" w:themeColor="text1"/>
          <w:vertAlign w:val="superscript"/>
        </w:rPr>
        <w:t>10</w:t>
      </w:r>
      <w:r w:rsidR="00FD37D6" w:rsidRPr="00C9294D">
        <w:rPr>
          <w:color w:val="000000" w:themeColor="text1"/>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5C0B182F" w14:textId="44C076E2"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sidRPr="00C9294D">
        <w:rPr>
          <w:color w:val="000000" w:themeColor="text1"/>
          <w:sz w:val="18"/>
          <w:szCs w:val="18"/>
          <w:lang w:val="en-US"/>
        </w:rPr>
        <w:t>(Check)</w:t>
      </w:r>
    </w:p>
    <w:p w14:paraId="07D5C17C" w14:textId="0E04286D"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8</w:t>
      </w:r>
      <w:r w:rsidRPr="00C9294D">
        <w:rPr>
          <w:color w:val="000000" w:themeColor="text1"/>
          <w:sz w:val="18"/>
          <w:szCs w:val="18"/>
          <w:lang w:val="en-US"/>
        </w:rPr>
        <w:t>Jet Propulsion Laboratory, California Institute of Technology, Pasadena, California, USA</w:t>
      </w:r>
    </w:p>
    <w:p w14:paraId="7DB9DC49" w14:textId="0B8F3063" w:rsidR="00AE57E9"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sidR="00361369" w:rsidRPr="00C9294D">
        <w:rPr>
          <w:color w:val="000000" w:themeColor="text1"/>
          <w:sz w:val="18"/>
          <w:szCs w:val="18"/>
          <w:lang w:val="en-US"/>
        </w:rPr>
        <w:t>Climate Change Division, Environmental Protection Agency, Washington, District of Columbia 20460, United States</w:t>
      </w:r>
    </w:p>
    <w:p w14:paraId="3C7D0E64" w14:textId="134323D7" w:rsidR="00FD37D6" w:rsidRPr="00C9294D"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10</w:t>
      </w:r>
      <w:r w:rsidRPr="00C9294D">
        <w:rPr>
          <w:color w:val="000000" w:themeColor="text1"/>
          <w:sz w:val="18"/>
          <w:szCs w:val="18"/>
          <w:lang w:val="en-US"/>
        </w:rPr>
        <w:t>ExxonMobil Research and Engineering Company, Annandale, NJ, USA</w:t>
      </w:r>
    </w:p>
    <w:p w14:paraId="28BCF142" w14:textId="77777777" w:rsidR="00FD37D6" w:rsidRDefault="00FD37D6" w:rsidP="002E36D8"/>
    <w:p w14:paraId="22BF9B81" w14:textId="08EE4248" w:rsidR="002E36D8" w:rsidRDefault="00A440C1" w:rsidP="002E36D8">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361369">
        <w:t xml:space="preserve">methane </w:t>
      </w:r>
      <w:r w:rsidRPr="00C01462">
        <w:t>inventor</w:t>
      </w:r>
      <w:r w:rsidR="000C67B6">
        <w:t>y</w:t>
      </w:r>
      <w:r w:rsidRPr="00C01462">
        <w:t xml:space="preserve">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r w:rsidR="0060323A">
        <w:t>preserves</w:t>
      </w:r>
      <w:r w:rsidRPr="00C01462">
        <w:t xml:space="preserve"> information content</w:t>
      </w:r>
      <w:r w:rsidR="0060323A">
        <w:t xml:space="preserve"> by optimizing emissions </w:t>
      </w:r>
      <w:r w:rsidR="00F83380">
        <w:t xml:space="preserve">only </w:t>
      </w:r>
      <w:r w:rsidR="0060323A">
        <w:t xml:space="preserve">where observing system errors are </w:t>
      </w:r>
      <w:r w:rsidR="002E36D8">
        <w:t xml:space="preserve">sufficiently </w:t>
      </w:r>
      <w:r w:rsidR="0060323A">
        <w:t>low</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an 8</w:t>
      </w:r>
      <w:r w:rsidR="002E36D8">
        <w:t>-</w:t>
      </w:r>
      <w:r w:rsidR="00361369">
        <w:t>member inversion ensemble</w:t>
      </w:r>
      <w:r w:rsidR="002E36D8">
        <w:t>. This is</w:t>
      </w:r>
      <w:r w:rsidR="00E74256">
        <w:t xml:space="preserve"> </w:t>
      </w:r>
      <w:r w:rsidR="00BC2011">
        <w:t xml:space="preserve">a </w:t>
      </w:r>
      <w:r w:rsidR="00E74256">
        <w:t>1</w:t>
      </w:r>
      <w:r w:rsidR="00913AF5">
        <w:t>6</w:t>
      </w:r>
      <w:r w:rsidR="00BC2011">
        <w:t xml:space="preserve">% increase from the most recent EPA Greenhouse Gas Inventory (GHGI) estimate for </w:t>
      </w:r>
      <w:r w:rsidR="00913AF5">
        <w:t xml:space="preserve">CONUS in </w:t>
      </w:r>
      <w:r w:rsidR="00BC2011">
        <w:t xml:space="preserve">2019 of </w:t>
      </w:r>
      <w:r w:rsidR="00BC2011" w:rsidRPr="00C01462">
        <w:t>26.</w:t>
      </w:r>
      <w:r w:rsidR="00913AF5">
        <w:t>7</w:t>
      </w:r>
      <w:r w:rsidR="00BC2011" w:rsidRPr="00C01462">
        <w:t xml:space="preserve"> </w:t>
      </w:r>
      <w:proofErr w:type="spellStart"/>
      <w:r w:rsidR="00BC2011" w:rsidRPr="00C01462">
        <w:t>Tg</w:t>
      </w:r>
      <w:proofErr w:type="spellEnd"/>
      <w:r w:rsidR="00BC2011" w:rsidRPr="00C01462">
        <w:t xml:space="preserve"> a</w:t>
      </w:r>
      <w:r w:rsidR="00BC2011" w:rsidRPr="00C01462">
        <w:rPr>
          <w:vertAlign w:val="superscript"/>
        </w:rPr>
        <w:t>-1</w:t>
      </w:r>
      <w:r w:rsidR="00BC2011">
        <w:t>.</w:t>
      </w:r>
      <w:r w:rsidR="00877CE7">
        <w:t xml:space="preserve"> </w:t>
      </w:r>
      <w:r w:rsidR="002E36D8">
        <w:t xml:space="preserve">We partition emissions by sector, with </w:t>
      </w:r>
      <w:r w:rsidR="00163087">
        <w:t xml:space="preserve">livestock emissions </w:t>
      </w:r>
      <w:r w:rsidR="002E36D8">
        <w:t>of</w:t>
      </w:r>
      <w:r w:rsidR="00163087">
        <w:t xml:space="preserve"> 10.</w:t>
      </w:r>
      <w:r w:rsidR="00323391">
        <w:t>4</w:t>
      </w:r>
      <w:r w:rsidR="00A22755">
        <w:t xml:space="preserve"> (10.0 - 10.7)</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gas</w:t>
      </w:r>
      <w:r w:rsidR="002E36D8">
        <w:t xml:space="preserve"> of </w:t>
      </w:r>
      <w:r w:rsidR="00163087">
        <w:t>10.</w:t>
      </w:r>
      <w:r w:rsidR="00323391">
        <w:t>4</w:t>
      </w:r>
      <w:r w:rsidR="00163087">
        <w:t xml:space="preserve"> </w:t>
      </w:r>
      <w:r w:rsidR="00A22755">
        <w:t xml:space="preserve">(10.1 - 10.7)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1.5</w:t>
      </w:r>
      <w:r w:rsidR="00A22755">
        <w:t xml:space="preserve"> (1.2 - 1.9)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A22755">
        <w:t xml:space="preserve"> </w:t>
      </w:r>
      <w:r w:rsidR="00A22755" w:rsidRPr="00A22755">
        <w:t>(</w:t>
      </w:r>
      <w:r w:rsidR="00A22755" w:rsidRPr="0078584E">
        <w:t xml:space="preserve">6.4 </w:t>
      </w:r>
      <w:r w:rsidR="00A22755">
        <w:t>-</w:t>
      </w:r>
      <w:r w:rsidR="00A22755" w:rsidRPr="0078584E">
        <w:t xml:space="preserve"> 7.5)</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xml:space="preserve">, </w:t>
      </w:r>
      <w:r w:rsidR="00A22755">
        <w:t xml:space="preserve">wastewater of 0.6 (0.5 - 0.7), </w:t>
      </w:r>
      <w:r w:rsidR="002E36D8">
        <w:t>and other sources of 1.</w:t>
      </w:r>
      <w:r w:rsidR="00A22755">
        <w:t>1 (1.0 - 1.2)</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r w:rsidR="00A22755">
        <w:t>Relative to the GHGI, w</w:t>
      </w:r>
      <w:r w:rsidR="00A71C1D">
        <w:t xml:space="preserve">e find </w:t>
      </w:r>
      <w:r w:rsidR="000C67B6">
        <w:t>a</w:t>
      </w:r>
      <w:r w:rsidR="00604A12">
        <w:t xml:space="preserve"> significant</w:t>
      </w:r>
      <w:r w:rsidR="000C67B6">
        <w:t xml:space="preserve"> </w:t>
      </w:r>
      <w:r w:rsidR="00323391">
        <w:t>5</w:t>
      </w:r>
      <w:r w:rsidR="00913AF5">
        <w:t>3</w:t>
      </w:r>
      <w:r w:rsidR="000C67B6">
        <w:t xml:space="preserve">% increase </w:t>
      </w:r>
      <w:r w:rsidR="00A22755">
        <w:t xml:space="preserve">for landfills </w:t>
      </w:r>
      <w:r w:rsidR="000C67B6">
        <w:t xml:space="preserve">and </w:t>
      </w:r>
      <w:r w:rsidR="00913AF5">
        <w:t>29</w:t>
      </w:r>
      <w:r w:rsidR="000C67B6">
        <w:t xml:space="preserve">% decrease </w:t>
      </w:r>
      <w:r w:rsidR="00A22755">
        <w:t>for coal</w:t>
      </w:r>
      <w:r w:rsidR="00A66DA1">
        <w:t xml:space="preserve">. </w:t>
      </w:r>
      <w:r w:rsidR="00604A12">
        <w:t xml:space="preserve">We attribute the increase in landfill emissions to overestimated recovery efficiencies at landfill gas collection facilities, underestimated emissions from leaks and other anomalous events, and </w:t>
      </w:r>
      <w:r w:rsidR="00A22755">
        <w:t xml:space="preserve">overestimated decay of </w:t>
      </w:r>
      <w:r w:rsidR="00604A12">
        <w:t xml:space="preserve">emission rates </w:t>
      </w:r>
      <w:r w:rsidR="00A22755">
        <w:t xml:space="preserve">with </w:t>
      </w:r>
      <w:r w:rsidR="00604A12">
        <w:t xml:space="preserve">time. </w:t>
      </w:r>
      <w:r w:rsidR="004C2B85">
        <w:t xml:space="preserve">We </w:t>
      </w:r>
      <w:r w:rsidR="002E36D8">
        <w:t xml:space="preserve">exploit the high resolution of our inversion to quantify emissions in the </w:t>
      </w:r>
      <w:r w:rsidR="004C2B85">
        <w:t>48 states</w:t>
      </w:r>
      <w:r w:rsidR="002E36D8">
        <w:t xml:space="preserve"> in CONUS. We </w:t>
      </w:r>
      <w:r w:rsidR="0088027E">
        <w:t>compare</w:t>
      </w:r>
      <w:r w:rsidR="002E36D8">
        <w:t xml:space="preserve"> the results</w:t>
      </w:r>
      <w:r w:rsidR="0088027E">
        <w:t xml:space="preserve"> to EPA’s </w:t>
      </w:r>
      <w:r w:rsidR="00E83727">
        <w:t>new</w:t>
      </w:r>
      <w:r w:rsidR="0088027E">
        <w:t xml:space="preserve"> state</w:t>
      </w:r>
      <w:r w:rsidR="002E36D8">
        <w:t>-level</w:t>
      </w:r>
      <w:r w:rsidR="0088027E">
        <w:t xml:space="preserve"> inventories</w:t>
      </w:r>
      <w:r w:rsidR="002E36D8">
        <w:t xml:space="preserve"> as well as </w:t>
      </w:r>
      <w:r w:rsidR="00A22755">
        <w:t xml:space="preserve">to </w:t>
      </w:r>
      <w:r w:rsidR="002E36D8">
        <w:t>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the EPA</w:t>
      </w:r>
      <w:r w:rsidR="0088027E">
        <w:t xml:space="preserve"> inventories in the largest 10 methane-producing state</w:t>
      </w:r>
      <w:r w:rsidR="002E36D8">
        <w:t>s, with</w:t>
      </w:r>
      <w:r w:rsidR="0088027E">
        <w:t xml:space="preserve"> the largest </w:t>
      </w:r>
      <w:r w:rsidR="00E83727">
        <w:t>upward</w:t>
      </w:r>
      <w:r w:rsidR="0088027E">
        <w:t xml:space="preserve"> adjustments in states with large oil and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Emissions for these urban areas are</w:t>
      </w:r>
      <w:r w:rsidR="00040B88">
        <w:t xml:space="preserve"> </w:t>
      </w:r>
      <w:r w:rsidR="00604A12">
        <w:t>42%</w:t>
      </w:r>
      <w:r w:rsidR="00A66DA1">
        <w:t xml:space="preserve"> </w:t>
      </w:r>
      <w:r w:rsidR="00A22755">
        <w:t xml:space="preserve">larger than the GHGI compared to </w:t>
      </w:r>
      <w:r w:rsidR="002E36D8">
        <w:t xml:space="preserve">the </w:t>
      </w:r>
      <w:r w:rsidR="00040B88">
        <w:t>15</w:t>
      </w:r>
      <w:r w:rsidR="002E36D8">
        <w:t>% average correction over CONUS</w:t>
      </w:r>
      <w:r w:rsidR="00A22755">
        <w:t>, with a 66% increase in the largest 10 methane-producing cities</w:t>
      </w:r>
      <w:r w:rsidR="000C67B6">
        <w:t xml:space="preserve">. </w:t>
      </w:r>
      <w:r w:rsidR="00F61A49">
        <w:t>We attribute the discrepancy to underestimated landfill and gas distribution emissions.</w:t>
      </w:r>
    </w:p>
    <w:p w14:paraId="1E75609C" w14:textId="77777777" w:rsidR="002E36D8" w:rsidRDefault="002E36D8">
      <w:r>
        <w:br w:type="page"/>
      </w:r>
    </w:p>
    <w:p w14:paraId="5092385D" w14:textId="2BBD7670" w:rsidR="00B44582" w:rsidRPr="00C01462" w:rsidRDefault="00B44582" w:rsidP="002E36D8">
      <w:r w:rsidRPr="00C01462">
        <w:rPr>
          <w:b/>
          <w:bCs/>
        </w:rPr>
        <w:lastRenderedPageBreak/>
        <w:t>1 Introduction</w:t>
      </w:r>
    </w:p>
    <w:p w14:paraId="3B901380" w14:textId="37717DED"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contributions </w:t>
      </w:r>
      <w:r w:rsidR="00D6018F">
        <w:t>from oil and gas, livestock, landfills, coal, and wastewater</w:t>
      </w:r>
      <w:r w:rsidRPr="00C01462">
        <w:t xml:space="preserve">. </w:t>
      </w:r>
      <w:r w:rsidR="00D7558D" w:rsidRPr="00C01462">
        <w:t>Wetlands are the dominant natural source</w:t>
      </w:r>
      <w:r w:rsidR="00711289">
        <w:t xml:space="preserve"> </w:t>
      </w:r>
      <w:r w:rsidR="00D7558D" w:rsidRPr="00C01462">
        <w:t xml:space="preserve">(Bloom et al., </w:t>
      </w:r>
      <w:proofErr w:type="spellStart"/>
      <w:r w:rsidR="00D7558D" w:rsidRPr="00C01462">
        <w:t>xxxx</w:t>
      </w:r>
      <w:proofErr w:type="spellEnd"/>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r w:rsidR="00865774">
        <w:t xml:space="preserve">an 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TROPOMI satellite instrument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26BFA74"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(Hu et al., 2018; </w:t>
      </w:r>
      <w:proofErr w:type="spellStart"/>
      <w:r w:rsidR="00AE7BA5" w:rsidRPr="00E3469C">
        <w:rPr>
          <w:color w:val="000000" w:themeColor="text1"/>
        </w:rPr>
        <w:t>Lorente</w:t>
      </w:r>
      <w:proofErr w:type="spellEnd"/>
      <w:r w:rsidR="00AE7BA5" w:rsidRPr="00E3469C">
        <w:rPr>
          <w:color w:val="000000" w:themeColor="text1"/>
        </w:rPr>
        <w:t xml:space="preserv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32342690"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E8516F">
        <w:rPr>
          <w:color w:val="000000" w:themeColor="text1"/>
        </w:rPr>
        <w:t xml:space="preserve"> (Brasseur and Jacob, 2017)</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155455">
        <w:rPr>
          <w:color w:val="000000" w:themeColor="text1"/>
        </w:rPr>
        <w:t xml:space="preserve">. </w:t>
      </w:r>
      <w:r w:rsidR="002E36D8">
        <w:rPr>
          <w:color w:val="000000" w:themeColor="text1"/>
        </w:rPr>
        <w:t xml:space="preserve">In </w:t>
      </w:r>
      <w:r w:rsidR="00155455">
        <w:rPr>
          <w:color w:val="000000" w:themeColor="text1"/>
        </w:rPr>
        <w:t>Nesser et al. (2021)</w:t>
      </w:r>
      <w:r w:rsidR="002E36D8">
        <w:rPr>
          <w:color w:val="000000" w:themeColor="text1"/>
        </w:rPr>
        <w:t>, we demonstrated an alternative method that approximates the</w:t>
      </w:r>
      <w:r w:rsidR="000D3AFE">
        <w:rPr>
          <w:color w:val="000000" w:themeColor="text1"/>
        </w:rPr>
        <w:t xml:space="preserve"> Jacobian matrix </w:t>
      </w:r>
      <w:r w:rsidR="002E36D8">
        <w:rPr>
          <w:color w:val="000000" w:themeColor="text1"/>
        </w:rPr>
        <w:t xml:space="preserve">by perturbing </w:t>
      </w:r>
      <w:r w:rsidR="00A44DAA">
        <w:rPr>
          <w:color w:val="000000" w:themeColor="text1"/>
        </w:rPr>
        <w:t xml:space="preserve">emission </w:t>
      </w:r>
      <w:r w:rsidR="000D3AFE">
        <w:rPr>
          <w:color w:val="000000" w:themeColor="text1"/>
        </w:rPr>
        <w:t xml:space="preserve">patterns </w:t>
      </w:r>
      <w:r w:rsidR="002E36D8">
        <w:rPr>
          <w:color w:val="000000" w:themeColor="text1"/>
        </w:rPr>
        <w:t>that are informed</w:t>
      </w:r>
      <w:r w:rsidR="000D3AFE">
        <w:rPr>
          <w:color w:val="000000" w:themeColor="text1"/>
        </w:rPr>
        <w:t xml:space="preserve"> by both the </w:t>
      </w:r>
      <w:r w:rsidR="002E36D8">
        <w:rPr>
          <w:color w:val="000000" w:themeColor="text1"/>
        </w:rPr>
        <w:t>prior emissions</w:t>
      </w:r>
      <w:r w:rsidR="000D3AFE">
        <w:rPr>
          <w:color w:val="000000" w:themeColor="text1"/>
        </w:rPr>
        <w:t xml:space="preserve"> and the observations.</w:t>
      </w:r>
      <w:r w:rsidR="00404931">
        <w:rPr>
          <w:color w:val="000000" w:themeColor="text1"/>
        </w:rPr>
        <w:t xml:space="preserve"> This approach </w:t>
      </w:r>
      <w:r w:rsidR="002E36D8">
        <w:rPr>
          <w:color w:val="000000" w:themeColor="text1"/>
        </w:rPr>
        <w:t xml:space="preserve">optimally exploits </w:t>
      </w:r>
      <w:r w:rsidR="00C675C8">
        <w:rPr>
          <w:color w:val="000000" w:themeColor="text1"/>
        </w:rPr>
        <w:t>the information content of the observ</w:t>
      </w:r>
      <w:r w:rsidR="002E36D8">
        <w:rPr>
          <w:color w:val="000000" w:themeColor="text1"/>
        </w:rPr>
        <w:t xml:space="preserve">ations, </w:t>
      </w:r>
      <w:r w:rsidR="00E8516F">
        <w:rPr>
          <w:color w:val="000000" w:themeColor="text1"/>
        </w:rPr>
        <w:t xml:space="preserve">quantifying </w:t>
      </w:r>
      <w:r w:rsidR="002E36D8">
        <w:rPr>
          <w:color w:val="000000" w:themeColor="text1"/>
        </w:rPr>
        <w:t xml:space="preserve">emissions at the highest resolution possible </w:t>
      </w:r>
      <w:r w:rsidR="00C675C8">
        <w:rPr>
          <w:color w:val="000000" w:themeColor="text1"/>
        </w:rPr>
        <w:t>where the observing system provides a constraint and defaulting to the prior</w:t>
      </w:r>
      <w:r w:rsidR="002E36D8">
        <w:rPr>
          <w:color w:val="000000" w:themeColor="text1"/>
        </w:rPr>
        <w:t xml:space="preserve"> estimate</w:t>
      </w:r>
      <w:r w:rsidR="00C675C8">
        <w:rPr>
          <w:color w:val="000000" w:themeColor="text1"/>
        </w:rPr>
        <w:t xml:space="preserve"> elsewhere</w:t>
      </w:r>
      <w:r w:rsidR="000D2BA1">
        <w:rPr>
          <w:color w:val="000000" w:themeColor="text1"/>
        </w:rPr>
        <w:t>.</w:t>
      </w:r>
    </w:p>
    <w:p w14:paraId="6463A12E" w14:textId="77777777" w:rsidR="00155455" w:rsidRDefault="00155455">
      <w:pPr>
        <w:rPr>
          <w:color w:val="000000" w:themeColor="text1"/>
        </w:rPr>
      </w:pPr>
    </w:p>
    <w:p w14:paraId="350D34ED" w14:textId="17F8C8AA" w:rsidR="001100B8" w:rsidRPr="00B51761" w:rsidRDefault="00881535">
      <w:pPr>
        <w:rPr>
          <w:color w:val="000000" w:themeColor="text1"/>
        </w:rPr>
      </w:pPr>
      <w:r>
        <w:rPr>
          <w:color w:val="000000" w:themeColor="text1"/>
        </w:rPr>
        <w:t xml:space="preserve">Many </w:t>
      </w:r>
      <w:r w:rsidR="001D4F3E" w:rsidRPr="00B51761">
        <w:rPr>
          <w:color w:val="000000" w:themeColor="text1"/>
        </w:rPr>
        <w:t xml:space="preserve">inverse studies </w:t>
      </w:r>
      <w:r>
        <w:rPr>
          <w:color w:val="000000" w:themeColor="text1"/>
        </w:rPr>
        <w:t xml:space="preserve">that quantified U.S. methane emissions using surface, aircraft, or satellite observations </w:t>
      </w:r>
      <w:r w:rsidR="00FF740D">
        <w:rPr>
          <w:color w:val="000000" w:themeColor="text1"/>
        </w:rPr>
        <w:t xml:space="preserve">have </w:t>
      </w:r>
      <w:r w:rsidR="001D4F3E" w:rsidRPr="00B51761">
        <w:rPr>
          <w:color w:val="000000" w:themeColor="text1"/>
        </w:rPr>
        <w:t xml:space="preserve">found large discrepancies </w:t>
      </w:r>
      <w:r>
        <w:rPr>
          <w:color w:val="000000" w:themeColor="text1"/>
        </w:rPr>
        <w:t>with the</w:t>
      </w:r>
      <w:r w:rsidR="00E0220A" w:rsidRPr="00B51761">
        <w:rPr>
          <w:color w:val="000000" w:themeColor="text1"/>
        </w:rPr>
        <w:t xml:space="preserve"> </w:t>
      </w:r>
      <w:r w:rsidR="001D4F3E" w:rsidRPr="00B51761">
        <w:rPr>
          <w:color w:val="000000" w:themeColor="text1"/>
        </w:rPr>
        <w:t>U.S. Environmental Protection Agency’s Greenhouse Gas Inventory (GHGI)</w:t>
      </w:r>
      <w:r w:rsidR="00A15B40">
        <w:rPr>
          <w:color w:val="000000" w:themeColor="text1"/>
        </w:rPr>
        <w:t>, the bottom-up emissions estimate reported to the UNFCCC</w:t>
      </w:r>
      <w:r w:rsidR="001D4F3E" w:rsidRPr="00B51761">
        <w:rPr>
          <w:color w:val="000000" w:themeColor="text1"/>
        </w:rPr>
        <w:t xml:space="preserve">. </w:t>
      </w:r>
      <w:r w:rsidR="003332A3" w:rsidRPr="00B51761">
        <w:rPr>
          <w:color w:val="000000" w:themeColor="text1"/>
        </w:rPr>
        <w:lastRenderedPageBreak/>
        <w:t xml:space="preserve">Wecht et al. (2014) found livestock emissions 40% larger than the </w:t>
      </w:r>
      <w:r w:rsidR="00E0220A" w:rsidRPr="00B51761">
        <w:rPr>
          <w:color w:val="000000" w:themeColor="text1"/>
        </w:rPr>
        <w:t xml:space="preserve">2013 </w:t>
      </w:r>
      <w:r w:rsidR="003332A3" w:rsidRPr="00B51761">
        <w:rPr>
          <w:color w:val="000000" w:themeColor="text1"/>
        </w:rPr>
        <w:t xml:space="preserve">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Miller et al. (2013)</w:t>
      </w:r>
      <w:r w:rsidR="002E36D8" w:rsidRPr="00B51761">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w:t>
      </w:r>
      <w:r w:rsidR="00E0220A" w:rsidRPr="00B51761">
        <w:rPr>
          <w:color w:val="000000" w:themeColor="text1"/>
        </w:rPr>
        <w:t xml:space="preserve">2013 </w:t>
      </w:r>
      <w:r w:rsidR="001E0B1D" w:rsidRPr="00B51761">
        <w:rPr>
          <w:color w:val="000000" w:themeColor="text1"/>
        </w:rPr>
        <w:t xml:space="preserve">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(2015) found similar results for emissions from 2009 to 2011 </w:t>
      </w:r>
      <w:r w:rsidR="00382C47">
        <w:rPr>
          <w:color w:val="000000" w:themeColor="text1"/>
        </w:rPr>
        <w:t>compared to</w:t>
      </w:r>
      <w:r w:rsidR="00E0220A" w:rsidRPr="00B51761">
        <w:rPr>
          <w:color w:val="000000" w:themeColor="text1"/>
        </w:rPr>
        <w:t xml:space="preserve"> the 2014 GHGI. </w:t>
      </w:r>
      <w:proofErr w:type="spellStart"/>
      <w:r w:rsidR="00820C77" w:rsidRPr="00B51761">
        <w:rPr>
          <w:color w:val="000000" w:themeColor="text1"/>
        </w:rPr>
        <w:t>Maasakkers</w:t>
      </w:r>
      <w:proofErr w:type="spellEnd"/>
      <w:r w:rsidR="00820C77" w:rsidRPr="00B51761">
        <w:rPr>
          <w:color w:val="000000" w:themeColor="text1"/>
        </w:rPr>
        <w:t xml:space="preserve"> et al. (20</w:t>
      </w:r>
      <w:r w:rsidR="003332A3" w:rsidRPr="00B51761">
        <w:rPr>
          <w:color w:val="000000" w:themeColor="text1"/>
        </w:rPr>
        <w:t xml:space="preserve">21) inferred oil and gas emissions 35% and 22% higher than the </w:t>
      </w:r>
      <w:r w:rsidR="00E0220A" w:rsidRPr="00B51761">
        <w:rPr>
          <w:color w:val="000000" w:themeColor="text1"/>
        </w:rPr>
        <w:t xml:space="preserve">2020 </w:t>
      </w:r>
      <w:r w:rsidR="003332A3" w:rsidRPr="00B51761">
        <w:rPr>
          <w:color w:val="000000" w:themeColor="text1"/>
        </w:rPr>
        <w:t xml:space="preserve">GHGI, respectively, for 2010 to 2015. </w:t>
      </w:r>
      <w:r w:rsidR="001E0B1D" w:rsidRPr="00B51761">
        <w:rPr>
          <w:color w:val="000000" w:themeColor="text1"/>
        </w:rPr>
        <w:t xml:space="preserve"> </w:t>
      </w:r>
      <w:r w:rsidR="002E36D8" w:rsidRPr="00B51761">
        <w:rPr>
          <w:color w:val="000000" w:themeColor="text1"/>
        </w:rPr>
        <w:t xml:space="preserve">Lu et al. (2022) </w:t>
      </w:r>
      <w:r w:rsidR="001D4F3E" w:rsidRPr="00B51761">
        <w:rPr>
          <w:color w:val="000000" w:themeColor="text1"/>
        </w:rPr>
        <w:t xml:space="preserve">found mean 2010 –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 xml:space="preserve">.8) </w:t>
      </w:r>
      <w:proofErr w:type="spellStart"/>
      <w:r w:rsidR="001D4F3E" w:rsidRPr="00B51761">
        <w:rPr>
          <w:color w:val="000000" w:themeColor="text1"/>
        </w:rPr>
        <w:t>Tg</w:t>
      </w:r>
      <w:proofErr w:type="spellEnd"/>
      <w:r w:rsidR="001D4F3E" w:rsidRPr="00B51761">
        <w:rPr>
          <w:color w:val="000000" w:themeColor="text1"/>
        </w:rPr>
        <w:t xml:space="preserve">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1D4F3E" w:rsidRPr="00B51761">
        <w:rPr>
          <w:color w:val="000000" w:themeColor="text1"/>
        </w:rPr>
        <w:t xml:space="preserve"> </w:t>
      </w:r>
      <w:r w:rsidR="00073E77" w:rsidRPr="00B51761">
        <w:rPr>
          <w:color w:val="000000" w:themeColor="text1"/>
        </w:rPr>
        <w:t xml:space="preserve">2021 </w:t>
      </w:r>
      <w:r w:rsidR="001D4F3E" w:rsidRPr="00B51761">
        <w:rPr>
          <w:color w:val="000000" w:themeColor="text1"/>
        </w:rPr>
        <w:t xml:space="preserve">GHGI estimate </w:t>
      </w:r>
      <w:r w:rsidR="00073E77" w:rsidRPr="00B51761">
        <w:rPr>
          <w:color w:val="000000" w:themeColor="text1"/>
        </w:rPr>
        <w:t>for the same</w:t>
      </w:r>
      <w:r w:rsidR="00B21E41" w:rsidRPr="00B51761">
        <w:rPr>
          <w:color w:val="000000" w:themeColor="text1"/>
        </w:rPr>
        <w:t xml:space="preserve"> </w:t>
      </w:r>
      <w:r w:rsidR="00073E77" w:rsidRPr="00B51761">
        <w:rPr>
          <w:color w:val="000000" w:themeColor="text1"/>
        </w:rPr>
        <w:t>period</w:t>
      </w:r>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r w:rsidR="00B21E41" w:rsidRPr="00B51761">
        <w:rPr>
          <w:color w:val="000000" w:themeColor="text1"/>
        </w:rPr>
        <w:t xml:space="preserve"> </w:t>
      </w:r>
      <w:r w:rsidR="00382C47">
        <w:rPr>
          <w:color w:val="000000" w:themeColor="text1"/>
        </w:rPr>
        <w:t xml:space="preserve">The </w:t>
      </w:r>
      <w:r w:rsidR="00F3015F" w:rsidRPr="00B51761">
        <w:rPr>
          <w:color w:val="000000" w:themeColor="text1"/>
        </w:rPr>
        <w:t xml:space="preserve">coarse resolution </w:t>
      </w:r>
      <w:r w:rsidR="00382C47">
        <w:rPr>
          <w:color w:val="000000" w:themeColor="text1"/>
        </w:rPr>
        <w:t xml:space="preserve">of these studies </w:t>
      </w:r>
      <w:r w:rsidR="00CB7A33">
        <w:rPr>
          <w:color w:val="000000" w:themeColor="text1"/>
        </w:rPr>
        <w:t>complicated</w:t>
      </w:r>
      <w:r w:rsidR="00382C47">
        <w:rPr>
          <w:color w:val="000000" w:themeColor="text1"/>
        </w:rPr>
        <w:t xml:space="preserve"> understanding the source of the discrepancy, particularly for livestock and landfill emissions.</w:t>
      </w:r>
    </w:p>
    <w:p w14:paraId="2777F056" w14:textId="77777777" w:rsidR="003C6288" w:rsidRPr="002E36D8" w:rsidRDefault="003C6288">
      <w:pPr>
        <w:rPr>
          <w:color w:val="FF0000"/>
        </w:rPr>
      </w:pPr>
    </w:p>
    <w:p w14:paraId="2DA7AF5F" w14:textId="16F623DB"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proofErr w:type="spellStart"/>
      <w:r w:rsidR="001811CB" w:rsidRPr="00B51761">
        <w:rPr>
          <w:color w:val="000000" w:themeColor="text1"/>
        </w:rPr>
        <w:t>Karion</w:t>
      </w:r>
      <w:proofErr w:type="spellEnd"/>
      <w:r w:rsidR="001811CB" w:rsidRPr="00B51761">
        <w:rPr>
          <w:color w:val="000000" w:themeColor="text1"/>
        </w:rPr>
        <w:t xml:space="preserve"> et al. (2015) </w:t>
      </w:r>
      <w:r w:rsidR="00CB7A33">
        <w:rPr>
          <w:color w:val="000000" w:themeColor="text1"/>
        </w:rPr>
        <w:t>found</w:t>
      </w:r>
      <w:r w:rsidR="00E440E2">
        <w:rPr>
          <w:color w:val="000000" w:themeColor="text1"/>
        </w:rPr>
        <w:t xml:space="preserve"> oil and gas emissions in the</w:t>
      </w:r>
      <w:r w:rsidR="0072776E">
        <w:rPr>
          <w:color w:val="000000" w:themeColor="text1"/>
        </w:rPr>
        <w:t xml:space="preserve"> </w:t>
      </w:r>
      <w:r w:rsidR="00514AA0">
        <w:rPr>
          <w:color w:val="000000" w:themeColor="text1"/>
        </w:rPr>
        <w:t xml:space="preserve">Barnett Shale </w:t>
      </w:r>
      <w:r w:rsidR="0072776E">
        <w:rPr>
          <w:color w:val="000000" w:themeColor="text1"/>
        </w:rPr>
        <w:t>consistent with the</w:t>
      </w:r>
      <w:r w:rsidR="001C56F8">
        <w:rPr>
          <w:color w:val="000000" w:themeColor="text1"/>
        </w:rPr>
        <w:t xml:space="preserve"> 2013</w:t>
      </w:r>
      <w:r w:rsidR="0072776E">
        <w:rPr>
          <w:color w:val="000000" w:themeColor="text1"/>
        </w:rPr>
        <w:t xml:space="preserve"> </w:t>
      </w:r>
      <w:r w:rsidR="00E6442C">
        <w:rPr>
          <w:color w:val="000000" w:themeColor="text1"/>
        </w:rPr>
        <w:t>GHGI but larger than those reported by industry to the EPA’s Greenhouse Gas Reporting Program</w:t>
      </w:r>
      <w:r w:rsidR="00AC180A">
        <w:rPr>
          <w:color w:val="000000" w:themeColor="text1"/>
        </w:rPr>
        <w:t xml:space="preserve"> (GHGRP)</w:t>
      </w:r>
      <w:r w:rsidR="00E440E2">
        <w:rPr>
          <w:color w:val="000000" w:themeColor="text1"/>
        </w:rPr>
        <w:t>. A</w:t>
      </w:r>
      <w:r w:rsidR="001812A8">
        <w:rPr>
          <w:color w:val="000000" w:themeColor="text1"/>
        </w:rPr>
        <w:t xml:space="preserve"> series of studies </w:t>
      </w:r>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w:t>
      </w:r>
      <w:r w:rsidR="00721ED2">
        <w:rPr>
          <w:color w:val="000000" w:themeColor="text1"/>
        </w:rPr>
        <w:t>implied by the GHGI</w:t>
      </w:r>
      <w:r w:rsidR="001812A8">
        <w:rPr>
          <w:color w:val="000000" w:themeColor="text1"/>
        </w:rPr>
        <w:t xml:space="preserve"> </w:t>
      </w:r>
      <w:r w:rsidR="001812A8">
        <w:t xml:space="preserve">(Zhang et al., 2020; </w:t>
      </w:r>
      <w:proofErr w:type="spellStart"/>
      <w:r w:rsidR="001812A8">
        <w:t>Schneising</w:t>
      </w:r>
      <w:proofErr w:type="spellEnd"/>
      <w:r w:rsidR="001812A8">
        <w:t xml:space="preserve"> et al., 2020; Liu et al., 2021; Shen et al., 2022; </w:t>
      </w:r>
      <w:r w:rsidR="00D30E97">
        <w:t xml:space="preserve">Chen et al., 2022; </w:t>
      </w:r>
      <w:proofErr w:type="spellStart"/>
      <w:r w:rsidR="001812A8">
        <w:t>Varon</w:t>
      </w:r>
      <w:proofErr w:type="spellEnd"/>
      <w:r w:rsidR="001812A8">
        <w:t xml:space="preserve"> et al., in review). </w:t>
      </w:r>
      <w:r w:rsidR="00362746" w:rsidRPr="00B51761">
        <w:rPr>
          <w:color w:val="000000" w:themeColor="text1"/>
        </w:rPr>
        <w:t xml:space="preserve">Chen et al. (2018) and </w:t>
      </w:r>
      <w:r w:rsidRPr="00B51761">
        <w:rPr>
          <w:color w:val="000000" w:themeColor="text1"/>
        </w:rPr>
        <w:t xml:space="preserve">Yu et al. (2021) </w:t>
      </w:r>
      <w:r w:rsidR="00CB7A33">
        <w:rPr>
          <w:color w:val="000000" w:themeColor="text1"/>
        </w:rPr>
        <w:t>found</w:t>
      </w:r>
      <w:r w:rsidRPr="00B51761">
        <w:rPr>
          <w:color w:val="000000" w:themeColor="text1"/>
        </w:rPr>
        <w:t xml:space="preserve"> </w:t>
      </w:r>
      <w:r w:rsidR="001C56F8">
        <w:rPr>
          <w:color w:val="000000" w:themeColor="text1"/>
        </w:rPr>
        <w:t xml:space="preserve">underestimated </w:t>
      </w:r>
      <w:r w:rsidR="00E440E2">
        <w:rPr>
          <w:color w:val="000000" w:themeColor="text1"/>
        </w:rPr>
        <w:t xml:space="preserve">livestock emissions in the </w:t>
      </w:r>
      <w:r w:rsidR="001C56F8">
        <w:rPr>
          <w:color w:val="000000" w:themeColor="text1"/>
        </w:rPr>
        <w:t xml:space="preserve">2016 GHGI for 2012 in the </w:t>
      </w:r>
      <w:r w:rsidRPr="00B51761">
        <w:rPr>
          <w:color w:val="000000" w:themeColor="text1"/>
        </w:rPr>
        <w:t>upper Midwest</w:t>
      </w:r>
      <w:r w:rsidR="00ED4DA5" w:rsidRPr="00B51761">
        <w:rPr>
          <w:color w:val="000000" w:themeColor="text1"/>
        </w:rPr>
        <w:t>.</w:t>
      </w:r>
      <w:r w:rsidR="002E4A10" w:rsidRPr="00B51761">
        <w:rPr>
          <w:color w:val="000000" w:themeColor="text1"/>
        </w:rPr>
        <w:t xml:space="preserve"> </w:t>
      </w:r>
      <w:proofErr w:type="spellStart"/>
      <w:r w:rsidR="001812A8">
        <w:rPr>
          <w:color w:val="000000" w:themeColor="text1"/>
        </w:rPr>
        <w:t>Jeong</w:t>
      </w:r>
      <w:proofErr w:type="spellEnd"/>
      <w:r w:rsidR="001812A8">
        <w:rPr>
          <w:color w:val="000000" w:themeColor="text1"/>
        </w:rPr>
        <w:t xml:space="preserve"> et al. (2016)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an inventory from the</w:t>
      </w:r>
      <w:r w:rsidR="001812A8">
        <w:rPr>
          <w:color w:val="000000" w:themeColor="text1"/>
        </w:rPr>
        <w:t xml:space="preserve"> California Air Resources Board</w:t>
      </w:r>
      <w:r w:rsidR="001C56F8">
        <w:rPr>
          <w:color w:val="000000" w:themeColor="text1"/>
        </w:rPr>
        <w:t xml:space="preserve"> (CARB)</w:t>
      </w:r>
      <w:r w:rsidR="00CB7A33">
        <w:rPr>
          <w:color w:val="000000" w:themeColor="text1"/>
        </w:rPr>
        <w:t xml:space="preserve">. </w:t>
      </w:r>
      <w:r w:rsidR="002E4A10" w:rsidRPr="00B51761">
        <w:rPr>
          <w:color w:val="000000" w:themeColor="text1"/>
        </w:rPr>
        <w:t xml:space="preserve">Plant et al. (2019) </w:t>
      </w:r>
      <w:r w:rsidR="001C56F8">
        <w:rPr>
          <w:color w:val="000000" w:themeColor="text1"/>
        </w:rPr>
        <w:t>found</w:t>
      </w:r>
      <w:r w:rsidR="001C56F8" w:rsidRPr="00B51761">
        <w:rPr>
          <w:color w:val="000000" w:themeColor="text1"/>
        </w:rPr>
        <w:t xml:space="preserve"> </w:t>
      </w:r>
      <w:r w:rsidR="002E4A10" w:rsidRPr="00B51761">
        <w:rPr>
          <w:color w:val="000000" w:themeColor="text1"/>
        </w:rPr>
        <w:t>m</w:t>
      </w:r>
      <w:r w:rsidR="00A0012E" w:rsidRPr="00B51761">
        <w:rPr>
          <w:color w:val="000000" w:themeColor="text1"/>
        </w:rPr>
        <w:t>ethane emissions from six East Coast urban areas</w:t>
      </w:r>
      <w:r w:rsidR="001C56F8">
        <w:rPr>
          <w:color w:val="000000" w:themeColor="text1"/>
        </w:rPr>
        <w:t xml:space="preserve"> to be</w:t>
      </w:r>
      <w:r w:rsidR="00A0012E" w:rsidRPr="00B51761">
        <w:rPr>
          <w:color w:val="000000" w:themeColor="text1"/>
        </w:rPr>
        <w:t xml:space="preserve"> more than two times larger than </w:t>
      </w:r>
      <w:r w:rsidR="001C56F8">
        <w:rPr>
          <w:color w:val="000000" w:themeColor="text1"/>
        </w:rPr>
        <w:t>the 2016 GHGI for 2012</w:t>
      </w:r>
      <w:r w:rsidR="00A0012E" w:rsidRPr="00B51761">
        <w:rPr>
          <w:color w:val="000000" w:themeColor="text1"/>
        </w:rPr>
        <w:t>.</w:t>
      </w:r>
      <w:r w:rsidR="006E023C" w:rsidRPr="00B51761">
        <w:rPr>
          <w:color w:val="000000" w:themeColor="text1"/>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17CD566C" w14:textId="176E2274"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(2021) in an analytical inversion of </w:t>
      </w:r>
      <w:r w:rsidR="00C5624D" w:rsidRPr="00B51761">
        <w:rPr>
          <w:color w:val="000000" w:themeColor="text1"/>
        </w:rPr>
        <w:t xml:space="preserve">2019 </w:t>
      </w:r>
      <w:r w:rsidRPr="00B51761">
        <w:rPr>
          <w:color w:val="000000" w:themeColor="text1"/>
        </w:rPr>
        <w:t xml:space="preserve">TROPOMI observations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to 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We compare our results to the most recent version of the GHGI (EPA, 2022)</w:t>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r w:rsidR="001C56F8">
        <w:rPr>
          <w:color w:val="000000" w:themeColor="text1"/>
        </w:rPr>
        <w:t xml:space="preserve">the </w:t>
      </w:r>
      <w:commentRangeStart w:id="0"/>
      <w:r w:rsidR="001C56F8">
        <w:rPr>
          <w:color w:val="000000" w:themeColor="text1"/>
        </w:rPr>
        <w:t xml:space="preserve">first </w:t>
      </w:r>
      <w:commentRangeEnd w:id="0"/>
      <w:r w:rsidR="009923C3">
        <w:rPr>
          <w:rStyle w:val="CommentReference"/>
        </w:rPr>
        <w:commentReference w:id="0"/>
      </w:r>
      <w:r w:rsidR="001C56F8">
        <w:rPr>
          <w:color w:val="000000" w:themeColor="text1"/>
        </w:rPr>
        <w:t xml:space="preserve">time </w:t>
      </w:r>
      <w:r w:rsidR="00FA46C4">
        <w:rPr>
          <w:color w:val="000000" w:themeColor="text1"/>
        </w:rPr>
        <w:t>emissions estimates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01ED6D9B"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W) using the GEOS-Chem CTM 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0.25° </w:t>
      </w:r>
      <w:r w:rsidR="006E023C" w:rsidRPr="00B51761">
        <w:rPr>
          <w:color w:val="000000" w:themeColor="text1"/>
        </w:rPr>
        <w:t>×</w:t>
      </w:r>
      <w:r w:rsidR="000C7673" w:rsidRPr="00B51761">
        <w:rPr>
          <w:color w:val="000000" w:themeColor="text1"/>
        </w:rPr>
        <w:t xml:space="preserve"> 0.3125° spatial resolution. </w:t>
      </w:r>
      <w:r w:rsidR="002E36D8" w:rsidRPr="00B51761">
        <w:rPr>
          <w:color w:val="000000" w:themeColor="text1"/>
        </w:rPr>
        <w:t xml:space="preserve">This </w:t>
      </w:r>
      <w:r w:rsidR="00781238" w:rsidRPr="00B51761">
        <w:rPr>
          <w:color w:val="000000" w:themeColor="text1"/>
        </w:rPr>
        <w:t xml:space="preserve">corresponds to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corresponding to each of the four cardinal directions (north, south, east, and west) for the nested GEOS-Chem simulation.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3617EC08" w:rsidR="00F215E4" w:rsidRPr="00C01462" w:rsidRDefault="002E36D8">
      <w:pPr>
        <w:rPr>
          <w:rFonts w:eastAsiaTheme="minorEastAsia"/>
        </w:rPr>
      </w:pPr>
      <w:r>
        <w:lastRenderedPageBreak/>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A349EF" w:rsidRPr="00C01462">
        <w:t xml:space="preserve">assuming normal errors </w:t>
      </w:r>
      <w:r w:rsidR="008302D7" w:rsidRPr="00C01462">
        <w:t>by minimizing a Bayesian cost function</w:t>
      </w:r>
      <w:r>
        <w:t xml:space="preserve"> regularized by the prior emissions estimate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35F190DE"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 xml:space="preserve">generate an inversion ensemble using a range of prior errors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(section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sidR="0038092C">
        <w:rPr>
          <w:rFonts w:eastAsiaTheme="minorEastAsia"/>
          <w:bCs/>
          <w:iCs/>
        </w:rPr>
        <w:t xml:space="preserve"> </w:t>
      </w:r>
      <w:r>
        <w:rPr>
          <w:rFonts w:eastAsiaTheme="minorEastAsia"/>
          <w:bCs/>
          <w:iCs/>
        </w:rPr>
        <w:t xml:space="preserve">(Rodgers, 2000). To construct </w:t>
      </w:r>
      <w:r w:rsidR="00B22D3B">
        <w:rPr>
          <w:rFonts w:eastAsiaTheme="minorEastAsia"/>
          <w:bCs/>
          <w:iCs/>
        </w:rPr>
        <w:t>a rank</w:t>
      </w:r>
      <w:r w:rsidR="00514AA0">
        <w:rPr>
          <w:rFonts w:eastAsiaTheme="minorEastAsia"/>
          <w:bCs/>
          <w:iCs/>
        </w:rPr>
        <w:t xml:space="preserve"> </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at reduced computational cost</w:t>
      </w:r>
      <w:r w:rsidRPr="00E547A6">
        <w:rPr>
          <w:color w:val="000000" w:themeColor="text1"/>
        </w:rPr>
        <w:t>,</w:t>
      </w:r>
      <w:r w:rsidRPr="00E547A6">
        <w:rPr>
          <w:rFonts w:eastAsiaTheme="minorEastAsia"/>
          <w:bCs/>
          <w:iCs/>
          <w:color w:val="000000" w:themeColor="text1"/>
        </w:rPr>
        <w:t xml:space="preserve"> we perturb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proofErr w:type="spellStart"/>
      <w:r>
        <w:rPr>
          <w:rFonts w:eastAsiaTheme="minorEastAsia"/>
          <w:bCs/>
          <w:iCs/>
        </w:rPr>
        <w:t>the</w:t>
      </w:r>
      <w:proofErr w:type="spellEnd"/>
      <w:r>
        <w:rPr>
          <w:rFonts w:eastAsiaTheme="minorEastAsia"/>
          <w:bCs/>
          <w:iCs/>
        </w:rPr>
        <w:t xml:space="preserve"> information content of the TROPOMI observations as described in section 2.6. </w:t>
      </w:r>
    </w:p>
    <w:p w14:paraId="4295FF79" w14:textId="77777777" w:rsidR="00676233" w:rsidRDefault="00676233" w:rsidP="00914133"/>
    <w:p w14:paraId="7C174F36" w14:textId="4A8C7CFF" w:rsidR="0038092C" w:rsidRPr="00B51761" w:rsidRDefault="005178BE" w:rsidP="0038092C">
      <w:pPr>
        <w:rPr>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r w:rsidR="002E36D8">
        <w:rPr>
          <w:rFonts w:eastAsiaTheme="minorEastAsia"/>
          <w:bCs/>
        </w:rPr>
        <w:t xml:space="preserve">following Rodgers (2000)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commentRangeStart w:id="1"/>
      <w:r w:rsidR="000D1015">
        <w:t>a</w:t>
      </w:r>
      <w:r w:rsidR="00B22D3B">
        <w:t xml:space="preserve">n </w:t>
      </w:r>
      <m:oMath>
        <m:r>
          <w:rPr>
            <w:rFonts w:ascii="Cambria Math" w:hAnsi="Cambria Math"/>
          </w:rPr>
          <m:t>n×n</m:t>
        </m:r>
      </m:oMath>
      <w:r w:rsidR="002E36D8">
        <w:t xml:space="preserve"> </w:t>
      </w:r>
      <w:r w:rsidR="00B22D3B">
        <w:t xml:space="preserve">matrix that is a function of </w:t>
      </w:r>
      <m:oMath>
        <m:r>
          <m:rPr>
            <m:sty m:val="b"/>
          </m:rPr>
          <w:rPr>
            <w:rFonts w:ascii="Cambria Math" w:hAnsi="Cambria Math"/>
          </w:rPr>
          <m:t>K</m:t>
        </m:r>
        <w:commentRangeEnd w:id="1"/>
        <m:r>
          <m:rPr>
            <m:sty m:val="p"/>
          </m:rPr>
          <w:rPr>
            <w:rStyle w:val="CommentReference"/>
          </w:rPr>
          <w:commentReference w:id="1"/>
        </m:r>
      </m:oMath>
      <w:r w:rsidR="00B22D3B">
        <w:t>,</w:t>
      </w:r>
      <w:r w:rsidR="002E36D8">
        <w:t xml:space="preserve"> prod</w:t>
      </w:r>
      <w:r w:rsidR="00EA27F1">
        <w:t>ucing</w:t>
      </w:r>
      <w:r w:rsidR="003324A5">
        <w:rPr>
          <w:bCs/>
        </w:rPr>
        <w:t xml:space="preserve"> numerical instabilities</w:t>
      </w:r>
      <w:r w:rsidR="00B22D3B">
        <w:rPr>
          <w:bCs/>
        </w:rPr>
        <w:t xml:space="preserve"> due to the rank reduction</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2E36D8">
        <w:rPr>
          <w:rFonts w:eastAsiaTheme="minorEastAsia"/>
          <w:bCs/>
        </w:rPr>
        <w:t xml:space="preserve"> (2018)</w:t>
      </w:r>
      <w:r w:rsidR="00914133" w:rsidRPr="00C01462">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p>
    <w:p w14:paraId="00C60591" w14:textId="77777777" w:rsidR="00914133" w:rsidRPr="00C01462" w:rsidRDefault="00914133" w:rsidP="00914133">
      <w:pPr>
        <w:rPr>
          <w:rFonts w:eastAsiaTheme="minorEastAsia"/>
          <w:bCs/>
        </w:rPr>
      </w:pPr>
    </w:p>
    <w:p w14:paraId="47D0381C" w14:textId="7777777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2F2BCCE7"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which w</w:t>
      </w:r>
      <w:r w:rsidR="004D2E2D" w:rsidRPr="00C01462">
        <w:t>e</w:t>
      </w:r>
      <w:r w:rsidR="00B11954">
        <w:t xml:space="preserve"> address</w:t>
      </w:r>
      <w:r w:rsidR="004D2E2D" w:rsidRPr="00C01462">
        <w:t xml:space="preserve"> </w:t>
      </w:r>
      <w:r w:rsidR="00B11954">
        <w:t>with</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B11954">
        <w:rPr>
          <w:rFonts w:eastAsiaTheme="minorEastAsia"/>
        </w:rPr>
        <w:t>(</w:t>
      </w:r>
      <w:proofErr w:type="spellStart"/>
      <w:r w:rsidR="00B11954">
        <w:rPr>
          <w:rFonts w:eastAsiaTheme="minorEastAsia"/>
        </w:rPr>
        <w:t>Bousserez</w:t>
      </w:r>
      <w:proofErr w:type="spellEnd"/>
      <w:r w:rsidR="00B11954">
        <w:rPr>
          <w:rFonts w:eastAsiaTheme="minorEastAsia"/>
        </w:rPr>
        <w:t xml:space="preserve"> and </w:t>
      </w:r>
      <w:proofErr w:type="spellStart"/>
      <w:r w:rsidR="00B11954">
        <w:rPr>
          <w:rFonts w:eastAsiaTheme="minorEastAsia"/>
        </w:rPr>
        <w:t>Henze</w:t>
      </w:r>
      <w:proofErr w:type="spellEnd"/>
      <w:r w:rsidR="000545CE">
        <w:rPr>
          <w:rFonts w:eastAsiaTheme="minorEastAsia"/>
        </w:rPr>
        <w:t>,</w:t>
      </w:r>
      <w:r w:rsidR="00B11954">
        <w:rPr>
          <w:rFonts w:eastAsiaTheme="minorEastAsia"/>
        </w:rPr>
        <w:t xml:space="preserve"> 2018)</w:t>
      </w:r>
      <w:r w:rsidR="0016623C">
        <w:t>:</w:t>
      </w:r>
    </w:p>
    <w:p w14:paraId="1B6C4884" w14:textId="77777777" w:rsidR="00914133" w:rsidRPr="00C01462" w:rsidRDefault="00914133" w:rsidP="00914133">
      <w:pPr>
        <w:rPr>
          <w:rFonts w:eastAsiaTheme="minorEastAsia"/>
          <w:bCs/>
          <w:iCs/>
        </w:rPr>
      </w:pPr>
    </w:p>
    <w:p w14:paraId="2426C320" w14:textId="5A2110A7"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4B0EC1A3"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 xml:space="preserve">matrices for an inversion solved </w:t>
      </w:r>
      <w:r w:rsidR="00B22D3B">
        <w:t xml:space="preserve">with a reduced-rank </w:t>
      </w:r>
      <w:r w:rsidR="000D1015">
        <w:t>forward model</w:t>
      </w:r>
      <w:r w:rsidR="00B22D3B" w:rsidRPr="00C01462">
        <w:t xml:space="preserve">. We </w:t>
      </w:r>
      <w:r w:rsidRPr="00C01462">
        <w:t xml:space="preserve">choose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w:t>
      </w:r>
      <w:r w:rsidR="000D1015">
        <w:t xml:space="preserve"> (section 2.8)</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 and their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 </w:t>
      </w:r>
      <w:r w:rsidR="00EA27F1" w:rsidRPr="00C01462">
        <w:rPr>
          <w:rFonts w:eastAsiaTheme="minorEastAsia"/>
        </w:rPr>
        <w:lastRenderedPageBreak/>
        <w:t>(DOFS)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system</w:t>
      </w:r>
      <w:r w:rsidR="00EA27F1" w:rsidRPr="00C01462">
        <w:rPr>
          <w:rFonts w:eastAsiaTheme="minorEastAsia"/>
          <w:bCs/>
        </w:rPr>
        <w:t xml:space="preserve"> </w:t>
      </w:r>
      <w:r w:rsidR="00EA27F1" w:rsidRPr="00C01462">
        <w:rPr>
          <w:rFonts w:eastAsiaTheme="minorEastAsia"/>
          <w:bCs/>
        </w:rPr>
        <w:fldChar w:fldCharType="begin"/>
      </w:r>
      <w:r w:rsidR="00EA27F1"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C01462">
        <w:rPr>
          <w:rFonts w:eastAsiaTheme="minorEastAsia"/>
          <w:bCs/>
        </w:rPr>
        <w:fldChar w:fldCharType="separate"/>
      </w:r>
      <w:r w:rsidR="00EA27F1" w:rsidRPr="00C01462">
        <w:rPr>
          <w:rFonts w:eastAsiaTheme="minorEastAsia"/>
          <w:bCs/>
          <w:noProof/>
        </w:rPr>
        <w:t>(Rodgers, 2000</w:t>
      </w:r>
      <w:r w:rsidR="000545CE">
        <w:rPr>
          <w:rFonts w:eastAsiaTheme="minorEastAsia"/>
          <w:bCs/>
          <w:noProof/>
        </w:rPr>
        <w:t>; Bousserez and Henze, 2018</w:t>
      </w:r>
      <w:r w:rsidR="00EA27F1" w:rsidRPr="00C01462">
        <w:rPr>
          <w:rFonts w:eastAsiaTheme="minorEastAsia"/>
          <w:bCs/>
          <w:noProof/>
        </w:rPr>
        <w:t>)</w:t>
      </w:r>
      <w:r w:rsidR="00EA27F1" w:rsidRPr="00C01462">
        <w:rPr>
          <w:rFonts w:eastAsiaTheme="minorEastAsia"/>
          <w:bCs/>
        </w:rPr>
        <w:fldChar w:fldCharType="end"/>
      </w:r>
      <w:r w:rsidR="00EA27F1" w:rsidRPr="00C01462">
        <w:rPr>
          <w:rFonts w:eastAsiaTheme="minorEastAsia"/>
          <w:bCs/>
        </w:rPr>
        <w:t>.</w:t>
      </w:r>
      <w:r w:rsidR="00EA27F1" w:rsidRPr="00C01462">
        <w:t xml:space="preserve"> </w:t>
      </w:r>
      <w:r w:rsidR="00B22D3B">
        <w:t>The</w:t>
      </w:r>
      <w:r w:rsidR="004D2E2D">
        <w:t xml:space="preserve"> 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372C77">
        <w:t xml:space="preserve"> (Nesser et al., 2021)</w:t>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3E36D3E3"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for 2012 (</w:t>
      </w:r>
      <w:proofErr w:type="spellStart"/>
      <w:r w:rsidRPr="00C01462">
        <w:t>Maasakkers</w:t>
      </w:r>
      <w:proofErr w:type="spellEnd"/>
      <w:r w:rsidRPr="00C01462">
        <w:t xml:space="preserve"> et al., 2016), the INECC </w:t>
      </w:r>
      <w:r w:rsidR="00CC7F7C" w:rsidRPr="00C01462">
        <w:t xml:space="preserve">inventory </w:t>
      </w:r>
      <w:r w:rsidRPr="00C01462">
        <w:t xml:space="preserve">for </w:t>
      </w:r>
      <w:r w:rsidR="007B140B">
        <w:t xml:space="preserve">Mexico for </w:t>
      </w:r>
      <w:r w:rsidRPr="00C01462">
        <w:t>20</w:t>
      </w:r>
      <w:r w:rsidR="00CC7F7C" w:rsidRPr="00C01462">
        <w:t>15</w:t>
      </w:r>
      <w:r w:rsidRPr="00C01462">
        <w:t xml:space="preserve"> (</w:t>
      </w:r>
      <w:proofErr w:type="spellStart"/>
      <w:r w:rsidRPr="00C01462">
        <w:t>Scarpelli</w:t>
      </w:r>
      <w:proofErr w:type="spellEnd"/>
      <w:r w:rsidRPr="00C01462">
        <w:t xml:space="preserve"> et al.</w:t>
      </w:r>
      <w:r w:rsidR="00CC7F7C" w:rsidRPr="00C01462">
        <w:t>, 2020</w:t>
      </w:r>
      <w:r w:rsidRPr="00C01462">
        <w:t xml:space="preserve">), and the ECCC </w:t>
      </w:r>
      <w:r w:rsidR="007B140B">
        <w:t>inventory for Canada for</w:t>
      </w:r>
      <w:r w:rsidRPr="00C01462">
        <w:t xml:space="preserve"> 20</w:t>
      </w:r>
      <w:r w:rsidR="00CC7F7C" w:rsidRPr="00C01462">
        <w:t>18</w:t>
      </w:r>
      <w:r w:rsidRPr="00C01462">
        <w:t xml:space="preserve"> (</w:t>
      </w:r>
      <w:proofErr w:type="spellStart"/>
      <w:r w:rsidRPr="00C01462">
        <w:t>Scarpelli</w:t>
      </w:r>
      <w:proofErr w:type="spellEnd"/>
      <w:r w:rsidRPr="00C01462">
        <w:t xml:space="preserve"> et al.</w:t>
      </w:r>
      <w:r w:rsidR="00CC7F7C" w:rsidRPr="00C01462">
        <w:t>, 2021</w:t>
      </w:r>
      <w:r w:rsidRPr="00C01462">
        <w:t xml:space="preserve">). </w:t>
      </w:r>
      <w:r w:rsidR="007B140B">
        <w:t>We</w:t>
      </w:r>
      <w:r w:rsidRPr="00C01462">
        <w:t xml:space="preserve"> update </w:t>
      </w:r>
      <w:r w:rsidR="00372C77">
        <w:t xml:space="preserve">GHGI </w:t>
      </w:r>
      <w:r w:rsidR="007B140B">
        <w:t xml:space="preserve">oil and gas emissions to 2018 following </w:t>
      </w:r>
      <w:r w:rsidR="006E601D">
        <w:t xml:space="preserve">Shen et al. </w:t>
      </w:r>
      <w:r w:rsidR="007B140B">
        <w:t>(</w:t>
      </w:r>
      <w:r w:rsidR="006E601D">
        <w:t>2022</w:t>
      </w:r>
      <w:r w:rsidR="00372C77">
        <w:t>) and</w:t>
      </w:r>
      <w:r w:rsidR="007B140B" w:rsidRPr="00C01462">
        <w:t xml:space="preserve"> </w:t>
      </w:r>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 xml:space="preserve">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 xml:space="preserve">are provided by the EDGAR v4.3.2 global emission inventory for 2012.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(2016) and Zhang et al. (2016), respectively.</w:t>
      </w:r>
    </w:p>
    <w:p w14:paraId="3FCE5DFE" w14:textId="77777777" w:rsidR="00E63085" w:rsidRPr="00C01462" w:rsidRDefault="00E63085" w:rsidP="00E63085"/>
    <w:p w14:paraId="200F7012" w14:textId="3C7DB19B" w:rsidR="00C47E95" w:rsidRDefault="00D7558D">
      <w:r>
        <w:t xml:space="preserve">Prior emissions for wetlands are given by </w:t>
      </w:r>
      <w:r w:rsidR="00CC12E6">
        <w:t>the</w:t>
      </w:r>
      <w:r w:rsidR="00E63085" w:rsidRPr="00C01462">
        <w:t xml:space="preserve"> high</w:t>
      </w:r>
      <w:r w:rsidR="0028365E">
        <w:t>-</w:t>
      </w:r>
      <w:r w:rsidR="00E63085" w:rsidRPr="00C01462">
        <w:t xml:space="preserve">performance </w:t>
      </w:r>
      <w:r w:rsidR="00CC12E6">
        <w:t xml:space="preserve">subset of 9 members of the </w:t>
      </w:r>
      <w:proofErr w:type="spellStart"/>
      <w:r w:rsidR="00E63085" w:rsidRPr="00C01462">
        <w:t>W</w:t>
      </w:r>
      <w:r w:rsidR="0019599B" w:rsidRPr="00C01462">
        <w:t>et</w:t>
      </w:r>
      <w:r w:rsidR="00E63085" w:rsidRPr="00C01462">
        <w:t>C</w:t>
      </w:r>
      <w:r w:rsidR="0019599B" w:rsidRPr="00C01462">
        <w:t>HART</w:t>
      </w:r>
      <w:r w:rsidR="00E63085" w:rsidRPr="00C01462">
        <w:t>s</w:t>
      </w:r>
      <w:proofErr w:type="spellEnd"/>
      <w:r w:rsidR="00E63085" w:rsidRPr="00C01462">
        <w:t xml:space="preserve"> ensemble version 1.3.</w:t>
      </w:r>
      <w:r w:rsidR="0028365E">
        <w:t>1</w:t>
      </w:r>
      <w:r w:rsidR="00CC12E6">
        <w:t xml:space="preserve"> that </w:t>
      </w:r>
      <w:r w:rsidR="0028365E">
        <w:t xml:space="preserve">best </w:t>
      </w:r>
      <w:r w:rsidR="00CC12E6">
        <w:t>match global</w:t>
      </w:r>
      <w:r w:rsidR="0028365E">
        <w:t xml:space="preserve"> GOSAT </w:t>
      </w:r>
      <w:r w:rsidR="00CC12E6">
        <w:t xml:space="preserve">inversion results </w:t>
      </w:r>
      <w:r w:rsidR="0028365E" w:rsidRPr="00C01462">
        <w:t>(Ma et al. 2021)</w:t>
      </w:r>
      <w:r w:rsidR="00E63085" w:rsidRPr="00C01462">
        <w:t xml:space="preserve">. </w:t>
      </w:r>
      <w:r w:rsidR="0028365E">
        <w:t>Lu et al. (2022)</w:t>
      </w:r>
      <w:r w:rsidR="001B317B" w:rsidRPr="00C01462">
        <w:t xml:space="preserve"> found </w:t>
      </w:r>
      <w:r w:rsidR="00CC12E6">
        <w:t xml:space="preserve">in an inversion of GOSAT data over North America that the high-performance subset </w:t>
      </w:r>
      <w:r w:rsidR="001B317B" w:rsidRPr="00C01462">
        <w:t>overestimate</w:t>
      </w:r>
      <w:r w:rsidR="00CC12E6">
        <w:t>d</w:t>
      </w:r>
      <w:r w:rsidR="001B317B" w:rsidRPr="00C01462">
        <w:t xml:space="preserve"> wetland methane emissions, particularly </w:t>
      </w:r>
      <w:r w:rsidR="00CC12E6">
        <w:t>at high latitudes</w:t>
      </w:r>
      <w:r w:rsidR="001B317B" w:rsidRPr="00C01462">
        <w:t xml:space="preserve">. </w:t>
      </w:r>
      <w:r w:rsidR="00CC12E6">
        <w:t>We</w:t>
      </w:r>
      <w:r w:rsidR="00CC12E6" w:rsidRPr="00C01462">
        <w:t xml:space="preserve"> </w:t>
      </w:r>
      <w:r w:rsidR="00A440C1" w:rsidRPr="00C01462">
        <w:t>remove</w:t>
      </w:r>
      <w:r w:rsidR="0028365E">
        <w:t xml:space="preserve"> from the ensemble</w:t>
      </w:r>
      <w:r w:rsidR="00A440C1" w:rsidRPr="00C01462">
        <w:t xml:space="preserve"> </w:t>
      </w:r>
      <w:r w:rsidR="00CC12E6">
        <w:t xml:space="preserve">the </w:t>
      </w:r>
      <w:r w:rsidR="00733119" w:rsidRPr="00C01462">
        <w:t>two members</w:t>
      </w:r>
      <w:r>
        <w:t xml:space="preserve"> (</w:t>
      </w:r>
      <w:r w:rsidR="007B140B">
        <w:t>models 1923 and 2913)</w:t>
      </w:r>
      <w:r w:rsidR="00733119" w:rsidRPr="00C01462">
        <w:t xml:space="preserve"> </w:t>
      </w:r>
      <w:r w:rsidR="003B15AB" w:rsidRPr="00C01462">
        <w:t xml:space="preserve">that </w:t>
      </w:r>
      <w:r w:rsidR="00CC12E6">
        <w:t>are most responsible for this overestimate</w:t>
      </w:r>
      <w:r w:rsidR="0028365E">
        <w:t>.</w:t>
      </w:r>
      <w:r w:rsidR="00733119" w:rsidRPr="00C01462">
        <w:t xml:space="preserve"> </w:t>
      </w:r>
      <w:r w:rsidR="00E63085" w:rsidRPr="00C01462">
        <w:t xml:space="preserve">Other natural methane emission sources </w:t>
      </w:r>
      <w:r w:rsidR="00CC12E6">
        <w:t xml:space="preserve">are minor and </w:t>
      </w:r>
      <w:r w:rsidR="00E63085" w:rsidRPr="00C01462">
        <w:t>include open fires, termites, and geological seep</w:t>
      </w:r>
      <w:r w:rsidR="00486CD4" w:rsidRPr="00C01462">
        <w:t>s</w:t>
      </w:r>
      <w:r w:rsidR="0028365E">
        <w:t>, for which we follow the emissions described in</w:t>
      </w:r>
      <w:r w:rsidR="00486CD4" w:rsidRPr="00C01462">
        <w:t xml:space="preserve"> Lu et al. (2022).</w:t>
      </w:r>
    </w:p>
    <w:p w14:paraId="67BDB6F2" w14:textId="74203FF2" w:rsidR="00E63085" w:rsidRPr="00C01462" w:rsidRDefault="00E63085"/>
    <w:p w14:paraId="066853A8" w14:textId="56ECAAD1" w:rsidR="003D698A" w:rsidRDefault="000D1015">
      <w:r>
        <w:t>We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with no error covariance between grid cells in our inversion ensemble</w:t>
      </w:r>
      <w:r w:rsidR="00C36AAC" w:rsidRPr="00C01462">
        <w:t xml:space="preserve">. </w:t>
      </w:r>
      <w:r w:rsidR="00577811" w:rsidRPr="00C01462">
        <w:t xml:space="preserve">The 50% relative error lower bound follows 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errors up to 100% to account for displacement errors and increased error covariance at high resolution (</w:t>
      </w:r>
      <w:proofErr w:type="spellStart"/>
      <w:r w:rsidR="00577811" w:rsidRPr="00C01462">
        <w:t>Maasakkers</w:t>
      </w:r>
      <w:proofErr w:type="spellEnd"/>
      <w:r w:rsidR="00577811" w:rsidRPr="00C01462">
        <w:t xml:space="preserve"> et al. 2016). </w:t>
      </w:r>
      <w:r>
        <w:t>E</w:t>
      </w:r>
      <w:r w:rsidR="009C59C0" w:rsidRPr="00C01462">
        <w:t>rror</w:t>
      </w:r>
      <w:r>
        <w:t>s</w:t>
      </w:r>
      <w:r w:rsidR="009C59C0" w:rsidRPr="00C01462">
        <w:t xml:space="preserve"> for each ensemble member</w:t>
      </w:r>
      <w:r>
        <w:t xml:space="preserve"> are chosen</w:t>
      </w:r>
      <w:r w:rsidR="009C59C0" w:rsidRPr="00C01462">
        <w:t xml:space="preserve"> as described in section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0B6A88B8"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(2019)</w:t>
      </w:r>
      <w:r w:rsidR="00CC12E6">
        <w:t xml:space="preserve"> but are unimportant in our domain because loss by ventilation is much faster</w:t>
      </w:r>
      <w:r w:rsidRPr="00C01462">
        <w:t xml:space="preserve">. Initial conditions for January </w:t>
      </w:r>
      <w:r w:rsidR="00A60FF9">
        <w:t xml:space="preserve">1, </w:t>
      </w:r>
      <w:proofErr w:type="gramStart"/>
      <w:r w:rsidRPr="00C01462">
        <w:t>2019</w:t>
      </w:r>
      <w:proofErr w:type="gramEnd"/>
      <w:r w:rsidRPr="00C01462">
        <w:t xml:space="preserve">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w:t>
      </w:r>
      <w:r w:rsidR="00FB6690">
        <w:t xml:space="preserve"> </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110BAAF3"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FD3469" w:rsidRPr="00C01462">
        <w:t>(</w:t>
      </w:r>
      <w:proofErr w:type="spellStart"/>
      <w:r w:rsidR="00FD3469" w:rsidRPr="00C01462">
        <w:t>Veefkind</w:t>
      </w:r>
      <w:proofErr w:type="spellEnd"/>
      <w:r w:rsidR="00FD3469" w:rsidRPr="00C01462">
        <w:t xml:space="preserve">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w:t>
      </w:r>
      <w:commentRangeStart w:id="2"/>
      <w:r w:rsidR="00FD3469" w:rsidRPr="00C01462">
        <w:t xml:space="preserve">a xx% retrieval </w:t>
      </w:r>
      <w:r w:rsidR="00F506A9">
        <w:t xml:space="preserve">success </w:t>
      </w:r>
      <w:r w:rsidR="00FD3469" w:rsidRPr="00C01462">
        <w:t xml:space="preserve">rate </w:t>
      </w:r>
      <w:commentRangeEnd w:id="2"/>
      <w:r w:rsidR="00B17806">
        <w:rPr>
          <w:rStyle w:val="CommentReference"/>
        </w:rPr>
        <w:commentReference w:id="2"/>
      </w:r>
      <w:r w:rsidR="00FD3469" w:rsidRPr="00C01462">
        <w:t xml:space="preserve">over North America for 2019.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74AAED04" w:rsidR="00637999" w:rsidRDefault="00D01432">
      <w:r>
        <w:t>Previous analyses of TROPOMI data identified surface artifacts (Barré et al., 2021) and spatially variable biases relative to the more accurate but sparser GOSAT data (Qu et al., 2021; Chen et al., 2023</w:t>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(2011) and suggested for the TROPOMI data by </w:t>
      </w:r>
      <w:proofErr w:type="spellStart"/>
      <w:r w:rsidR="003168EA">
        <w:t>Lorente</w:t>
      </w:r>
      <w:proofErr w:type="spellEnd"/>
      <w:r w:rsidR="003168EA">
        <w:t xml:space="preserve"> et al. (2021).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4C1113E8"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xml:space="preserve">, and Figure S1 shows the improved correlation with seasonal averaged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GEOS-Chem – TROPOMI bias of </w:t>
      </w:r>
      <m:oMath>
        <m:r>
          <m:rPr>
            <m:sty m:val="p"/>
          </m:rPr>
          <w:rPr>
            <w:rFonts w:ascii="Cambria Math" w:hAnsi="Cambria Math"/>
          </w:rPr>
          <m:t>ξ</m:t>
        </m:r>
      </m:oMath>
      <w:r w:rsidR="003168EA">
        <w:t xml:space="preserve"> = 9.1 ppb over North America. This bias can also 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rPr>
          <w:rFonts w:eastAsiaTheme="minorEastAsia"/>
        </w:rPr>
        <w:t>This bias and its latitudinal structure could be</w:t>
      </w:r>
      <w:r w:rsidR="00E85FF7" w:rsidRPr="00C01462">
        <w:rPr>
          <w:rFonts w:eastAsiaTheme="minorEastAsia"/>
        </w:rPr>
        <w:t xml:space="preserve"> </w:t>
      </w:r>
      <w:r w:rsidR="003168EA">
        <w:rPr>
          <w:rFonts w:eastAsiaTheme="minorEastAsia"/>
        </w:rPr>
        <w:t>caused by</w:t>
      </w:r>
      <w:r w:rsidR="00E85FF7" w:rsidRPr="00C01462">
        <w:rPr>
          <w:rFonts w:eastAsiaTheme="minorEastAsia"/>
        </w:rPr>
        <w:t xml:space="preserve"> errors in the boundary conditions.</w:t>
      </w:r>
      <w:r w:rsidR="000C4634">
        <w:t xml:space="preserve"> </w:t>
      </w:r>
      <w:r w:rsidR="003168EA">
        <w:t xml:space="preserve">We correct it in our inversion ensemble members </w:t>
      </w:r>
      <w:r w:rsidR="0061592A">
        <w:t>by removing either the continental mean bias or a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198DE74E"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the observational error</w:t>
      </w:r>
      <w:r w:rsidR="00372C77">
        <w:rPr>
          <w:rFonts w:eastAsiaTheme="minorEastAsia"/>
          <w:bCs/>
          <w:iCs/>
        </w:rPr>
        <w:t xml:space="preserve"> standard deviation</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observations. We find a mean observational 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w:t>
      </w:r>
      <w:proofErr w:type="spellStart"/>
      <w:r w:rsidR="00944E59" w:rsidRPr="00C01462">
        <w:rPr>
          <w:rFonts w:eastAsiaTheme="minorEastAsia"/>
          <w:bCs/>
          <w:iCs/>
        </w:rPr>
        <w:t>onal</w:t>
      </w:r>
      <w:proofErr w:type="spellEnd"/>
      <w:r w:rsidR="00944E59" w:rsidRPr="00C01462">
        <w:rPr>
          <w:rFonts w:eastAsiaTheme="minorEastAsia"/>
          <w:bCs/>
          <w:iCs/>
        </w:rPr>
        <w:t xml:space="preserve"> terms are </w:t>
      </w:r>
      <w:r w:rsidR="00944E59" w:rsidRPr="00C01462">
        <w:rPr>
          <w:rFonts w:eastAsiaTheme="minorEastAsia"/>
          <w:bCs/>
          <w:iCs/>
        </w:rPr>
        <w:lastRenderedPageBreak/>
        <w:t>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r w:rsidR="00BB7178">
        <w:rPr>
          <w:rFonts w:eastAsiaTheme="minorEastAsia"/>
          <w:bCs/>
          <w:iCs/>
        </w:rPr>
        <w:t>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697CA18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 xml:space="preserve">construct the Jacobian matrix at substantially decreased computational cost using the reduced-rank method introduced by Nesser et al. (2021),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This method updates an initial, low-cost estimate of the Jacobian matrix by perturbing the patterns that best explain the 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795C488F"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1FB63179"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(2021)</w:t>
      </w:r>
      <w:r w:rsidR="007879BA">
        <w:rPr>
          <w:rFonts w:eastAsiaTheme="minorEastAsia"/>
          <w:iCs/>
        </w:rPr>
        <w:t xml:space="preserve"> is 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26AA8">
        <w:rPr>
          <w:rFonts w:eastAsiaTheme="minorEastAsia"/>
        </w:rPr>
        <w:t xml:space="preserve">, </w:t>
      </w:r>
      <w:commentRangeStart w:id="3"/>
      <w:commentRangeStart w:id="4"/>
      <w:r w:rsidR="00826AA8">
        <w:rPr>
          <w:rFonts w:eastAsiaTheme="minorEastAsia"/>
        </w:rPr>
        <w:t xml:space="preserve">36 is the sum of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826AA8">
        <w:rPr>
          <w:rFonts w:eastAsiaTheme="minorEastAsia"/>
        </w:rPr>
        <w:t xml:space="preserve"> values</w:t>
      </w:r>
      <w:commentRangeEnd w:id="3"/>
      <w:r w:rsidR="00826AA8">
        <w:rPr>
          <w:rStyle w:val="CommentReference"/>
        </w:rPr>
        <w:commentReference w:id="3"/>
      </w:r>
      <w:commentRangeEnd w:id="4"/>
      <w:r w:rsidR="00385BB6">
        <w:rPr>
          <w:rStyle w:val="CommentReference"/>
        </w:rPr>
        <w:commentReference w:id="4"/>
      </w:r>
      <w:r w:rsidR="00826AA8">
        <w:rPr>
          <w:rFonts w:eastAsiaTheme="minorEastAsia"/>
        </w:rPr>
        <w:t xml:space="preserve">,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p>
    <w:p w14:paraId="3C6568C2" w14:textId="77777777" w:rsidR="006267C3" w:rsidRPr="00C01462" w:rsidRDefault="006267C3" w:rsidP="00E334F2">
      <w:pPr>
        <w:rPr>
          <w:rFonts w:eastAsiaTheme="minorEastAsia"/>
        </w:rPr>
      </w:pPr>
    </w:p>
    <w:p w14:paraId="195987B4" w14:textId="33A49AEA"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complete its eigendecompos</w:t>
      </w:r>
      <w:proofErr w:type="spellStart"/>
      <w:r w:rsidR="0087456C">
        <w:rPr>
          <w:rFonts w:eastAsiaTheme="minorEastAsia"/>
          <w:iCs/>
        </w:rPr>
        <w:t>ition</w:t>
      </w:r>
      <w:proofErr w:type="spellEnd"/>
      <w:r w:rsidR="0087456C">
        <w:rPr>
          <w:rFonts w:eastAsiaTheme="minorEastAsia"/>
          <w:iCs/>
        </w:rPr>
        <w:t>.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(Bousserez and Henze,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w:commentRangeStart w:id="5"/>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w:commentRangeEnd w:id="5"/>
        <m:r>
          <m:rPr>
            <m:sty m:val="p"/>
          </m:rPr>
          <w:rPr>
            <w:rStyle w:val="CommentReference"/>
          </w:rPr>
          <w:commentReference w:id="5"/>
        </m:r>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1BD17CC0" w:rsidR="00B13A3D" w:rsidRPr="00C01462" w:rsidRDefault="0067590A" w:rsidP="00B13A3D">
      <w:r w:rsidRPr="00C01462">
        <w:rPr>
          <w:rFonts w:eastAsiaTheme="minorEastAsia"/>
        </w:rPr>
        <w:lastRenderedPageBreak/>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proofErr w:type="spellStart"/>
      <w:r w:rsidR="004F4DBA">
        <w:rPr>
          <w:rFonts w:eastAsiaTheme="minorEastAsia"/>
        </w:rPr>
        <w:t>Houweling</w:t>
      </w:r>
      <w:proofErr w:type="spellEnd"/>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and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and do not apply a </w:t>
      </w:r>
      <w:r w:rsidR="00B13A3D" w:rsidRPr="00C01462">
        <w:rPr>
          <w:rFonts w:eastAsiaTheme="minorEastAsia"/>
        </w:rPr>
        <w:t xml:space="preserve">latitudinal correction to the </w:t>
      </w:r>
      <w:r w:rsidR="00E01524">
        <w:rPr>
          <w:rFonts w:eastAsiaTheme="minorEastAsia"/>
        </w:rPr>
        <w:t>(</w:t>
      </w:r>
      <w:r w:rsidR="00B13A3D" w:rsidRPr="00C01462">
        <w:rPr>
          <w:rFonts w:eastAsiaTheme="minorEastAsia"/>
        </w:rPr>
        <w:t>model –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commentRangeStart w:id="6"/>
      <w:r w:rsidR="00B13A3D" w:rsidRPr="00C01462">
        <w:rPr>
          <w:rFonts w:eastAsiaTheme="minorEastAsia"/>
        </w:rPr>
        <w:t xml:space="preserve">relative prior error (50%, 75%, or 100%) </w:t>
      </w:r>
      <w:commentRangeEnd w:id="6"/>
      <w:r w:rsidR="00075074">
        <w:rPr>
          <w:rStyle w:val="CommentReference"/>
        </w:rPr>
        <w:commentReference w:id="6"/>
      </w:r>
      <w:r w:rsidR="00B13A3D" w:rsidRPr="00C01462">
        <w:rPr>
          <w:rFonts w:eastAsiaTheme="minorEastAsia"/>
        </w:rPr>
        <w:t>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r w:rsidR="00E01524">
        <w:t xml:space="preserve">as </w:t>
      </w:r>
      <w:r w:rsidR="009F4575">
        <w:t xml:space="preserve">expected from the narrow chi-square distribution </w:t>
      </w:r>
      <w:r w:rsidR="001D4447">
        <w:t>(</w:t>
      </w:r>
      <w:r w:rsidR="00394E99">
        <w:t>Lu et al., 202</w:t>
      </w:r>
      <w:r w:rsidR="009F4575">
        <w:t>1</w:t>
      </w:r>
      <w:r w:rsidR="001D4447">
        <w:t>)</w:t>
      </w:r>
      <w:r w:rsidR="00B13A3D" w:rsidRPr="00C01462">
        <w:t xml:space="preserve">. This yields </w:t>
      </w:r>
      <w:r w:rsidR="009F4575">
        <w:t xml:space="preserve">an ensemble of </w:t>
      </w:r>
      <w:r>
        <w:t>8</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commentRangeStart w:id="7"/>
      <w:r w:rsidR="00B13A3D" w:rsidRPr="00C01462">
        <w:t>.</w:t>
      </w:r>
      <w:commentRangeEnd w:id="7"/>
      <w:r w:rsidR="00DE33B0">
        <w:rPr>
          <w:rStyle w:val="CommentReference"/>
        </w:rPr>
        <w:commentReference w:id="7"/>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 xml:space="preserve">2.8 </w:t>
      </w:r>
      <w:commentRangeStart w:id="8"/>
      <w:r w:rsidRPr="00C01462">
        <w:rPr>
          <w:rFonts w:eastAsiaTheme="minorEastAsia"/>
          <w:b/>
          <w:bCs/>
        </w:rPr>
        <w:t xml:space="preserve">Source </w:t>
      </w:r>
      <w:commentRangeEnd w:id="8"/>
      <w:r w:rsidR="00113ED9">
        <w:rPr>
          <w:rStyle w:val="CommentReference"/>
        </w:rPr>
        <w:commentReference w:id="8"/>
      </w:r>
      <w:r w:rsidRPr="00C01462">
        <w:rPr>
          <w:rFonts w:eastAsiaTheme="minorEastAsia"/>
          <w:b/>
          <w:bCs/>
        </w:rPr>
        <w:t>attribution</w:t>
      </w:r>
    </w:p>
    <w:p w14:paraId="28234323" w14:textId="156393E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r w:rsidR="00A82233">
        <w:rPr>
          <w:rFonts w:eastAsiaTheme="minorEastAsia"/>
        </w:rPr>
        <w:t>s</w:t>
      </w:r>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emissions </w:t>
      </w:r>
      <w:r w:rsidR="00A82233">
        <w:rPr>
          <w:rFonts w:eastAsiaTheme="minorEastAsia"/>
        </w:rPr>
        <w:t xml:space="preserve">and errors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each individual</w:t>
      </w:r>
      <w:r w:rsidR="00A82233" w:rsidRPr="00C01462">
        <w:rPr>
          <w:rFonts w:eastAsiaTheme="minorEastAsia"/>
          <w:iCs/>
        </w:rPr>
        <w:t xml:space="preserve">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emissions estimate.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t>
      </w:r>
      <w:proofErr w:type="gramStart"/>
      <w:r w:rsidR="00113ED9">
        <w:rPr>
          <w:rFonts w:eastAsiaTheme="minorEastAsia"/>
          <w:iCs/>
        </w:rPr>
        <w:t>whether or not</w:t>
      </w:r>
      <w:proofErr w:type="gramEnd"/>
      <w:r w:rsidR="00113ED9">
        <w:rPr>
          <w:rFonts w:eastAsiaTheme="minorEastAsia"/>
          <w:iCs/>
        </w:rPr>
        <w:t xml:space="preserve">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75B70FD9"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2610E6F7"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commentRangeStart w:id="9"/>
      <w:r w:rsidR="0077535A">
        <w:t>scale</w:t>
      </w:r>
      <w:r w:rsidR="0077535A" w:rsidRPr="00C01462">
        <w:t xml:space="preserve"> </w:t>
      </w:r>
      <w:commentRangeEnd w:id="9"/>
      <w:r w:rsidR="0077535A">
        <w:rPr>
          <w:rStyle w:val="CommentReference"/>
        </w:rPr>
        <w:commentReference w:id="9"/>
      </w:r>
      <w:r w:rsidR="00876ADD" w:rsidRPr="00C01462">
        <w:t xml:space="preserve">factors relative to the </w:t>
      </w:r>
      <w:commentRangeStart w:id="10"/>
      <w:commentRangeStart w:id="11"/>
      <w:r w:rsidR="00876ADD" w:rsidRPr="00C01462">
        <w:t>prior emissions estimate</w:t>
      </w:r>
      <w:commentRangeEnd w:id="10"/>
      <w:r w:rsidR="0077535A">
        <w:rPr>
          <w:rStyle w:val="CommentReference"/>
        </w:rPr>
        <w:commentReference w:id="10"/>
      </w:r>
      <w:commentRangeEnd w:id="11"/>
      <w:r w:rsidR="0077535A">
        <w:rPr>
          <w:rStyle w:val="CommentReference"/>
        </w:rPr>
        <w:commentReference w:id="11"/>
      </w:r>
      <w:r w:rsidR="00876ADD" w:rsidRPr="00C01462">
        <w:t xml:space="preserv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Grid cells unoptimized by any 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(2022) found 114 DOFS in a joint inversion of data from GOSAT and NOAA’s </w:t>
      </w:r>
      <w:proofErr w:type="spellStart"/>
      <w:r w:rsidR="005F0A5D" w:rsidRPr="00C01462">
        <w:t>ObsPack</w:t>
      </w:r>
      <w:proofErr w:type="spellEnd"/>
      <w:r w:rsidR="0077535A">
        <w:t xml:space="preserve"> in situ data</w:t>
      </w:r>
      <w:r w:rsidR="005F0A5D" w:rsidRPr="00C01462">
        <w:t xml:space="preserve">, while Shen et al. (2022) found 201 DOFS in an inversion of TROPOMI observations over 14 oil and gas basins. </w:t>
      </w:r>
      <w:commentRangeStart w:id="12"/>
      <w:r w:rsidR="005F0A5D" w:rsidRPr="00C01462">
        <w:t xml:space="preserve">This increase reflects both the improved constraint provided by TROPOMI and </w:t>
      </w:r>
      <w:r w:rsidR="005F0A5D">
        <w:t xml:space="preserve">the benefit of achieving </w:t>
      </w:r>
      <w:r w:rsidR="005F0A5D" w:rsidRPr="00C01462">
        <w:t xml:space="preserve">0.25° </w:t>
      </w:r>
      <w:r w:rsidR="005F0A5D" w:rsidRPr="00E3469C">
        <w:t>×</w:t>
      </w:r>
      <w:r w:rsidR="005F0A5D" w:rsidRPr="00C01462">
        <w:t xml:space="preserve"> 0.3125° resolution </w:t>
      </w:r>
      <w:r w:rsidR="005F0A5D">
        <w:t xml:space="preserve">on the </w:t>
      </w:r>
      <w:r w:rsidR="005F0A5D" w:rsidRPr="00C01462">
        <w:t>continental scale</w:t>
      </w:r>
      <w:commentRangeEnd w:id="12"/>
      <w:r w:rsidR="0077535A">
        <w:rPr>
          <w:rStyle w:val="CommentReference"/>
        </w:rPr>
        <w:commentReference w:id="12"/>
      </w:r>
      <w:r w:rsidR="005F0A5D" w:rsidRPr="00C01462">
        <w:t>.</w:t>
      </w:r>
      <w:r w:rsidR="005F0A5D">
        <w:t xml:space="preserve">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found in Canada, </w:t>
      </w:r>
      <w:r w:rsidR="00392D91" w:rsidRPr="00C01462">
        <w:t>64</w:t>
      </w:r>
      <w:r w:rsidR="00B34787">
        <w:t>1</w:t>
      </w:r>
      <w:r w:rsidR="00392D91" w:rsidRPr="00C01462">
        <w:t xml:space="preserve"> (</w:t>
      </w:r>
      <w:r w:rsidR="00B34787">
        <w:t>350</w:t>
      </w:r>
      <w:r w:rsidR="00392D91" w:rsidRPr="00C01462">
        <w:t xml:space="preserve"> – </w:t>
      </w:r>
      <w:r w:rsidR="00392D91" w:rsidRPr="00C01462">
        <w:lastRenderedPageBreak/>
        <w:t>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where we isolate anthropogenic emissions by removing contributions from wetlands and other natural sources following Section 2.8.</w:t>
      </w:r>
      <w:r w:rsidR="001165E4">
        <w:t xml:space="preserve"> We compare our posterior emissions the most recent EPA GHGI inventory for 2019, which includes emissions estimates for individual states (EPA, 2022).</w:t>
      </w:r>
    </w:p>
    <w:p w14:paraId="55A317F8" w14:textId="77777777" w:rsidR="00F36F91" w:rsidRPr="00C01462" w:rsidRDefault="00F36F91" w:rsidP="00100E70"/>
    <w:p w14:paraId="5D323CF3" w14:textId="4E61044F" w:rsidR="00100E70" w:rsidRPr="0078584E" w:rsidRDefault="008E59AD" w:rsidP="00100E70">
      <w:pPr>
        <w:rPr>
          <w:color w:val="000000" w:themeColor="text1"/>
        </w:rPr>
      </w:pPr>
      <w:r w:rsidRPr="0078584E">
        <w:rPr>
          <w:color w:val="000000" w:themeColor="text1"/>
        </w:rPr>
        <w:t xml:space="preserve">Figure 4 shows simulated observations from GEOS-Chem </w:t>
      </w:r>
      <w:r w:rsidR="00DB786F" w:rsidRPr="0078584E">
        <w:rPr>
          <w:color w:val="000000" w:themeColor="text1"/>
        </w:rPr>
        <w:t>driven by the prior and mean posterior emissions compared to TROPOMI data and</w:t>
      </w:r>
      <w:r w:rsidR="00267EEA" w:rsidRPr="0078584E">
        <w:rPr>
          <w:color w:val="000000" w:themeColor="text1"/>
        </w:rPr>
        <w:t xml:space="preserve"> to</w:t>
      </w:r>
      <w:r w:rsidR="00DB786F" w:rsidRPr="0078584E">
        <w:rPr>
          <w:color w:val="000000" w:themeColor="text1"/>
        </w:rPr>
        <w:t xml:space="preserve"> in situ surface and aircraft observations from the National Oceanic and Atmospheric Administration’s (NOAA) </w:t>
      </w:r>
      <w:proofErr w:type="spellStart"/>
      <w:r w:rsidR="00DB786F" w:rsidRPr="0078584E">
        <w:rPr>
          <w:color w:val="000000" w:themeColor="text1"/>
        </w:rPr>
        <w:t>GLOBALVIEWplus</w:t>
      </w:r>
      <w:proofErr w:type="spellEnd"/>
      <w:r w:rsidR="00DB786F" w:rsidRPr="0078584E">
        <w:rPr>
          <w:color w:val="000000" w:themeColor="text1"/>
        </w:rPr>
        <w:t xml:space="preserve"> CH</w:t>
      </w:r>
      <w:r w:rsidR="00DB786F" w:rsidRPr="0078584E">
        <w:rPr>
          <w:color w:val="000000" w:themeColor="text1"/>
          <w:vertAlign w:val="subscript"/>
        </w:rPr>
        <w:t>4</w:t>
      </w:r>
      <w:r w:rsidRPr="0078584E">
        <w:rPr>
          <w:color w:val="000000" w:themeColor="text1"/>
        </w:rPr>
        <w:t xml:space="preserve"> </w:t>
      </w:r>
      <w:proofErr w:type="spellStart"/>
      <w:r w:rsidR="00DB786F" w:rsidRPr="0078584E">
        <w:rPr>
          <w:color w:val="000000" w:themeColor="text1"/>
        </w:rPr>
        <w:t>ObsPack</w:t>
      </w:r>
      <w:proofErr w:type="spellEnd"/>
      <w:r w:rsidR="00DB786F" w:rsidRPr="0078584E">
        <w:rPr>
          <w:color w:val="000000" w:themeColor="text1"/>
        </w:rPr>
        <w:t xml:space="preserve"> v3.0 database (cite). </w:t>
      </w:r>
      <w:r w:rsidR="00FE2A93" w:rsidRPr="0078584E">
        <w:rPr>
          <w:color w:val="000000" w:themeColor="text1"/>
        </w:rPr>
        <w:t>We follow Lu et al. (2021) and use only daytime average observations with outliers excluded for</w:t>
      </w:r>
      <w:r w:rsidR="00267EEA" w:rsidRPr="0078584E">
        <w:rPr>
          <w:color w:val="000000" w:themeColor="text1"/>
        </w:rPr>
        <w:t xml:space="preserve"> </w:t>
      </w:r>
      <w:proofErr w:type="spellStart"/>
      <w:r w:rsidR="00267EEA" w:rsidRPr="0078584E">
        <w:rPr>
          <w:color w:val="000000" w:themeColor="text1"/>
        </w:rPr>
        <w:t>ObsPack</w:t>
      </w:r>
      <w:proofErr w:type="spellEnd"/>
      <w:r w:rsidR="00FE2A93" w:rsidRPr="0078584E">
        <w:rPr>
          <w:color w:val="000000" w:themeColor="text1"/>
        </w:rPr>
        <w:t xml:space="preserve"> surface and tower observation</w:t>
      </w:r>
      <w:r w:rsidR="00913042" w:rsidRPr="0078584E">
        <w:rPr>
          <w:color w:val="000000" w:themeColor="text1"/>
        </w:rPr>
        <w:t xml:space="preserve">s. </w:t>
      </w:r>
      <w:r w:rsidR="00C22BF6" w:rsidRPr="0078584E">
        <w:rPr>
          <w:color w:val="000000" w:themeColor="text1"/>
        </w:rPr>
        <w:t>The</w:t>
      </w:r>
      <w:r w:rsidR="00100E70" w:rsidRPr="0078584E">
        <w:rPr>
          <w:color w:val="000000" w:themeColor="text1"/>
        </w:rPr>
        <w:t xml:space="preserve"> posterior GEOS-Chem</w:t>
      </w:r>
      <w:r w:rsidR="00DB786F" w:rsidRPr="0078584E">
        <w:rPr>
          <w:color w:val="000000" w:themeColor="text1"/>
        </w:rPr>
        <w:t xml:space="preserve"> simulation</w:t>
      </w:r>
      <w:r w:rsidR="00100E70" w:rsidRPr="0078584E">
        <w:rPr>
          <w:color w:val="000000" w:themeColor="text1"/>
        </w:rPr>
        <w:t xml:space="preserve"> </w:t>
      </w:r>
      <w:r w:rsidR="00C22BF6" w:rsidRPr="0078584E">
        <w:rPr>
          <w:color w:val="000000" w:themeColor="text1"/>
        </w:rPr>
        <w:t>decreases the root mean squared error</w:t>
      </w:r>
      <w:r w:rsidR="00913042" w:rsidRPr="0078584E">
        <w:rPr>
          <w:color w:val="000000" w:themeColor="text1"/>
        </w:rPr>
        <w:t xml:space="preserve"> (RMSE)</w:t>
      </w:r>
      <w:r w:rsidR="00C22BF6" w:rsidRPr="0078584E">
        <w:rPr>
          <w:color w:val="000000" w:themeColor="text1"/>
        </w:rPr>
        <w:t xml:space="preserve"> of the simulated observations with the TROPOMI data relative to the prior simulation</w:t>
      </w:r>
      <w:r w:rsidR="00913042" w:rsidRPr="0078584E">
        <w:rPr>
          <w:color w:val="000000" w:themeColor="text1"/>
        </w:rPr>
        <w:t xml:space="preserve"> by 5% </w:t>
      </w:r>
      <w:r w:rsidR="00B11BE5" w:rsidRPr="0078584E">
        <w:rPr>
          <w:color w:val="000000" w:themeColor="text1"/>
        </w:rPr>
        <w:t xml:space="preserve">(from 15.8 ppb to 15.0 ppb) </w:t>
      </w:r>
      <w:r w:rsidR="00913042" w:rsidRPr="0078584E">
        <w:rPr>
          <w:color w:val="000000" w:themeColor="text1"/>
        </w:rPr>
        <w:t>and the mean bias by 9%</w:t>
      </w:r>
      <w:r w:rsidR="00B11BE5" w:rsidRPr="0078584E">
        <w:rPr>
          <w:color w:val="000000" w:themeColor="text1"/>
        </w:rPr>
        <w:t xml:space="preserve"> (from 9.1 ppb to 8.3 ppb)</w:t>
      </w:r>
      <w:r w:rsidR="00913042" w:rsidRPr="0078584E">
        <w:rPr>
          <w:color w:val="000000" w:themeColor="text1"/>
        </w:rPr>
        <w:t>.</w:t>
      </w:r>
      <w:r w:rsidR="00DB786F" w:rsidRPr="0078584E">
        <w:rPr>
          <w:color w:val="000000" w:themeColor="text1"/>
        </w:rPr>
        <w:t xml:space="preserve"> </w:t>
      </w:r>
      <w:r w:rsidR="00B11BE5" w:rsidRPr="0078584E">
        <w:rPr>
          <w:color w:val="000000" w:themeColor="text1"/>
        </w:rPr>
        <w:t xml:space="preserve">Both simulations produce similar Pearson correlation coefficients. When compared to </w:t>
      </w:r>
      <w:proofErr w:type="spellStart"/>
      <w:r w:rsidR="00B11BE5" w:rsidRPr="0078584E">
        <w:rPr>
          <w:color w:val="000000" w:themeColor="text1"/>
        </w:rPr>
        <w:t>ObsPack</w:t>
      </w:r>
      <w:proofErr w:type="spellEnd"/>
      <w:r w:rsidR="00B11BE5" w:rsidRPr="0078584E">
        <w:rPr>
          <w:color w:val="000000" w:themeColor="text1"/>
        </w:rPr>
        <w:t xml:space="preserve"> data, b</w:t>
      </w:r>
      <w:r w:rsidR="00DB786F" w:rsidRPr="0078584E">
        <w:rPr>
          <w:color w:val="000000" w:themeColor="text1"/>
        </w:rPr>
        <w:t xml:space="preserve">oth simulations </w:t>
      </w:r>
      <w:r w:rsidR="00913042" w:rsidRPr="0078584E">
        <w:rPr>
          <w:color w:val="000000" w:themeColor="text1"/>
        </w:rPr>
        <w:t>yield</w:t>
      </w:r>
      <w:r w:rsidR="00FE2A93" w:rsidRPr="0078584E">
        <w:rPr>
          <w:color w:val="000000" w:themeColor="text1"/>
        </w:rPr>
        <w:t xml:space="preserve"> </w:t>
      </w:r>
      <w:r w:rsidR="00913042" w:rsidRPr="0078584E">
        <w:rPr>
          <w:color w:val="000000" w:themeColor="text1"/>
        </w:rPr>
        <w:t>similar</w:t>
      </w:r>
      <w:r w:rsidR="00FE2A93" w:rsidRPr="0078584E">
        <w:rPr>
          <w:color w:val="000000" w:themeColor="text1"/>
        </w:rPr>
        <w:t xml:space="preserve"> </w:t>
      </w:r>
      <w:r w:rsidR="00913042" w:rsidRPr="0078584E">
        <w:rPr>
          <w:color w:val="000000" w:themeColor="text1"/>
        </w:rPr>
        <w:t xml:space="preserve">RMSE, mean bias, </w:t>
      </w:r>
      <w:r w:rsidR="00B11BE5" w:rsidRPr="0078584E">
        <w:rPr>
          <w:color w:val="000000" w:themeColor="text1"/>
        </w:rPr>
        <w:t>and R</w:t>
      </w:r>
      <w:r w:rsidR="00B11BE5" w:rsidRPr="0078584E">
        <w:rPr>
          <w:color w:val="000000" w:themeColor="text1"/>
          <w:vertAlign w:val="superscript"/>
        </w:rPr>
        <w:t>2</w:t>
      </w:r>
      <w:r w:rsidR="00B11BE5" w:rsidRPr="0078584E">
        <w:rPr>
          <w:color w:val="000000" w:themeColor="text1"/>
        </w:rPr>
        <w:t xml:space="preserve">, while </w:t>
      </w:r>
      <w:r w:rsidR="00913042" w:rsidRPr="0078584E">
        <w:rPr>
          <w:color w:val="000000" w:themeColor="text1"/>
        </w:rPr>
        <w:t>the posterior simulation improves the reduced major axis regression (RMA) intercept by 4% and the slope by 3%</w:t>
      </w:r>
      <w:r w:rsidR="00FE2A93" w:rsidRPr="0078584E">
        <w:rPr>
          <w:color w:val="000000" w:themeColor="text1"/>
        </w:rPr>
        <w:t>. The broad agreement of both simulations with observations reflects the high quality of the prior emissions estimate in North America (</w:t>
      </w:r>
      <w:proofErr w:type="spellStart"/>
      <w:r w:rsidR="00FE2A93" w:rsidRPr="0078584E">
        <w:rPr>
          <w:color w:val="000000" w:themeColor="text1"/>
        </w:rPr>
        <w:t>Maasakkers</w:t>
      </w:r>
      <w:proofErr w:type="spellEnd"/>
      <w:r w:rsidR="00FE2A93" w:rsidRPr="0078584E">
        <w:rPr>
          <w:color w:val="000000" w:themeColor="text1"/>
        </w:rPr>
        <w:t xml:space="preserve"> et al., 2019). The failure of the posterior simulation to significantly improve agreement with the observations compared to the prior simulation may reflect </w:t>
      </w:r>
      <w:r w:rsidR="00BA44EC" w:rsidRPr="0078584E">
        <w:rPr>
          <w:color w:val="000000" w:themeColor="text1"/>
        </w:rPr>
        <w:t xml:space="preserve">temporal variability in the emissions that is not captured </w:t>
      </w:r>
      <w:r w:rsidR="00F05667">
        <w:rPr>
          <w:color w:val="000000" w:themeColor="text1"/>
        </w:rPr>
        <w:t>by</w:t>
      </w:r>
      <w:r w:rsidR="00BA44EC" w:rsidRPr="0078584E">
        <w:rPr>
          <w:color w:val="000000" w:themeColor="text1"/>
        </w:rPr>
        <w:t xml:space="preserve"> our annual average</w:t>
      </w:r>
      <w:r w:rsidR="00F05667">
        <w:rPr>
          <w:color w:val="000000" w:themeColor="text1"/>
        </w:rPr>
        <w:t xml:space="preserve"> optimization</w:t>
      </w:r>
      <w:r w:rsidR="00BA44EC" w:rsidRPr="0078584E">
        <w:rPr>
          <w:color w:val="000000" w:themeColor="text1"/>
        </w:rPr>
        <w:t>.</w:t>
      </w:r>
      <w:r w:rsidR="00FE2A93" w:rsidRPr="0078584E">
        <w:rPr>
          <w:color w:val="000000" w:themeColor="text1"/>
        </w:rPr>
        <w:t xml:space="preserve"> </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1E29AD8E" w:rsidR="002D3DE6" w:rsidRPr="00C01462" w:rsidRDefault="000A6465" w:rsidP="000E257D">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r w:rsidR="00A91924" w:rsidRPr="0078584E">
        <w:rPr>
          <w:color w:val="000000" w:themeColor="text1"/>
        </w:rPr>
        <w:t>16</w:t>
      </w:r>
      <w:r w:rsidR="00EA52A5" w:rsidRPr="0078584E">
        <w:rPr>
          <w:color w:val="000000" w:themeColor="text1"/>
        </w:rPr>
        <w:t xml:space="preserve"> </w:t>
      </w:r>
      <w:r w:rsidR="00435381" w:rsidRPr="0078584E">
        <w:rPr>
          <w:color w:val="000000" w:themeColor="text1"/>
        </w:rPr>
        <w:t>(</w:t>
      </w:r>
      <w:r w:rsidR="00BB4E97" w:rsidRPr="0078584E">
        <w:rPr>
          <w:color w:val="000000" w:themeColor="text1"/>
        </w:rPr>
        <w:t xml:space="preserve">12 - </w:t>
      </w:r>
      <w:r w:rsidR="00E5559E" w:rsidRPr="0078584E">
        <w:rPr>
          <w:color w:val="000000" w:themeColor="text1"/>
        </w:rPr>
        <w:t>19</w:t>
      </w:r>
      <w:r w:rsidR="00435381" w:rsidRPr="0078584E">
        <w:rPr>
          <w:color w:val="000000" w:themeColor="text1"/>
        </w:rPr>
        <w:t>)</w:t>
      </w:r>
      <w:r w:rsidR="00E462E6">
        <w:rPr>
          <w:color w:val="000000" w:themeColor="text1"/>
        </w:rPr>
        <w:t xml:space="preserve"> %</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he most recent</w:t>
      </w:r>
      <w:r w:rsidR="00EA52A5" w:rsidRPr="0078584E">
        <w:rPr>
          <w:color w:val="000000" w:themeColor="text1"/>
        </w:rPr>
        <w:t xml:space="preserve"> GHGI estimate </w:t>
      </w:r>
      <w:r w:rsidR="00651C18" w:rsidRPr="0078584E">
        <w:rPr>
          <w:color w:val="000000" w:themeColor="text1"/>
        </w:rPr>
        <w:t xml:space="preserve">for 2019 (henceforth “GHGI”) </w:t>
      </w:r>
      <w:r w:rsidR="00DA2503" w:rsidRPr="0078584E">
        <w:rPr>
          <w:color w:val="000000" w:themeColor="text1"/>
        </w:rPr>
        <w:t>of 26.</w:t>
      </w:r>
      <w:r w:rsidR="00A91924" w:rsidRPr="0078584E">
        <w:rPr>
          <w:color w:val="000000" w:themeColor="text1"/>
        </w:rPr>
        <w:t>7</w:t>
      </w:r>
      <w:r w:rsidR="00DA2503" w:rsidRPr="0078584E">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DA2503" w:rsidRPr="0078584E">
        <w:rPr>
          <w:color w:val="000000" w:themeColor="text1"/>
        </w:rPr>
        <w:t xml:space="preserve"> </w:t>
      </w:r>
      <w:r w:rsidR="002031BC" w:rsidRPr="0078584E">
        <w:rPr>
          <w:color w:val="000000" w:themeColor="text1"/>
        </w:rPr>
        <w:t>(EPA, 2022)</w:t>
      </w:r>
      <w:r w:rsidR="001E1154" w:rsidRPr="0078584E">
        <w:rPr>
          <w:color w:val="000000" w:themeColor="text1"/>
        </w:rPr>
        <w:t>.</w:t>
      </w:r>
      <w:r w:rsidR="0082093F" w:rsidRPr="0078584E">
        <w:rPr>
          <w:color w:val="000000" w:themeColor="text1"/>
        </w:rPr>
        <w:t xml:space="preserve"> </w:t>
      </w:r>
      <w:r w:rsidR="001017B3" w:rsidRPr="00C01462">
        <w:t xml:space="preserve">Lu et al. (2022)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proofErr w:type="gramStart"/>
      <w:r w:rsidR="00651C18">
        <w:t xml:space="preserve">with </w:t>
      </w:r>
      <w:r w:rsidR="002031BC">
        <w:t>in</w:t>
      </w:r>
      <w:proofErr w:type="gramEnd"/>
      <w:r w:rsidR="002031BC">
        <w:t xml:space="preserve"> situ </w:t>
      </w:r>
      <w:r w:rsidR="00651C18">
        <w:t>data</w:t>
      </w:r>
      <w:r w:rsidR="00286BD1">
        <w:t>.</w:t>
      </w:r>
    </w:p>
    <w:p w14:paraId="254BFB55" w14:textId="77777777" w:rsidR="00136BC7" w:rsidRPr="00C01462" w:rsidRDefault="00136BC7" w:rsidP="000E257D"/>
    <w:p w14:paraId="55CE13F9" w14:textId="770E2ED9" w:rsidR="005F1E5B" w:rsidRDefault="00A847E9" w:rsidP="005F1E5B">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proofErr w:type="spellStart"/>
      <w:r w:rsidRPr="00C01462">
        <w:t>e</w:t>
      </w:r>
      <w:proofErr w:type="spellEnd"/>
      <w:r w:rsidRPr="00C01462">
        <w:t xml:space="preserv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D775B7">
        <w:t>5</w:t>
      </w:r>
      <w:r w:rsidR="00100E70" w:rsidRPr="00C01462">
        <w:t xml:space="preserve"> </w:t>
      </w:r>
      <w:r w:rsidR="002031BC">
        <w:t>and Table 2 summarize the results</w:t>
      </w:r>
      <w:r w:rsidR="00100E70" w:rsidRPr="00C01462">
        <w:t xml:space="preserve">. </w:t>
      </w:r>
      <w:r w:rsidR="00EE28A0">
        <w:t>L</w:t>
      </w:r>
      <w:r w:rsidR="002031BC">
        <w:t>ivestock, oil and gas, and landfill</w:t>
      </w:r>
      <w:r w:rsidR="00EE28A0">
        <w:t>s explain 90%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significantly larger than the values found by</w:t>
      </w:r>
      <w:r w:rsidR="005F1E5B" w:rsidRPr="00C01462">
        <w:t xml:space="preserve"> Lu et al. (2022)</w:t>
      </w:r>
      <w:r w:rsidR="005F1E5B">
        <w:t xml:space="preserve"> from GOSAT and in situ data. We find a small but significant increase in wetland emissions that is consistent with the large range found by Lu et al. (2022).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in South Carolina, Georgia, and eastern Florida</w:t>
      </w:r>
      <w:r w:rsidR="005F1E5B" w:rsidRPr="00C01462">
        <w:t xml:space="preserve">. </w:t>
      </w:r>
      <w:r w:rsidR="00645C3F">
        <w:t>Here we focus on emissions from landfills, coal, and livestock, which are less studied than CONUS oil and gas.</w:t>
      </w:r>
    </w:p>
    <w:p w14:paraId="5FC86F27" w14:textId="11270CCA" w:rsidR="002031BC" w:rsidRDefault="002031BC" w:rsidP="000E257D"/>
    <w:p w14:paraId="537D06BB" w14:textId="73570706" w:rsidR="00597C3C" w:rsidRPr="0078584E" w:rsidRDefault="002031BC" w:rsidP="002031BC">
      <w:pPr>
        <w:rPr>
          <w:color w:val="000000" w:themeColor="text1"/>
        </w:rPr>
      </w:pPr>
      <w:r w:rsidRPr="0078584E">
        <w:rPr>
          <w:color w:val="000000" w:themeColor="text1"/>
        </w:rPr>
        <w:lastRenderedPageBreak/>
        <w:t xml:space="preserve">Landfill emissions show the largest relative and absolute increase from the GHGI for 2019. We find posterior emissions of 6.9 (6.4 - 7.5)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an increase of 52% relative to the GHGI</w:t>
      </w:r>
      <w:r w:rsidR="00FA6AC9" w:rsidRPr="0078584E">
        <w:rPr>
          <w:color w:val="000000" w:themeColor="text1"/>
        </w:rPr>
        <w:t xml:space="preserve"> estimate of 4.5 (3.5 </w:t>
      </w:r>
      <w:r w:rsidR="007869AF" w:rsidRPr="0078584E">
        <w:rPr>
          <w:color w:val="000000" w:themeColor="text1"/>
        </w:rPr>
        <w:t>–</w:t>
      </w:r>
      <w:r w:rsidR="00FA6AC9" w:rsidRPr="0078584E">
        <w:rPr>
          <w:color w:val="000000" w:themeColor="text1"/>
        </w:rPr>
        <w:t xml:space="preserve"> 5.5) </w:t>
      </w:r>
      <w:proofErr w:type="spellStart"/>
      <w:r w:rsidR="00FA6AC9" w:rsidRPr="0078584E">
        <w:rPr>
          <w:color w:val="000000" w:themeColor="text1"/>
        </w:rPr>
        <w:t>Tg</w:t>
      </w:r>
      <w:proofErr w:type="spellEnd"/>
      <w:r w:rsidR="00FA6AC9" w:rsidRPr="0078584E">
        <w:rPr>
          <w:color w:val="000000" w:themeColor="text1"/>
        </w:rPr>
        <w:t xml:space="preserve"> a</w:t>
      </w:r>
      <w:r w:rsidR="00FA6AC9" w:rsidRPr="0078584E">
        <w:rPr>
          <w:color w:val="000000" w:themeColor="text1"/>
          <w:vertAlign w:val="superscript"/>
        </w:rPr>
        <w:t>-1</w:t>
      </w:r>
      <w:r w:rsidR="007869AF" w:rsidRPr="0078584E">
        <w:rPr>
          <w:color w:val="000000" w:themeColor="text1"/>
        </w:rPr>
        <w:t>, where the parenthetical values represent EPA bottom-up error</w:t>
      </w:r>
      <w:r w:rsidR="00A91924" w:rsidRPr="00D737D6">
        <w:rPr>
          <w:color w:val="000000" w:themeColor="text1"/>
        </w:rPr>
        <w:t xml:space="preserve"> estimates.</w:t>
      </w:r>
      <w:r w:rsidR="007869AF" w:rsidRPr="0078584E">
        <w:rPr>
          <w:color w:val="000000" w:themeColor="text1"/>
        </w:rPr>
        <w:t xml:space="preserve"> </w:t>
      </w:r>
      <w:r w:rsidRPr="0078584E">
        <w:rPr>
          <w:color w:val="000000" w:themeColor="text1"/>
        </w:rPr>
        <w:t xml:space="preserve">Lu et al. (2022) found similar mean posterior landfill </w:t>
      </w:r>
      <w:r w:rsidRPr="00D737D6">
        <w:rPr>
          <w:color w:val="000000" w:themeColor="text1"/>
        </w:rPr>
        <w:t xml:space="preserve">emissions of 7.5 (5.9 – 7.7) </w:t>
      </w:r>
      <w:proofErr w:type="spellStart"/>
      <w:r w:rsidRPr="00D737D6">
        <w:rPr>
          <w:color w:val="000000" w:themeColor="text1"/>
        </w:rPr>
        <w:t>Tg</w:t>
      </w:r>
      <w:proofErr w:type="spellEnd"/>
      <w:r w:rsidRPr="00D737D6">
        <w:rPr>
          <w:color w:val="000000" w:themeColor="text1"/>
        </w:rPr>
        <w:t xml:space="preserve"> a</w:t>
      </w:r>
      <w:r w:rsidRPr="00D737D6">
        <w:rPr>
          <w:color w:val="000000" w:themeColor="text1"/>
          <w:vertAlign w:val="superscript"/>
        </w:rPr>
        <w:t>-1</w:t>
      </w:r>
      <w:r w:rsidRPr="00D737D6">
        <w:rPr>
          <w:color w:val="000000" w:themeColor="text1"/>
        </w:rPr>
        <w:t xml:space="preserve"> for 2017. </w:t>
      </w:r>
      <w:r w:rsidR="00265893" w:rsidRPr="0078584E">
        <w:rPr>
          <w:color w:val="000000" w:themeColor="text1"/>
        </w:rPr>
        <w:t xml:space="preserve">We attribute the </w:t>
      </w:r>
      <w:r w:rsidR="00A17685" w:rsidRPr="0078584E">
        <w:rPr>
          <w:color w:val="000000" w:themeColor="text1"/>
        </w:rPr>
        <w:t xml:space="preserve">EPA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of landfill</w:t>
      </w:r>
      <w:r w:rsidR="00265893" w:rsidRPr="0078584E">
        <w:rPr>
          <w:color w:val="000000" w:themeColor="text1"/>
        </w:rPr>
        <w:t xml:space="preserve"> inventory methodologies. </w:t>
      </w:r>
      <w:r w:rsidR="006A20A7" w:rsidRPr="0078584E">
        <w:rPr>
          <w:color w:val="000000" w:themeColor="text1"/>
        </w:rPr>
        <w:t>First, for landfills with gas recovery systems, the GHGI relies on reported emissions from the GHGRP that use too-high collection efficiencies. Second</w:t>
      </w:r>
      <w:r w:rsidR="00265893" w:rsidRPr="0078584E">
        <w:rPr>
          <w:color w:val="000000" w:themeColor="text1"/>
        </w:rPr>
        <w:t xml:space="preserve">, the GHGI does not account for site-specific operation effects that may produce </w:t>
      </w:r>
      <w:r w:rsidR="006A20A7" w:rsidRPr="0078584E">
        <w:rPr>
          <w:color w:val="000000" w:themeColor="text1"/>
        </w:rPr>
        <w:t>anomalous but significant</w:t>
      </w:r>
      <w:r w:rsidR="00265893" w:rsidRPr="0078584E">
        <w:rPr>
          <w:color w:val="000000" w:themeColor="text1"/>
        </w:rPr>
        <w:t xml:space="preserve"> emissions. We discuss these </w:t>
      </w:r>
      <w:r w:rsidR="006A20A7" w:rsidRPr="0078584E">
        <w:rPr>
          <w:color w:val="000000" w:themeColor="text1"/>
        </w:rPr>
        <w:t>causes</w:t>
      </w:r>
      <w:r w:rsidR="00265893" w:rsidRPr="0078584E">
        <w:rPr>
          <w:color w:val="000000" w:themeColor="text1"/>
        </w:rPr>
        <w:t xml:space="preserve"> in detail in Section 3.2.</w:t>
      </w:r>
    </w:p>
    <w:p w14:paraId="1E382032" w14:textId="6A37D1F0" w:rsidR="000760BB" w:rsidRDefault="000760BB" w:rsidP="002031BC"/>
    <w:p w14:paraId="364F2383" w14:textId="0059895E"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78584E">
        <w:rPr>
          <w:color w:val="000000" w:themeColor="text1"/>
        </w:rPr>
        <w:t xml:space="preserve">estimate of </w:t>
      </w:r>
      <w:r w:rsidRPr="0078584E">
        <w:rPr>
          <w:color w:val="000000" w:themeColor="text1"/>
        </w:rPr>
        <w:t>2.1 (</w:t>
      </w:r>
      <w:r w:rsidR="00846FB9" w:rsidRPr="0078584E">
        <w:rPr>
          <w:color w:val="000000" w:themeColor="text1"/>
        </w:rPr>
        <w:t xml:space="preserve">2.0 - 2.5)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u et al. (2022)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38533B">
        <w:t xml:space="preserve"> </w:t>
      </w:r>
      <w:r w:rsidR="00E00F2D">
        <w:t xml:space="preserve">that are </w:t>
      </w:r>
      <w:r w:rsidR="0038533B">
        <w:t>consistent with GHGI estimates for 2012</w:t>
      </w:r>
      <w:r w:rsidR="00503604">
        <w:t>.</w:t>
      </w:r>
      <w:r w:rsidR="00A976C3">
        <w:t xml:space="preserve"> Our lower estimate better reflects the 30% decrease in CONUS coal production from 2012</w:t>
      </w:r>
      <w:r w:rsidR="00DD7365">
        <w:t xml:space="preserve"> </w:t>
      </w:r>
      <w:r w:rsidR="0038533B">
        <w:t xml:space="preserve">to 2019 </w:t>
      </w:r>
      <w:r w:rsidR="00A976C3">
        <w:t>(</w:t>
      </w:r>
      <w:r w:rsidR="0038533B">
        <w:t>EIA</w:t>
      </w:r>
      <w:r w:rsidR="00A976C3">
        <w:t>, 202</w:t>
      </w:r>
      <w:r w:rsidR="0038533B">
        <w:t>x</w:t>
      </w:r>
      <w:r w:rsidR="00A976C3">
        <w:t>)</w:t>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A976C3">
        <w:t xml:space="preserve">. </w:t>
      </w:r>
      <w:r w:rsidR="005F11CA">
        <w:t>As expected,</w:t>
      </w:r>
      <w:r w:rsidR="00AF44EC">
        <w:t xml:space="preserve"> emissions correlate with underground </w:t>
      </w:r>
      <w:r w:rsidR="005F11CA">
        <w:t>coal mining:</w:t>
      </w:r>
      <w:r w:rsidR="00AF44EC">
        <w:t xml:space="preserve"> </w:t>
      </w:r>
      <w:r w:rsidR="00DC0606">
        <w:t xml:space="preserve">Appalachia </w:t>
      </w:r>
      <w:r w:rsidR="005F11CA">
        <w:t xml:space="preserve">generates </w:t>
      </w:r>
      <w:r w:rsidR="00E00F2D">
        <w:t xml:space="preserve">56% of coal </w:t>
      </w:r>
      <w:r w:rsidR="00360EA7">
        <w:t xml:space="preserve">from underground mines </w:t>
      </w:r>
      <w:r w:rsidR="00E00F2D">
        <w:t xml:space="preserve">and </w:t>
      </w:r>
      <w:r w:rsidR="00DC0606">
        <w:t xml:space="preserve">64% of posterior emissions, </w:t>
      </w:r>
      <w:r w:rsidR="005F11CA">
        <w:t xml:space="preserve">while </w:t>
      </w:r>
      <w:r w:rsidR="00DC0606">
        <w:t xml:space="preserve">the Illinois Basin </w:t>
      </w:r>
      <w:r w:rsidR="005F11CA">
        <w:t xml:space="preserve">yields </w:t>
      </w:r>
      <w:r w:rsidR="00E00F2D">
        <w:t>30%</w:t>
      </w:r>
      <w:r w:rsidR="005F11CA">
        <w:t xml:space="preserve"> of underground coal </w:t>
      </w:r>
      <w:r w:rsidR="00E00F2D">
        <w:t xml:space="preserve">and </w:t>
      </w:r>
      <w:r w:rsidR="00DC0606">
        <w:t>20%</w:t>
      </w:r>
      <w:r w:rsidR="005F11CA">
        <w:t xml:space="preserve"> of posterior emissions.</w:t>
      </w:r>
    </w:p>
    <w:p w14:paraId="6EE7BAF3" w14:textId="4AFBF908" w:rsidR="00DA0C92" w:rsidRDefault="00DA0C92" w:rsidP="000E257D"/>
    <w:p w14:paraId="699C5745" w14:textId="3E6F5A38"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t>n insignificant</w:t>
      </w:r>
      <w:r w:rsidRPr="00C01462">
        <w:t xml:space="preserve"> </w:t>
      </w:r>
      <w:r>
        <w:t xml:space="preserve">11% </w:t>
      </w:r>
      <w:r w:rsidRPr="00C01462">
        <w:t xml:space="preserve">increase from </w:t>
      </w:r>
      <w:r>
        <w:t xml:space="preserve">the </w:t>
      </w:r>
      <w:r w:rsidRPr="00C01462">
        <w:t>GHGI</w:t>
      </w:r>
      <w:r>
        <w:t xml:space="preserve"> </w:t>
      </w:r>
      <w:r w:rsidRPr="0078584E">
        <w:rPr>
          <w:color w:val="000000" w:themeColor="text1"/>
        </w:rPr>
        <w:t xml:space="preserve">estimate of 9.4 (8.6 - 10.2)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where the parenthetical values represent the sum in quadrature of the EPA </w:t>
      </w:r>
      <w:r w:rsidR="000760BB" w:rsidRPr="0078584E">
        <w:rPr>
          <w:color w:val="000000" w:themeColor="text1"/>
        </w:rPr>
        <w:t xml:space="preserve">bottom-up </w:t>
      </w:r>
      <w:r w:rsidRPr="0078584E">
        <w:rPr>
          <w:color w:val="000000" w:themeColor="text1"/>
        </w:rPr>
        <w:t>errors for livestock subsectors. Lu et al. (2022) found</w:t>
      </w:r>
      <w:r w:rsidRPr="00A91924">
        <w:rPr>
          <w:color w:val="000000" w:themeColor="text1"/>
        </w:rPr>
        <w:t xml:space="preserve"> similar mean p</w:t>
      </w:r>
      <w:r w:rsidRPr="00C01462">
        <w:rPr>
          <w:color w:val="000000" w:themeColor="text1"/>
        </w:rPr>
        <w:t xml:space="preserve">osterior livestock emissions of 10.4 (8.8 </w:t>
      </w:r>
      <w:r>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 </w:t>
      </w:r>
      <w:r w:rsidRPr="00C01462">
        <w:t xml:space="preserve">Yu et al. (2021) conducted a seasonal inversion of aircraft observations over the north central </w:t>
      </w:r>
      <w:r w:rsidR="005F1E5B">
        <w:t>U.S.</w:t>
      </w:r>
      <w:r w:rsidRPr="00C01462">
        <w:t xml:space="preserve"> and </w:t>
      </w:r>
      <w:proofErr w:type="gramStart"/>
      <w:r w:rsidRPr="00C01462">
        <w:t>south central</w:t>
      </w:r>
      <w:proofErr w:type="gramEnd"/>
      <w:r w:rsidRPr="00C01462">
        <w:t xml:space="preserve"> Canada to find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posterior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which would almost entirely explain the observed discrepancy between the mean GHGI and posterior emissions. </w:t>
      </w:r>
      <w:r w:rsidR="00A10FEF">
        <w:t>The increase in manure management emissions is concentrated over the California Central Valley, northern Iowa, and Sampson and Duplin Counties in North Carolina. Notably, Iowa is the largest pork-producing state</w:t>
      </w:r>
      <w:r w:rsidR="00081298">
        <w:t>,</w:t>
      </w:r>
      <w:r w:rsidR="00A10FEF">
        <w:t xml:space="preserve"> and Sampson and Duplin Counties are the two largest pork-producing counties in CONUS (USDA, 2017). </w:t>
      </w:r>
      <w:r w:rsidR="005F11CA">
        <w:t>W</w:t>
      </w:r>
      <w:r w:rsidR="00A10FEF">
        <w:t>e find no correlation between our inferred increase and hog populations</w:t>
      </w:r>
      <w:r w:rsidR="005F11CA">
        <w:t>, which could reflect variability in manure management practices.</w:t>
      </w:r>
    </w:p>
    <w:p w14:paraId="24259D34" w14:textId="77777777" w:rsidR="007869AF" w:rsidRPr="00C01462" w:rsidRDefault="007869AF" w:rsidP="007869AF"/>
    <w:p w14:paraId="4F65A6E0" w14:textId="08EB4C99" w:rsidR="00B33A0E"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an</w:t>
      </w:r>
      <w:r>
        <w:t xml:space="preserve"> 18% </w:t>
      </w:r>
      <w:r w:rsidRPr="00C01462">
        <w:t xml:space="preserve">increase from </w:t>
      </w:r>
      <w:r>
        <w:t xml:space="preserve">the </w:t>
      </w:r>
      <w:r w:rsidRPr="0078584E">
        <w:rPr>
          <w:color w:val="000000" w:themeColor="text1"/>
        </w:rPr>
        <w:t>GHGI estimate of 8.</w:t>
      </w:r>
      <w:r w:rsidR="00AF44EC" w:rsidRPr="0078584E">
        <w:rPr>
          <w:color w:val="000000" w:themeColor="text1"/>
        </w:rPr>
        <w:t xml:space="preserve">7 </w:t>
      </w:r>
      <w:r w:rsidRPr="0078584E">
        <w:rPr>
          <w:color w:val="000000" w:themeColor="text1"/>
        </w:rPr>
        <w:t>(</w:t>
      </w:r>
      <w:r w:rsidR="00AF44EC" w:rsidRPr="0078584E">
        <w:rPr>
          <w:color w:val="000000" w:themeColor="text1"/>
        </w:rPr>
        <w:t>7.4</w:t>
      </w:r>
      <w:r w:rsidRPr="0078584E">
        <w:rPr>
          <w:color w:val="000000" w:themeColor="text1"/>
        </w:rPr>
        <w:t xml:space="preserve"> </w:t>
      </w:r>
      <w:r w:rsidR="00AF44EC" w:rsidRPr="0078584E">
        <w:rPr>
          <w:color w:val="000000" w:themeColor="text1"/>
        </w:rPr>
        <w:t>–</w:t>
      </w:r>
      <w:r w:rsidRPr="0078584E">
        <w:rPr>
          <w:color w:val="000000" w:themeColor="text1"/>
        </w:rPr>
        <w:t xml:space="preserve"> </w:t>
      </w:r>
      <w:r w:rsidR="00AF44EC" w:rsidRPr="0078584E">
        <w:rPr>
          <w:color w:val="000000" w:themeColor="text1"/>
        </w:rPr>
        <w:t>10.2</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(2022)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E211C3">
        <w:t xml:space="preserve"> </w:t>
      </w:r>
      <w:r w:rsidR="00E211C3" w:rsidRPr="00C01462">
        <w:t xml:space="preserve">However, they found decreasing gas emissions beginning in 2014. </w:t>
      </w:r>
      <w:r w:rsidR="00E211C3">
        <w:t>Compared</w:t>
      </w:r>
      <w:r>
        <w:t xml:space="preserve"> to Lu et al. (2022), </w:t>
      </w:r>
      <w:r w:rsidRPr="00C01462">
        <w:t xml:space="preserve">Shen et al. (2022) found lower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2020, which is consistent with continued emissions decreases</w:t>
      </w:r>
      <w:r>
        <w:t xml:space="preserve"> into 2019</w:t>
      </w:r>
      <w:r w:rsidRPr="00C01462">
        <w:t>.</w:t>
      </w:r>
      <w:r w:rsidR="00E211C3">
        <w:t xml:space="preserve"> </w:t>
      </w:r>
      <w:r w:rsidR="00276208">
        <w:t>T</w:t>
      </w:r>
      <w:r w:rsidR="00E211C3">
        <w:t xml:space="preserve">hese emissions are </w:t>
      </w:r>
      <w:r w:rsidR="005F11CA">
        <w:t>within the uncertainty range of</w:t>
      </w:r>
      <w:r w:rsidR="00E211C3">
        <w:t xml:space="preserve"> our posterior</w:t>
      </w:r>
      <w:r w:rsidR="005F11CA">
        <w:t xml:space="preserve"> estimate</w:t>
      </w:r>
      <w:r w:rsidR="00E211C3">
        <w:t>,</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Shen et al. (2022)</w:t>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w:t>
      </w:r>
      <w:r w:rsidR="00E211C3">
        <w:lastRenderedPageBreak/>
        <w:t>threshold defined by Shen et al. (2022) for successful quantification of basin emissions by TROPOMI, w</w:t>
      </w:r>
      <w:r w:rsidR="00B33A0E">
        <w:t xml:space="preserve">e find significant </w:t>
      </w:r>
      <w:r w:rsidR="00E211C3">
        <w:t xml:space="preserve">but small </w:t>
      </w:r>
      <w:r w:rsidR="00B33A0E">
        <w:t xml:space="preserve">differences </w:t>
      </w:r>
      <w:r w:rsidR="00E211C3">
        <w:t xml:space="preserve">only in </w:t>
      </w:r>
      <w:r w:rsidR="00B33A0E">
        <w:t>the Delaware</w:t>
      </w:r>
      <w:r w:rsidR="00E211C3">
        <w:rPr>
          <w:color w:val="000000" w:themeColor="text1"/>
        </w:rPr>
        <w:t xml:space="preserve">. </w:t>
      </w:r>
      <w:r w:rsidR="00F04732">
        <w:t>We find total emissions in the Permian</w:t>
      </w:r>
      <w:r w:rsidR="00C4545E">
        <w:t xml:space="preserve"> </w:t>
      </w:r>
      <w:r w:rsidR="00F04732">
        <w:t xml:space="preserve">basin of 2.9 </w:t>
      </w:r>
      <w:proofErr w:type="spellStart"/>
      <w:r w:rsidR="00F04732" w:rsidRPr="00C01462">
        <w:t>Tg</w:t>
      </w:r>
      <w:proofErr w:type="spellEnd"/>
      <w:r w:rsidR="00F04732" w:rsidRPr="00C01462">
        <w:t xml:space="preserve"> a</w:t>
      </w:r>
      <w:r w:rsidR="00F04732" w:rsidRPr="00C01462">
        <w:rPr>
          <w:vertAlign w:val="superscript"/>
        </w:rPr>
        <w:t>-1</w:t>
      </w:r>
      <w:r w:rsidR="00F04732">
        <w:t xml:space="preserve">, which is consistent with other recent studies (Zhang et al., 2020; </w:t>
      </w:r>
      <w:proofErr w:type="spellStart"/>
      <w:r w:rsidR="00F04732">
        <w:t>Schneising</w:t>
      </w:r>
      <w:proofErr w:type="spellEnd"/>
      <w:r w:rsidR="00F04732">
        <w:t xml:space="preserve"> et al., 2020; Liu et al., 2021; </w:t>
      </w:r>
      <w:proofErr w:type="spellStart"/>
      <w:r w:rsidR="00F04732">
        <w:t>Varon</w:t>
      </w:r>
      <w:proofErr w:type="spellEnd"/>
      <w:r w:rsidR="00F04732">
        <w:t xml:space="preserve"> et al., in review).</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6B1BD4FD" w:rsidR="00ED167E" w:rsidRDefault="00FA6AC9" w:rsidP="00ED167E">
      <w:r>
        <w:t xml:space="preserve">We </w:t>
      </w:r>
      <w:r w:rsidR="00E7379F">
        <w:t>consider in more detail the</w:t>
      </w:r>
      <w:r>
        <w:t xml:space="preserve"> </w:t>
      </w:r>
      <w:r w:rsidRPr="00C01462">
        <w:t>5</w:t>
      </w:r>
      <w:r>
        <w:t>2</w:t>
      </w:r>
      <w:r w:rsidRPr="00C01462">
        <w:t xml:space="preserve">% </w:t>
      </w:r>
      <w:r>
        <w:t xml:space="preserve">increase in </w:t>
      </w:r>
      <w:r w:rsidR="00E7379F">
        <w:t xml:space="preserve">our posterior </w:t>
      </w:r>
      <w:r>
        <w:t>landfill emissions relative to the GHGI</w:t>
      </w:r>
      <w:r w:rsidR="00E7379F">
        <w:t xml:space="preserve">. </w:t>
      </w:r>
      <w:r w:rsidR="00ED167E">
        <w:t xml:space="preserve">The GHGI uses two methodologies to estimate </w:t>
      </w:r>
      <w:r w:rsidR="00547456">
        <w:t xml:space="preserve">landfill </w:t>
      </w:r>
      <w:r w:rsidR="00ED167E">
        <w:t>emissions (</w:t>
      </w:r>
      <w:r w:rsidR="009B2BF9">
        <w:t>EPA</w:t>
      </w:r>
      <w:r w:rsidR="00ED167E">
        <w:t xml:space="preserve">, </w:t>
      </w:r>
      <w:r w:rsidR="009B2BF9">
        <w:t>2022</w:t>
      </w:r>
      <w:r w:rsidR="00ED167E">
        <w:t>). The first</w:t>
      </w:r>
      <w:r w:rsidR="00FA5D74">
        <w:t xml:space="preserve"> </w:t>
      </w:r>
      <w:r w:rsidR="00547456">
        <w:t xml:space="preserve">uses </w:t>
      </w:r>
      <w:r w:rsidR="00ED167E">
        <w:t>a first order decay model based on landfill mass so that emissions peak the year after waste</w:t>
      </w:r>
      <w:r w:rsidR="00E7379F">
        <w:t xml:space="preserve"> disposal </w:t>
      </w:r>
      <w:r w:rsidR="00FA5D74">
        <w:t>(IPCC, 2006)</w:t>
      </w:r>
      <w:r w:rsidR="00ED167E">
        <w:t xml:space="preserve">. </w:t>
      </w:r>
      <w:r w:rsidR="00FA5D74">
        <w:t>Recovered methane is removed from the total. 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FA5D74">
        <w:t xml:space="preserve"> (</w:t>
      </w:r>
      <w:proofErr w:type="spellStart"/>
      <w:r w:rsidR="00FA5D74">
        <w:t>Spokas</w:t>
      </w:r>
      <w:proofErr w:type="spellEnd"/>
      <w:r w:rsidR="00FA5D74">
        <w:t xml:space="preserve"> et al., 2015)</w:t>
      </w:r>
      <w:r w:rsidR="00ED167E">
        <w:t>. The second method</w:t>
      </w:r>
      <w:r w:rsidR="00547456">
        <w:t xml:space="preserve"> </w:t>
      </w:r>
      <w:r w:rsidR="007F155A">
        <w:t>back</w:t>
      </w:r>
      <w:r w:rsidR="00547456">
        <w:t>-</w:t>
      </w:r>
      <w:r w:rsidR="00ED167E">
        <w:t>calculates emissions 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(40 CFR § 98.343)</w:t>
      </w:r>
      <w:r w:rsidR="00ED167E">
        <w:t xml:space="preserve">. </w:t>
      </w:r>
      <w:r w:rsidR="00FA5D74">
        <w:t xml:space="preserve">GHGI estimates also incorporate GHGRP information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t>.</w:t>
      </w:r>
      <w:r w:rsidR="0070694F">
        <w:t xml:space="preserve">, </w:t>
      </w:r>
      <w:r w:rsidR="007463E0">
        <w:t xml:space="preserve">500 of </w:t>
      </w:r>
      <w:r w:rsidR="0070694F">
        <w:t>which</w:t>
      </w:r>
      <w:r w:rsidR="007463E0">
        <w:t xml:space="preserve"> have gas recovery systems (EPA LMOP, 2022).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 xml:space="preserve">ed </w:t>
      </w:r>
      <w:r w:rsidR="00DB2273">
        <w:t>(EPA, 2022; 40 CFR § 98.343)</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r w:rsidR="00E7379F">
        <w:t>-</w:t>
      </w:r>
      <w:r w:rsidR="007F155A">
        <w:t>order decay model. Landfills with gas collection must use one of these methods in addition to a back</w:t>
      </w:r>
      <w:r w:rsidR="00333FA4">
        <w:t>-</w:t>
      </w:r>
      <w:r w:rsidR="007F155A">
        <w:t xml:space="preserve">calculation approach. </w:t>
      </w:r>
      <w:r w:rsidR="00333FA4">
        <w:t>T</w:t>
      </w:r>
      <w:r w:rsidR="009B2BF9">
        <w:t xml:space="preserve">hese methods </w:t>
      </w:r>
      <w:r w:rsidR="00DB2273">
        <w:t xml:space="preserve">have </w:t>
      </w:r>
      <w:r w:rsidR="007F155A">
        <w:t xml:space="preserve">high uncertainties and have </w:t>
      </w:r>
      <w:r w:rsidR="00DB2273">
        <w:t xml:space="preserve">not been field validated (NAS, 2018). </w:t>
      </w:r>
    </w:p>
    <w:p w14:paraId="046C3D87" w14:textId="77777777" w:rsidR="00FA5D74" w:rsidRDefault="00FA5D74" w:rsidP="00ED167E"/>
    <w:p w14:paraId="762C383A" w14:textId="008A58BA"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172438">
        <w:t xml:space="preserve">We </w:t>
      </w:r>
      <w:r w:rsidR="00E267D4">
        <w:t xml:space="preserve">limit our </w:t>
      </w:r>
      <w:r w:rsidR="002607C4">
        <w:t xml:space="preserve">analysis </w:t>
      </w:r>
      <w:r w:rsidR="00E267D4">
        <w:t xml:space="preserve">to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D775B7">
        <w:t>6</w:t>
      </w:r>
      <w:r w:rsidR="00B17E55">
        <w:t xml:space="preserve"> shows the posterior emissions and corrections to GHGRP for the</w:t>
      </w:r>
      <w:r w:rsidR="00FC7078">
        <w:t xml:space="preserve"> </w:t>
      </w:r>
      <w:r w:rsidR="00FC7078" w:rsidRPr="00B17806">
        <w:rPr>
          <w:color w:val="000000" w:themeColor="text1"/>
        </w:rPr>
        <w:t xml:space="preserve">remaining </w:t>
      </w:r>
      <w:commentRangeStart w:id="13"/>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commentRangeEnd w:id="13"/>
      <w:r w:rsidR="00B17E55" w:rsidRPr="00B17806">
        <w:rPr>
          <w:rStyle w:val="CommentReference"/>
          <w:color w:val="000000" w:themeColor="text1"/>
        </w:rPr>
        <w:commentReference w:id="13"/>
      </w:r>
      <w:r w:rsidR="00B17806" w:rsidRPr="00B17806">
        <w:rPr>
          <w:color w:val="000000" w:themeColor="text1"/>
        </w:rPr>
        <w:t xml:space="preserve"> and</w:t>
      </w:r>
      <w:r w:rsidR="00906AC5" w:rsidRPr="00B17806">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w:t>
      </w:r>
      <w:commentRangeStart w:id="14"/>
      <w:r w:rsidR="00D21697" w:rsidRPr="00B17806">
        <w:rPr>
          <w:color w:val="000000" w:themeColor="text1"/>
        </w:rPr>
        <w:t>emissions</w:t>
      </w:r>
      <w:commentRangeEnd w:id="14"/>
      <w:r w:rsidR="00B17806" w:rsidRPr="00B17806">
        <w:rPr>
          <w:rStyle w:val="CommentReference"/>
          <w:color w:val="000000" w:themeColor="text1"/>
        </w:rPr>
        <w:commentReference w:id="14"/>
      </w:r>
      <w:r w:rsidR="00E85C1A" w:rsidRPr="00B17806">
        <w:rPr>
          <w:color w:val="000000" w:themeColor="text1"/>
        </w:rPr>
        <w:t>.</w:t>
      </w:r>
    </w:p>
    <w:p w14:paraId="17760718" w14:textId="77777777" w:rsidR="0009254E" w:rsidRPr="0009254E" w:rsidRDefault="0009254E" w:rsidP="00ED167E"/>
    <w:p w14:paraId="700605CF" w14:textId="36C4D691" w:rsidR="00BA2006" w:rsidRPr="0078584E" w:rsidRDefault="007373E7" w:rsidP="00ED167E">
      <w:pPr>
        <w:rPr>
          <w:color w:val="FF0000"/>
        </w:rPr>
      </w:pPr>
      <w:r w:rsidRPr="0078584E">
        <w:rPr>
          <w:color w:val="000000" w:themeColor="text1"/>
        </w:rPr>
        <w:t>W</w:t>
      </w:r>
      <w:r w:rsidR="00BA2006" w:rsidRPr="0078584E">
        <w:rPr>
          <w:color w:val="000000" w:themeColor="text1"/>
        </w:rPr>
        <w:t xml:space="preserve">e validate </w:t>
      </w:r>
      <w:r w:rsidR="00B17E55" w:rsidRPr="0078584E">
        <w:rPr>
          <w:color w:val="000000" w:themeColor="text1"/>
        </w:rPr>
        <w:t xml:space="preserve">our posterior landfill </w:t>
      </w:r>
      <w:r w:rsidR="00BA2006" w:rsidRPr="0078584E">
        <w:rPr>
          <w:color w:val="000000" w:themeColor="text1"/>
        </w:rPr>
        <w:t>results by compar</w:t>
      </w:r>
      <w:r w:rsidR="002B02AB" w:rsidRPr="0078584E">
        <w:rPr>
          <w:color w:val="000000" w:themeColor="text1"/>
        </w:rPr>
        <w:t>ison to aircraft</w:t>
      </w:r>
      <w:r w:rsidR="00D01F0A" w:rsidRPr="0078584E">
        <w:rPr>
          <w:color w:val="000000" w:themeColor="text1"/>
        </w:rPr>
        <w:t xml:space="preserve">-derived </w:t>
      </w:r>
      <w:r w:rsidR="00172438" w:rsidRPr="0078584E">
        <w:rPr>
          <w:color w:val="000000" w:themeColor="text1"/>
        </w:rPr>
        <w:t xml:space="preserve">estimates </w:t>
      </w:r>
      <w:r w:rsidR="00D01F0A" w:rsidRPr="0078584E">
        <w:rPr>
          <w:color w:val="000000" w:themeColor="text1"/>
        </w:rPr>
        <w:t xml:space="preserve">for </w:t>
      </w:r>
      <w:r w:rsidR="006C37A7" w:rsidRPr="0078584E">
        <w:rPr>
          <w:color w:val="000000" w:themeColor="text1"/>
        </w:rPr>
        <w:t>nine</w:t>
      </w:r>
      <w:r w:rsidR="00B17E55" w:rsidRPr="0078584E">
        <w:rPr>
          <w:color w:val="000000" w:themeColor="text1"/>
        </w:rPr>
        <w:t xml:space="preserve"> </w:t>
      </w:r>
      <w:r w:rsidR="00D01F0A" w:rsidRPr="0078584E">
        <w:rPr>
          <w:color w:val="000000" w:themeColor="text1"/>
        </w:rPr>
        <w:t>facilitie</w:t>
      </w:r>
      <w:r w:rsidR="0009254E" w:rsidRPr="0078584E">
        <w:rPr>
          <w:color w:val="000000" w:themeColor="text1"/>
        </w:rPr>
        <w:t>s</w:t>
      </w:r>
      <w:r w:rsidR="00D21697">
        <w:rPr>
          <w:color w:val="000000" w:themeColor="text1"/>
        </w:rPr>
        <w:t xml:space="preserve"> as shown in Figure </w:t>
      </w:r>
      <w:r w:rsidR="00D775B7">
        <w:rPr>
          <w:color w:val="000000" w:themeColor="text1"/>
        </w:rPr>
        <w:t>6</w:t>
      </w:r>
      <w:r w:rsidR="002B02AB" w:rsidRPr="0078584E">
        <w:rPr>
          <w:color w:val="000000" w:themeColor="text1"/>
        </w:rPr>
        <w:t xml:space="preserve">. </w:t>
      </w:r>
      <w:r w:rsidR="008C5D31" w:rsidRPr="0078584E">
        <w:rPr>
          <w:color w:val="000000" w:themeColor="text1"/>
        </w:rPr>
        <w:t xml:space="preserve">We find </w:t>
      </w:r>
      <w:r w:rsidR="0009254E" w:rsidRPr="0078584E">
        <w:rPr>
          <w:color w:val="000000" w:themeColor="text1"/>
        </w:rPr>
        <w:t>agreement within error bounds at</w:t>
      </w:r>
      <w:r w:rsidR="008C5D31" w:rsidRPr="0078584E">
        <w:rPr>
          <w:color w:val="000000" w:themeColor="text1"/>
        </w:rPr>
        <w:t xml:space="preserve"> the Seneca Meadows </w:t>
      </w:r>
      <w:r w:rsidR="0009254E" w:rsidRPr="0078584E">
        <w:rPr>
          <w:color w:val="000000" w:themeColor="text1"/>
        </w:rPr>
        <w:t>Landfill</w:t>
      </w:r>
      <w:r w:rsidR="00BE3287" w:rsidRPr="0078584E">
        <w:rPr>
          <w:color w:val="000000" w:themeColor="text1"/>
        </w:rPr>
        <w:t xml:space="preserve"> </w:t>
      </w:r>
      <w:r w:rsidR="00392F72" w:rsidRPr="0078584E">
        <w:rPr>
          <w:color w:val="000000" w:themeColor="text1"/>
        </w:rPr>
        <w:t>in New York (</w:t>
      </w:r>
      <w:r w:rsidR="00C81EA3" w:rsidRPr="0078584E">
        <w:rPr>
          <w:color w:val="000000" w:themeColor="text1"/>
        </w:rPr>
        <w:t>landfill c</w:t>
      </w:r>
      <w:r w:rsidR="001E0770">
        <w:rPr>
          <w:color w:val="000000" w:themeColor="text1"/>
        </w:rPr>
        <w:t xml:space="preserve"> in Figure 5</w:t>
      </w:r>
      <w:r w:rsidR="008C5D31" w:rsidRPr="0078584E">
        <w:rPr>
          <w:color w:val="000000" w:themeColor="text1"/>
        </w:rPr>
        <w:t>)</w:t>
      </w:r>
      <w:r w:rsidR="00392F72" w:rsidRPr="0078584E">
        <w:rPr>
          <w:color w:val="000000" w:themeColor="text1"/>
        </w:rPr>
        <w:t xml:space="preserve"> and at the</w:t>
      </w:r>
      <w:r w:rsidR="0009254E" w:rsidRPr="0078584E">
        <w:rPr>
          <w:color w:val="000000" w:themeColor="text1"/>
        </w:rPr>
        <w:t xml:space="preserve"> Kiefer</w:t>
      </w:r>
      <w:r w:rsidR="00C81EA3" w:rsidRPr="0078584E">
        <w:rPr>
          <w:color w:val="000000" w:themeColor="text1"/>
        </w:rPr>
        <w:t xml:space="preserve"> (d)</w:t>
      </w:r>
      <w:r w:rsidR="00392F72" w:rsidRPr="0078584E">
        <w:rPr>
          <w:color w:val="000000" w:themeColor="text1"/>
        </w:rPr>
        <w:t xml:space="preserve">, </w:t>
      </w:r>
      <w:r w:rsidR="00C81EA3" w:rsidRPr="0078584E">
        <w:rPr>
          <w:color w:val="000000" w:themeColor="text1"/>
        </w:rPr>
        <w:t>Frank R. Bowerman (f)</w:t>
      </w:r>
      <w:r w:rsidR="00392F72" w:rsidRPr="0078584E">
        <w:rPr>
          <w:color w:val="000000" w:themeColor="text1"/>
        </w:rPr>
        <w:t xml:space="preserve">, </w:t>
      </w:r>
      <w:r w:rsidR="00C81EA3" w:rsidRPr="0078584E">
        <w:rPr>
          <w:color w:val="000000" w:themeColor="text1"/>
        </w:rPr>
        <w:t xml:space="preserve">Altamont (g), </w:t>
      </w:r>
      <w:r w:rsidR="00392F72" w:rsidRPr="0078584E">
        <w:rPr>
          <w:color w:val="000000" w:themeColor="text1"/>
        </w:rPr>
        <w:t>Newby Island</w:t>
      </w:r>
      <w:r w:rsidR="00C81EA3" w:rsidRPr="0078584E">
        <w:rPr>
          <w:color w:val="000000" w:themeColor="text1"/>
        </w:rPr>
        <w:t xml:space="preserve"> (h), and Keller Canyon (</w:t>
      </w:r>
      <w:proofErr w:type="spellStart"/>
      <w:r w:rsidR="00C81EA3" w:rsidRPr="0078584E">
        <w:rPr>
          <w:color w:val="000000" w:themeColor="text1"/>
        </w:rPr>
        <w:t>i</w:t>
      </w:r>
      <w:proofErr w:type="spellEnd"/>
      <w:r w:rsidR="00C81EA3" w:rsidRPr="0078584E">
        <w:rPr>
          <w:color w:val="000000" w:themeColor="text1"/>
        </w:rPr>
        <w:t>)</w:t>
      </w:r>
      <w:r w:rsidR="00392F72" w:rsidRPr="0078584E">
        <w:rPr>
          <w:color w:val="000000" w:themeColor="text1"/>
        </w:rPr>
        <w:t xml:space="preserve"> </w:t>
      </w:r>
      <w:r w:rsidR="00CD1037" w:rsidRPr="0078584E">
        <w:rPr>
          <w:color w:val="000000" w:themeColor="text1"/>
        </w:rPr>
        <w:t>L</w:t>
      </w:r>
      <w:r w:rsidR="00392F72" w:rsidRPr="0078584E">
        <w:rPr>
          <w:color w:val="000000" w:themeColor="text1"/>
        </w:rPr>
        <w:t xml:space="preserve">andfills in California. </w:t>
      </w:r>
      <w:r w:rsidR="00EB64D7" w:rsidRPr="0078584E">
        <w:rPr>
          <w:color w:val="000000" w:themeColor="text1"/>
        </w:rPr>
        <w:t>W</w:t>
      </w:r>
      <w:r w:rsidRPr="0078584E">
        <w:rPr>
          <w:color w:val="000000" w:themeColor="text1"/>
        </w:rPr>
        <w:t xml:space="preserve">e find much larger emissions </w:t>
      </w:r>
      <w:r w:rsidR="00392F72" w:rsidRPr="0078584E">
        <w:rPr>
          <w:color w:val="000000" w:themeColor="text1"/>
        </w:rPr>
        <w:t xml:space="preserve">than </w:t>
      </w:r>
      <w:r w:rsidR="00C81EA3" w:rsidRPr="0078584E">
        <w:rPr>
          <w:color w:val="000000" w:themeColor="text1"/>
        </w:rPr>
        <w:t xml:space="preserve">previous studies at the South Side Landfill (a) in Indiana and </w:t>
      </w:r>
      <w:r w:rsidR="00392F72" w:rsidRPr="0078584E">
        <w:rPr>
          <w:color w:val="000000" w:themeColor="text1"/>
        </w:rPr>
        <w:t xml:space="preserve">at the West Miramar Sanitary </w:t>
      </w:r>
      <w:r w:rsidR="00C81EA3" w:rsidRPr="0078584E">
        <w:rPr>
          <w:color w:val="000000" w:themeColor="text1"/>
        </w:rPr>
        <w:t xml:space="preserve">(b) </w:t>
      </w:r>
      <w:r w:rsidR="00392F72" w:rsidRPr="0078584E">
        <w:rPr>
          <w:color w:val="000000" w:themeColor="text1"/>
        </w:rPr>
        <w:t>and Puente Hills</w:t>
      </w:r>
      <w:r w:rsidR="00C81EA3" w:rsidRPr="0078584E">
        <w:rPr>
          <w:color w:val="000000" w:themeColor="text1"/>
        </w:rPr>
        <w:t xml:space="preserve"> (e)</w:t>
      </w:r>
      <w:r w:rsidR="00392F72" w:rsidRPr="0078584E">
        <w:rPr>
          <w:color w:val="000000" w:themeColor="text1"/>
        </w:rPr>
        <w:t xml:space="preserve"> Landfill</w:t>
      </w:r>
      <w:r w:rsidR="00C81EA3" w:rsidRPr="0078584E">
        <w:rPr>
          <w:color w:val="000000" w:themeColor="text1"/>
        </w:rPr>
        <w:t>s</w:t>
      </w:r>
      <w:r w:rsidR="00392F72" w:rsidRPr="0078584E">
        <w:rPr>
          <w:color w:val="000000" w:themeColor="text1"/>
        </w:rPr>
        <w:t xml:space="preserve"> in Californi</w:t>
      </w:r>
      <w:r w:rsidR="00C81EA3" w:rsidRPr="0078584E">
        <w:rPr>
          <w:color w:val="000000" w:themeColor="text1"/>
        </w:rPr>
        <w:t>a</w:t>
      </w:r>
      <w:r w:rsidR="009248C7" w:rsidRPr="0078584E">
        <w:rPr>
          <w:color w:val="000000" w:themeColor="text1"/>
        </w:rPr>
        <w:t xml:space="preserve">. </w:t>
      </w:r>
      <w:r w:rsidR="00172438" w:rsidRPr="0078584E">
        <w:rPr>
          <w:color w:val="000000" w:themeColor="text1"/>
        </w:rPr>
        <w:t>The</w:t>
      </w:r>
      <w:r w:rsidR="009248C7" w:rsidRPr="0078584E">
        <w:rPr>
          <w:color w:val="000000" w:themeColor="text1"/>
        </w:rPr>
        <w:t xml:space="preserve"> </w:t>
      </w:r>
      <w:r w:rsidR="00CD1037" w:rsidRPr="0078584E">
        <w:rPr>
          <w:color w:val="000000" w:themeColor="text1"/>
        </w:rPr>
        <w:t xml:space="preserve">South Side Landfill began construction on a large landfill gas facility in June 2019, emissions from which were not captured by the 2011 aircraft </w:t>
      </w:r>
      <w:r w:rsidR="000A0B9F" w:rsidRPr="0078584E">
        <w:rPr>
          <w:color w:val="000000" w:themeColor="text1"/>
        </w:rPr>
        <w:t>campaign</w:t>
      </w:r>
      <w:r w:rsidR="00CD1037" w:rsidRPr="0078584E">
        <w:rPr>
          <w:color w:val="000000" w:themeColor="text1"/>
        </w:rPr>
        <w:t>. The West Miramar Sanitary Landfill leaked methane at 8662 ppm in November 2019 (San Diego Air Pollution Control District, 2019), a period that was not covered by either study</w:t>
      </w:r>
      <w:r w:rsidR="000A0B9F" w:rsidRPr="0078584E">
        <w:rPr>
          <w:color w:val="000000" w:themeColor="text1"/>
        </w:rPr>
        <w:t xml:space="preserve"> of the facility</w:t>
      </w:r>
      <w:r w:rsidR="00CD1037" w:rsidRPr="0078584E">
        <w:rPr>
          <w:color w:val="000000" w:themeColor="text1"/>
        </w:rPr>
        <w:t xml:space="preserve">. </w:t>
      </w:r>
      <w:r w:rsidR="000A0B9F" w:rsidRPr="0078584E">
        <w:rPr>
          <w:color w:val="000000" w:themeColor="text1"/>
        </w:rPr>
        <w:t>T</w:t>
      </w:r>
      <w:r w:rsidR="00CD1037" w:rsidRPr="0078584E">
        <w:rPr>
          <w:color w:val="000000" w:themeColor="text1"/>
        </w:rPr>
        <w:t xml:space="preserve">he Puente Hill Landfill </w:t>
      </w:r>
      <w:r w:rsidR="00F113DC" w:rsidRPr="0078584E">
        <w:rPr>
          <w:color w:val="000000" w:themeColor="text1"/>
        </w:rPr>
        <w:t>closed in 2013</w:t>
      </w:r>
      <w:r w:rsidR="001D7C11" w:rsidRPr="0078584E">
        <w:rPr>
          <w:color w:val="000000" w:themeColor="text1"/>
        </w:rPr>
        <w:t xml:space="preserve"> but was previously one of the largest landfills in CONUS (cite). As a result, our prior estimate from 2012 may misattribute emissions to the landfill compared to other sources.</w:t>
      </w:r>
    </w:p>
    <w:p w14:paraId="2123E31F" w14:textId="77777777" w:rsidR="00BA2006" w:rsidRDefault="00BA2006" w:rsidP="00ED167E"/>
    <w:p w14:paraId="3DB926D3" w14:textId="14B6C930" w:rsidR="001A5124" w:rsidRDefault="00906A1B" w:rsidP="00172438">
      <w:r>
        <w:t>We find larger mean facility emissions of</w:t>
      </w:r>
      <w:r w:rsidR="00096FEF">
        <w:t xml:space="preserve"> </w:t>
      </w:r>
      <w:r w:rsidR="00E85C1A">
        <w:t>13</w:t>
      </w:r>
      <w:r w:rsidR="00096FEF">
        <w:t xml:space="preserve"> Gg</w:t>
      </w:r>
      <w:r w:rsidR="00096FEF" w:rsidRPr="00C01462">
        <w:t xml:space="preserve"> a</w:t>
      </w:r>
      <w:r w:rsidR="00096FEF" w:rsidRPr="00C01462">
        <w:rPr>
          <w:vertAlign w:val="superscript"/>
        </w:rPr>
        <w:t>-1</w:t>
      </w:r>
      <w:r>
        <w:t xml:space="preserve"> compared 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t xml:space="preserve"> </w:t>
      </w:r>
      <w:r w:rsidR="002217CA">
        <w:t xml:space="preserve">We find </w:t>
      </w:r>
      <w:r w:rsidR="00D10EC6">
        <w:t>no</w:t>
      </w:r>
      <w:r w:rsidR="002217CA">
        <w:t xml:space="preserve"> correlation (R</w:t>
      </w:r>
      <w:r w:rsidR="002217CA">
        <w:rPr>
          <w:vertAlign w:val="superscript"/>
        </w:rPr>
        <w:t>2</w:t>
      </w:r>
      <w:r w:rsidR="002217CA">
        <w:t xml:space="preserve"> = 0.0</w:t>
      </w:r>
      <w:r w:rsidR="00E85C1A">
        <w:t>0</w:t>
      </w:r>
      <w:r w:rsidR="002217CA">
        <w:t xml:space="preserve">) between GHGRP </w:t>
      </w:r>
      <w:r w:rsidR="002217CA">
        <w:lastRenderedPageBreak/>
        <w:t>emissions and our posterior</w:t>
      </w:r>
      <w:r w:rsidR="00E85C1A">
        <w:t xml:space="preserve"> estimates</w:t>
      </w:r>
      <w:r w:rsidR="00D10EC6">
        <w:t xml:space="preserve">, 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670F07">
        <w:t>.</w:t>
      </w:r>
      <w:r w:rsidR="0028067E">
        <w:t xml:space="preserve"> </w:t>
      </w:r>
      <w:r w:rsidR="005D6E91">
        <w:t xml:space="preserve">The </w:t>
      </w:r>
      <w:r w:rsidR="00AD22AA">
        <w:t xml:space="preserve">posterior </w:t>
      </w:r>
      <w:r w:rsidR="005D6E91">
        <w:t xml:space="preserve">increases are concentrated in facilities </w:t>
      </w:r>
      <w:r w:rsidR="00F71B09">
        <w:t>that report smaller (&lt;10 Gg a</w:t>
      </w:r>
      <w:r w:rsidR="00F71B09" w:rsidRPr="0078584E">
        <w:rPr>
          <w:vertAlign w:val="superscript"/>
        </w:rPr>
        <w:t>-1</w:t>
      </w:r>
      <w:r w:rsidR="00F71B09">
        <w:t xml:space="preserve">) total emissions so that the largest nine methane-producing landfills as </w:t>
      </w:r>
      <w:r w:rsidR="00AD22AA">
        <w:t>ranked</w:t>
      </w:r>
      <w:r w:rsidR="00F71B09">
        <w:t xml:space="preserve"> by posterior emissions (Table 3) also exhibit the largest differences relative to GHGRP emissions. Indeed, we find mean facility emissions of 35 Gg</w:t>
      </w:r>
      <w:r w:rsidR="00F71B09" w:rsidRPr="00C01462">
        <w:t xml:space="preserve"> a</w:t>
      </w:r>
      <w:r w:rsidR="00F71B09" w:rsidRPr="00C01462">
        <w:rPr>
          <w:vertAlign w:val="superscript"/>
        </w:rPr>
        <w:t>-1</w:t>
      </w:r>
      <w:r w:rsidR="00F71B09">
        <w:rPr>
          <w:vertAlign w:val="superscript"/>
        </w:rPr>
        <w:t xml:space="preserve"> </w:t>
      </w:r>
      <w:r w:rsidR="00F71B09">
        <w:t>compared to the GHGRP mean of 8.2 Gg</w:t>
      </w:r>
      <w:r w:rsidR="00F71B09" w:rsidRPr="00C01462">
        <w:t xml:space="preserve"> a</w:t>
      </w:r>
      <w:r w:rsidR="00F71B09" w:rsidRPr="00C01462">
        <w:rPr>
          <w:vertAlign w:val="superscript"/>
        </w:rPr>
        <w:t>-1</w:t>
      </w:r>
      <w:r w:rsidR="00F71B09">
        <w:rPr>
          <w:vertAlign w:val="superscript"/>
        </w:rPr>
        <w:t xml:space="preserve"> </w:t>
      </w:r>
      <w:r w:rsidR="00F71B09">
        <w:t>in the top 10 methane-producing landfills</w:t>
      </w:r>
      <w:r w:rsidR="0015075C">
        <w:t xml:space="preserve">, and we find </w:t>
      </w:r>
      <w:r w:rsidR="00AD22AA">
        <w:t xml:space="preserve">posterior </w:t>
      </w:r>
      <w:r w:rsidR="0015075C">
        <w:t>emissions</w:t>
      </w:r>
      <w:r w:rsidR="00F71B09">
        <w:t xml:space="preserve"> that </w:t>
      </w:r>
      <w:r w:rsidR="0015075C">
        <w:t xml:space="preserve">differ by less than 100% from the GHGRP only </w:t>
      </w:r>
      <w:r w:rsidR="00444CC0">
        <w:t xml:space="preserve">at </w:t>
      </w:r>
      <w:r w:rsidR="00AD22AA">
        <w:t>Sampson County Disposal, LLC</w:t>
      </w:r>
      <w:r w:rsidR="00EC67B9">
        <w:t xml:space="preserve"> (landfill 10 in Figure </w:t>
      </w:r>
      <w:r w:rsidR="00D775B7">
        <w:t>6</w:t>
      </w:r>
      <w:r w:rsidR="00EC67B9">
        <w:t xml:space="preserve"> and Table 3)</w:t>
      </w:r>
      <w:r w:rsidR="001A5124">
        <w:t>.</w:t>
      </w:r>
    </w:p>
    <w:p w14:paraId="127364C1" w14:textId="77777777" w:rsidR="001A5124" w:rsidRDefault="001A5124" w:rsidP="00172438"/>
    <w:p w14:paraId="55F4FC6D" w14:textId="5E4D3F16" w:rsidR="00172438" w:rsidRDefault="005C42C4" w:rsidP="00172438">
      <w:r>
        <w:t xml:space="preserve">For the </w:t>
      </w:r>
      <w:r w:rsidR="003252FF">
        <w:t>38</w:t>
      </w:r>
      <w:r w:rsidR="00E85C1A">
        <w:t xml:space="preserve"> </w:t>
      </w:r>
      <w:r>
        <w:t xml:space="preserve">facilities that recover gas, we </w:t>
      </w:r>
      <w:r w:rsidR="002A1A35">
        <w:t>use</w:t>
      </w:r>
      <w:r w:rsidR="000B4C5D">
        <w:t xml:space="preserve"> reported avoided methane emissions together with posterior and GHGRP </w:t>
      </w:r>
      <w:r w:rsidR="002A1A35">
        <w:t>emissions</w:t>
      </w:r>
      <w:r w:rsidR="000B4C5D">
        <w:t xml:space="preserve"> to calculate a posterior and reported recovery </w:t>
      </w:r>
      <w:r w:rsidR="00F44C23">
        <w:t>efficiency</w:t>
      </w:r>
      <w:r w:rsidR="000B4C5D">
        <w:t>, respectively</w:t>
      </w:r>
      <w:r w:rsidR="00AD22AA">
        <w:t xml:space="preserve"> (LMOP, 2019)</w:t>
      </w:r>
      <w:r w:rsidR="000B4C5D">
        <w:t>.</w:t>
      </w:r>
      <w:r w:rsidR="00CC62D5">
        <w:t xml:space="preserve"> We find a</w:t>
      </w:r>
      <w:r w:rsidR="000B4C5D">
        <w:t xml:space="preserve"> </w:t>
      </w:r>
      <w:r w:rsidR="00CC62D5">
        <w:t>low correlation (R</w:t>
      </w:r>
      <w:r w:rsidR="00CC62D5" w:rsidRPr="00C66686">
        <w:rPr>
          <w:vertAlign w:val="superscript"/>
        </w:rPr>
        <w:t>2</w:t>
      </w:r>
      <w:r w:rsidR="00CC62D5">
        <w:t xml:space="preserve"> = 0.17) between the efficiencies </w:t>
      </w:r>
      <w:r w:rsidR="00E56C71">
        <w:t>regardless of facility size</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F33626">
        <w:t xml:space="preserve"> (40 CFR § 98.343)</w:t>
      </w:r>
      <w:r w:rsidR="00DD3738">
        <w:t>.</w:t>
      </w:r>
      <w:r>
        <w:t xml:space="preserve"> </w:t>
      </w:r>
      <w:r w:rsidR="00786146">
        <w:t>The discrepancy between posterior and GHGRP efficiencies does not depend on facility age or size</w:t>
      </w:r>
      <w:r w:rsidR="00AD22AA">
        <w:t>.</w:t>
      </w:r>
      <w:r w:rsidR="001367E5">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emissions and recovery values that are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3DA50EC1" w14:textId="4ECBA354" w:rsidR="0028067E"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AE2CE5">
        <w:t>The facilities with the largest posterior - GHGRP differences experienced significant operational changes in the last decade. National Serv-All Landfill</w:t>
      </w:r>
      <w:r w:rsidR="00EC67B9">
        <w:t xml:space="preserve"> (landfill 1)</w:t>
      </w:r>
      <w:r w:rsidR="00AE2CE5">
        <w:t xml:space="preserve"> began receiving additional waste after a nearby landfill closed in March 2019</w:t>
      </w:r>
      <w:r w:rsidR="00EC67B9">
        <w:t xml:space="preserve"> (cite)</w:t>
      </w:r>
      <w:r w:rsidR="00AE2CE5">
        <w:t xml:space="preserve">. </w:t>
      </w:r>
      <w:r w:rsidR="000330CF">
        <w:t xml:space="preserve">The </w:t>
      </w:r>
      <w:r w:rsidR="00AE2CE5">
        <w:t xml:space="preserve">South Shelby </w:t>
      </w:r>
      <w:r w:rsidR="00EC67B9">
        <w:t xml:space="preserve">(2) </w:t>
      </w:r>
      <w:r w:rsidR="00AE2CE5">
        <w:t>and South Side</w:t>
      </w:r>
      <w:r w:rsidR="00EC67B9">
        <w:t xml:space="preserve"> (3)</w:t>
      </w:r>
      <w:r w:rsidR="00AE2CE5">
        <w:t xml:space="preserve"> Landfills </w:t>
      </w:r>
      <w:r w:rsidR="00C95F3F">
        <w:t>started</w:t>
      </w:r>
      <w:r w:rsidR="00AE2CE5">
        <w:t xml:space="preserve"> construction on large landfill gas facilities </w:t>
      </w:r>
      <w:r w:rsidR="007907D1">
        <w:t>in 2019</w:t>
      </w:r>
      <w:r w:rsidR="00EC67B9">
        <w:t xml:space="preserve"> (cite). </w:t>
      </w:r>
      <w:r w:rsidR="00891F7B">
        <w:t>Finally, t</w:t>
      </w:r>
      <w:r w:rsidR="00AE2CE5">
        <w:t>he City of Dothan Sanitary Landfill (</w:t>
      </w:r>
      <w:r w:rsidR="00EC67B9">
        <w:t>6</w:t>
      </w:r>
      <w:r w:rsidR="00AE2CE5">
        <w:t>) has been full since 2014 (citation)</w:t>
      </w:r>
      <w:r w:rsidR="00EC67B9">
        <w:t>. Reported emissions peaked at 7.4 Gg a</w:t>
      </w:r>
      <w:r w:rsidR="00EC67B9">
        <w:rPr>
          <w:vertAlign w:val="superscript"/>
        </w:rPr>
        <w:t>-1</w:t>
      </w:r>
      <w:r w:rsidR="00080551">
        <w:t xml:space="preserve"> that year,</w:t>
      </w:r>
      <w:r w:rsidR="00EC67B9">
        <w:t xml:space="preserve"> a value almost five times smaller than our posterior emissions, suggesting </w:t>
      </w:r>
      <w:r w:rsidR="00AE2CE5">
        <w:t>that the first order decay model is inadequate to</w:t>
      </w:r>
      <w:r w:rsidR="00EC67B9">
        <w:t xml:space="preserve"> reproduce </w:t>
      </w:r>
      <w:r w:rsidR="00AE2CE5">
        <w:t>methane emissions over time</w:t>
      </w:r>
      <w:r w:rsidR="00EC67B9">
        <w:t>.</w:t>
      </w:r>
      <w:r w:rsidR="00C95F3F">
        <w:t xml:space="preserve"> </w:t>
      </w:r>
      <w:r w:rsidR="000330CF">
        <w:t xml:space="preserve">We also find a </w:t>
      </w:r>
      <w:r w:rsidR="00906A1B">
        <w:t xml:space="preserve">history of air quality </w:t>
      </w:r>
      <w:r w:rsidR="00080551">
        <w:t xml:space="preserve">and </w:t>
      </w:r>
      <w:r w:rsidR="00906A1B">
        <w:t>landfill standard</w:t>
      </w:r>
      <w:r w:rsidR="00C03412">
        <w:t xml:space="preserve"> violations</w:t>
      </w:r>
      <w:r w:rsidR="000330CF">
        <w:t xml:space="preserve"> at these 34 facilities</w:t>
      </w:r>
      <w:r w:rsidR="00906A1B">
        <w:t xml:space="preserve">. </w:t>
      </w:r>
      <w:r w:rsidR="00C03412">
        <w:t>At</w:t>
      </w:r>
      <w:r w:rsidR="00906A1B">
        <w:t xml:space="preserve"> the West Miramar Sanitary Landfill </w:t>
      </w:r>
      <w:r w:rsidR="00BE3287">
        <w:t>(</w:t>
      </w:r>
      <w:r w:rsidR="000330CF">
        <w:t>b</w:t>
      </w:r>
      <w:r w:rsidR="00BE3287">
        <w:t>)</w:t>
      </w:r>
      <w:r w:rsidR="00C03412">
        <w:t xml:space="preserve">, </w:t>
      </w:r>
      <w:r w:rsidR="0028067E">
        <w:t>emissions of 8662 ppm were recorded</w:t>
      </w:r>
      <w:r w:rsidR="00C03412">
        <w:t xml:space="preserve"> in November 2019</w:t>
      </w:r>
      <w:r w:rsidR="000330CF">
        <w:t xml:space="preserve"> (San Diego Air Pollution Control District, 2019)</w:t>
      </w:r>
      <w:r w:rsidR="0069629D">
        <w:t>.</w:t>
      </w:r>
      <w:r w:rsidR="000330CF">
        <w:t xml:space="preserve"> </w:t>
      </w:r>
      <w:r w:rsidR="001C0377">
        <w:t>The Sussex County Landfill</w:t>
      </w:r>
      <w:r w:rsidR="00BE3287">
        <w:t xml:space="preserve"> </w:t>
      </w:r>
      <w:r w:rsidR="0069629D">
        <w:t>in Virginia</w:t>
      </w:r>
      <w:r w:rsidR="001C0377">
        <w:t xml:space="preserve"> was fined $99000 in 2016 for </w:t>
      </w:r>
      <w:r w:rsidR="00FF2D6E">
        <w:t>failing to address</w:t>
      </w:r>
      <w:r w:rsidR="001C0377">
        <w:t xml:space="preserve"> cracks in the landfill cover (citation)</w:t>
      </w:r>
      <w:r w:rsidR="005E36EA">
        <w:t>,</w:t>
      </w:r>
      <w:r w:rsidR="001C0377">
        <w:t xml:space="preserve"> </w:t>
      </w:r>
      <w:r w:rsidR="005E36EA">
        <w:t>and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received 30 violation notices from 2014 to 2020, including for gas leaks (citation).</w:t>
      </w:r>
    </w:p>
    <w:p w14:paraId="5EC07761" w14:textId="77777777" w:rsidR="00483A3B" w:rsidRDefault="00483A3B" w:rsidP="002031BC"/>
    <w:p w14:paraId="768FB162" w14:textId="62592C70"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EC67B9">
        <w:t>posterior</w:t>
      </w:r>
      <w:r w:rsidR="00A80155">
        <w:t xml:space="preserve"> emissions</w:t>
      </w:r>
      <w:r w:rsidR="00EC67B9">
        <w:t xml:space="preserve"> are significantly smaller</w:t>
      </w:r>
      <w:r w:rsidR="00A80155">
        <w:t xml:space="preserve"> than the GHGRP by 50%</w:t>
      </w:r>
      <w:r w:rsidR="00BE3287">
        <w:t>.</w:t>
      </w:r>
      <w:r w:rsidR="008939C8">
        <w:t xml:space="preserve"> </w:t>
      </w:r>
      <w:r w:rsidR="00C90FF0">
        <w:t xml:space="preserve">Three show a dramatic decrease in </w:t>
      </w:r>
      <w:r w:rsidR="00080551">
        <w:t xml:space="preserve">estimated </w:t>
      </w:r>
      <w:r w:rsidR="00C90FF0">
        <w:t xml:space="preserve">methane emissions from 2019 to 2020 that is consistent with a change in methodology. </w:t>
      </w:r>
      <w:r w:rsidR="0069629D">
        <w:t>T</w:t>
      </w:r>
      <w:r w:rsidR="00C90FF0">
        <w:t xml:space="preserve">he updated </w:t>
      </w:r>
      <w:r>
        <w:t xml:space="preserve">estimates </w:t>
      </w:r>
      <w:r w:rsidR="00C90FF0">
        <w:t xml:space="preserve">are statistically consistent with our </w:t>
      </w:r>
      <w:r>
        <w:t>posterior</w:t>
      </w:r>
      <w:r w:rsidR="00C90FF0">
        <w:t xml:space="preserve"> emissions</w:t>
      </w:r>
      <w:r w:rsidR="0069629D">
        <w:t xml:space="preserve"> in two cases and</w:t>
      </w:r>
      <w:r>
        <w:t xml:space="preserve"> within 30% of </w:t>
      </w:r>
      <w:r w:rsidR="0069629D">
        <w:t>our posterior emissions in the third case</w:t>
      </w:r>
      <w:r>
        <w:t xml:space="preserve">. </w:t>
      </w:r>
      <w:r w:rsidR="0069629D">
        <w:t xml:space="preserve">One of the remaining facilities </w:t>
      </w:r>
      <w:proofErr w:type="gramStart"/>
      <w:r w:rsidR="0069629D">
        <w:t>is</w:t>
      </w:r>
      <w:r w:rsidR="008939C8">
        <w:t xml:space="preserve"> located in</w:t>
      </w:r>
      <w:proofErr w:type="gramEnd"/>
      <w:r w:rsidR="008939C8">
        <w:t xml:space="preserve"> Appalachia so that decreased emissions due to coal may be incorrectly attributed to </w:t>
      </w:r>
      <w:r>
        <w:t xml:space="preserve">the </w:t>
      </w:r>
      <w:r w:rsidR="008939C8">
        <w:t>landfill.</w:t>
      </w:r>
    </w:p>
    <w:p w14:paraId="70B200A2" w14:textId="77777777" w:rsidR="00BF0EE9" w:rsidRPr="00C01462" w:rsidRDefault="00BF0EE9"/>
    <w:p w14:paraId="5C40954F" w14:textId="6DA08954" w:rsidR="00864D68" w:rsidRPr="00C01462" w:rsidRDefault="00864D68" w:rsidP="00864D68">
      <w:pPr>
        <w:rPr>
          <w:b/>
          <w:bCs/>
        </w:rPr>
      </w:pPr>
      <w:r w:rsidRPr="00C01462">
        <w:rPr>
          <w:b/>
          <w:bCs/>
        </w:rPr>
        <w:lastRenderedPageBreak/>
        <w:t>3.</w:t>
      </w:r>
      <w:r w:rsidR="00BF0EE9">
        <w:rPr>
          <w:b/>
          <w:bCs/>
        </w:rPr>
        <w:t>3</w:t>
      </w:r>
      <w:r w:rsidRPr="00C01462">
        <w:rPr>
          <w:b/>
          <w:bCs/>
        </w:rPr>
        <w:t xml:space="preserve"> </w:t>
      </w:r>
      <w:r w:rsidR="00F2558F">
        <w:rPr>
          <w:b/>
          <w:bCs/>
        </w:rPr>
        <w:t>State emission</w:t>
      </w:r>
      <w:r w:rsidR="0005208E">
        <w:rPr>
          <w:b/>
          <w:bCs/>
        </w:rPr>
        <w:t>s</w:t>
      </w:r>
    </w:p>
    <w:p w14:paraId="223F4C1B" w14:textId="3EDD7330" w:rsidR="007E4136" w:rsidRDefault="008A29FE">
      <w:r>
        <w:t xml:space="preserve">The EPA </w:t>
      </w:r>
      <w:commentRangeStart w:id="15"/>
      <w:r w:rsidR="003729C8">
        <w:t xml:space="preserve">recently </w:t>
      </w:r>
      <w:commentRangeEnd w:id="15"/>
      <w:r w:rsidR="003729C8">
        <w:rPr>
          <w:rStyle w:val="CommentReference"/>
        </w:rPr>
        <w:commentReference w:id="15"/>
      </w:r>
      <w:r w:rsidR="00B52086">
        <w:t>began</w:t>
      </w:r>
      <w:r w:rsidR="00237C52">
        <w:t xml:space="preserve"> to </w:t>
      </w:r>
      <w:r w:rsidR="00080551">
        <w:t xml:space="preserve">disaggregate the GHGI </w:t>
      </w:r>
      <w:r w:rsidR="00237C52">
        <w:t>by state</w:t>
      </w:r>
      <w:r w:rsidR="003729C8">
        <w:t xml:space="preserve"> (EPA, 2022)</w:t>
      </w:r>
      <w:r w:rsidR="00237C52">
        <w:t xml:space="preserve">. The </w:t>
      </w:r>
      <w:r w:rsidR="00080551">
        <w:t xml:space="preserve">EPA uses the </w:t>
      </w:r>
      <w:r w:rsidR="00237C52">
        <w:t xml:space="preserve">same methods </w:t>
      </w:r>
      <w:r w:rsidR="00080551">
        <w:t>to partition emissions to states as in the national estimate</w:t>
      </w:r>
      <w:r w:rsidR="00237C52">
        <w:t xml:space="preserve"> </w:t>
      </w:r>
      <w:r w:rsidR="00B52086">
        <w:t xml:space="preserve">so that </w:t>
      </w:r>
      <w:r w:rsidR="00237C52">
        <w:t>the total emissions are the same in both</w:t>
      </w:r>
      <w:r w:rsidR="00080551">
        <w:t xml:space="preserve"> inventories</w:t>
      </w:r>
      <w:r w:rsidR="00237C52">
        <w:t xml:space="preserve">. </w:t>
      </w:r>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 </w:t>
      </w:r>
      <w:r w:rsidR="00080551">
        <w:t>In addition to the GHGI state estimates, t</w:t>
      </w:r>
      <w:r w:rsidR="00B52086">
        <w:t xml:space="preserve">he EPA </w:t>
      </w:r>
      <w:r w:rsidR="00080551">
        <w:t>provides references to the independent inventories of</w:t>
      </w:r>
      <w:r w:rsidR="00B52086">
        <w:t xml:space="preserve"> 24 states and Washington, D.C. Of these, we find that eight produce a methane emissions value separate from total greenhouse gases emissions. To our knowledge, there is no comprehensive observation-based evaluation of the state GHGI or </w:t>
      </w:r>
      <w:r w:rsidR="00424575">
        <w:t xml:space="preserve">independent </w:t>
      </w:r>
      <w:r w:rsidR="00B52086">
        <w:t>state inventories.</w:t>
      </w:r>
    </w:p>
    <w:p w14:paraId="512416AB" w14:textId="77777777" w:rsidR="00B52086" w:rsidRDefault="00B52086"/>
    <w:p w14:paraId="7E106C23" w14:textId="15A87F76" w:rsidR="008A29FE" w:rsidRDefault="00F2558F" w:rsidP="008A29FE">
      <w:r>
        <w:t>We</w:t>
      </w:r>
      <w:r w:rsidR="00F83042" w:rsidRPr="00C01462">
        <w:t xml:space="preserve"> </w:t>
      </w:r>
      <w:r w:rsidR="00E216A3" w:rsidRPr="00C01462">
        <w:t>partition</w:t>
      </w:r>
      <w:r w:rsidR="00F83042" w:rsidRPr="00C01462">
        <w:t xml:space="preserve"> </w:t>
      </w:r>
      <w:r w:rsidR="00080551">
        <w:t xml:space="preserve">our gridded posterior </w:t>
      </w:r>
      <w:r w:rsidR="00F83042" w:rsidRPr="00C01462">
        <w:t>emissions</w:t>
      </w:r>
      <w:r w:rsidR="00080551">
        <w:t xml:space="preserve"> estimates</w:t>
      </w:r>
      <w:r w:rsidR="00080551" w:rsidRPr="00C01462">
        <w:t xml:space="preserve">, </w:t>
      </w:r>
      <w:commentRangeStart w:id="16"/>
      <w:commentRangeStart w:id="17"/>
      <w:r w:rsidR="00080551" w:rsidRPr="00C01462">
        <w:t>excluding offshore emissions</w:t>
      </w:r>
      <w:commentRangeEnd w:id="16"/>
      <w:r w:rsidR="00080551">
        <w:rPr>
          <w:rStyle w:val="CommentReference"/>
        </w:rPr>
        <w:commentReference w:id="16"/>
      </w:r>
      <w:commentRangeEnd w:id="17"/>
      <w:r w:rsidR="00080551">
        <w:rPr>
          <w:rStyle w:val="CommentReference"/>
        </w:rPr>
        <w:commentReference w:id="17"/>
      </w:r>
      <w:r w:rsidR="00080551" w:rsidRPr="00C01462">
        <w:t xml:space="preserve">, </w:t>
      </w:r>
      <w:r w:rsidR="00F83042" w:rsidRPr="00C01462">
        <w:t>to each of the 48 states</w:t>
      </w:r>
      <w:r w:rsidR="00BA4A05" w:rsidRPr="00C01462">
        <w:t xml:space="preserve"> </w:t>
      </w:r>
      <w:r w:rsidR="00CE2FF6">
        <w:t xml:space="preserve">in CONUS </w:t>
      </w:r>
      <w:r w:rsidR="00BA4A05" w:rsidRPr="00C01462">
        <w:t>as described in section 2.8</w:t>
      </w:r>
      <w:r w:rsidR="003936D6">
        <w:t xml:space="preserve"> and compare the results </w:t>
      </w:r>
      <w:r w:rsidR="005A5EEC">
        <w:t xml:space="preserve">to </w:t>
      </w:r>
      <w:r w:rsidR="003936D6">
        <w:t>the</w:t>
      </w:r>
      <w:r w:rsidR="00D82735">
        <w:t xml:space="preserve"> </w:t>
      </w:r>
      <w:r w:rsidR="00C62B77">
        <w:t>state GHGI</w:t>
      </w:r>
      <w:r w:rsidR="001F7401">
        <w:t xml:space="preserve"> and </w:t>
      </w:r>
      <w:r w:rsidR="005A5EEC">
        <w:t xml:space="preserve">to </w:t>
      </w:r>
      <w:r w:rsidR="001F7401">
        <w:t>inventories prepared by state governments</w:t>
      </w:r>
      <w:r w:rsidR="003936D6">
        <w:t xml:space="preserve">. </w:t>
      </w:r>
      <w:r w:rsidR="00E216A3" w:rsidRPr="00C01462">
        <w:t xml:space="preserve">Figure </w:t>
      </w:r>
      <w:r w:rsidR="00D775B7">
        <w:t>7</w:t>
      </w:r>
      <w:r w:rsidR="00E216A3" w:rsidRPr="00C01462">
        <w:t xml:space="preserve"> shows state </w:t>
      </w:r>
      <w:r w:rsidR="005A5EEC">
        <w:t>GHGI</w:t>
      </w:r>
      <w:r w:rsidR="005A5EEC" w:rsidRPr="00C01462">
        <w:t xml:space="preserve"> </w:t>
      </w:r>
      <w:r w:rsidR="00E216A3" w:rsidRPr="00C01462">
        <w:t>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BA4A05" w:rsidRPr="00C01462">
        <w:t xml:space="preserve"> </w:t>
      </w:r>
      <w:commentRangeStart w:id="18"/>
      <w:commentRangeStart w:id="19"/>
      <w:r w:rsidR="00D8012D" w:rsidRPr="00C01462">
        <w:t xml:space="preserve">TROPOMI provides a strong constraint at this resolution, with </w:t>
      </w:r>
      <w:r w:rsidR="00D8012D">
        <w:t xml:space="preserve">a state averaging kernel sensitivity </w:t>
      </w:r>
      <w:r w:rsidR="00D8012D" w:rsidRPr="00C01462">
        <w:t xml:space="preserve">larger than 0.5 in </w:t>
      </w:r>
      <w:r w:rsidR="00D8012D">
        <w:t>m</w:t>
      </w:r>
      <w:commentRangeEnd w:id="18"/>
      <w:r w:rsidR="00D8012D">
        <w:rPr>
          <w:rStyle w:val="CommentReference"/>
        </w:rPr>
        <w:commentReference w:id="18"/>
      </w:r>
      <w:commentRangeEnd w:id="19"/>
      <w:r w:rsidR="003539E6">
        <w:rPr>
          <w:rStyle w:val="CommentReference"/>
        </w:rPr>
        <w:commentReference w:id="19"/>
      </w:r>
      <w:r w:rsidR="00D8012D">
        <w:t>ost</w:t>
      </w:r>
      <w:r w:rsidR="00D8012D" w:rsidRPr="00C01462">
        <w:t xml:space="preserve"> states</w:t>
      </w:r>
      <w:r w:rsidR="008A29FE" w:rsidRPr="00C01462">
        <w:t xml:space="preserve">. </w:t>
      </w:r>
      <w:r w:rsidR="00B935EB">
        <w:t>The</w:t>
      </w:r>
      <w:r w:rsidR="00B935EB" w:rsidRPr="00C01462">
        <w:t xml:space="preserve"> </w:t>
      </w:r>
      <w:r w:rsidR="008A29FE" w:rsidRPr="00C01462">
        <w:t>reduced-rank inversion also constrains emissions in most states</w:t>
      </w:r>
      <w:r w:rsidR="00B935EB">
        <w:t xml:space="preserve">, </w:t>
      </w:r>
      <w:r w:rsidR="008A29FE" w:rsidRPr="00C01462">
        <w:t>optimiz</w:t>
      </w:r>
      <w:r w:rsidR="00B935EB">
        <w:t>ing</w:t>
      </w:r>
      <w:r w:rsidR="008A29FE" w:rsidRPr="00C01462">
        <w:t xml:space="preserve"> an average of 80% of prior emissions in each of the top 25 methane producing states.</w:t>
      </w:r>
    </w:p>
    <w:p w14:paraId="1E08D99A" w14:textId="5711803C" w:rsidR="00CD607F" w:rsidRDefault="00CD607F"/>
    <w:p w14:paraId="5A44FAAD" w14:textId="42FAE816" w:rsidR="000133A5" w:rsidRDefault="00012B5D" w:rsidP="005A5EEC">
      <w:r>
        <w:t xml:space="preserve">We find a large </w:t>
      </w:r>
      <w:r w:rsidR="004F5D5D">
        <w:t xml:space="preserve">average </w:t>
      </w:r>
      <w:r>
        <w:t>increase</w:t>
      </w:r>
      <w:r w:rsidR="004F5D5D">
        <w:t xml:space="preserve"> of 12%</w:t>
      </w:r>
      <w:r>
        <w:t xml:space="preserve"> in state </w:t>
      </w:r>
      <w:r w:rsidR="005A5EEC">
        <w:t xml:space="preserve">posterior </w:t>
      </w:r>
      <w:r>
        <w:t xml:space="preserve">emissions compared with </w:t>
      </w:r>
      <w:r w:rsidR="004F5D5D">
        <w:t xml:space="preserve">the GHGI </w:t>
      </w:r>
      <w:r>
        <w:t>estimates</w:t>
      </w:r>
      <w:r w:rsidR="005A5EEC">
        <w:t xml:space="preserve"> that is concentrated</w:t>
      </w:r>
      <w:r>
        <w:t xml:space="preserve"> </w:t>
      </w:r>
      <w:r w:rsidRPr="00C01462">
        <w:t>in the</w:t>
      </w:r>
      <w:r>
        <w:t xml:space="preserve"> top 10</w:t>
      </w:r>
      <w:r w:rsidRPr="00C01462">
        <w:t xml:space="preserve"> methane</w:t>
      </w:r>
      <w:r>
        <w:t>-</w:t>
      </w:r>
      <w:r w:rsidRPr="00C01462">
        <w:t>producing states</w:t>
      </w:r>
      <w:r>
        <w:t xml:space="preserve">, where state </w:t>
      </w:r>
      <w:r w:rsidRPr="00C01462">
        <w:t xml:space="preserve">posteriors </w:t>
      </w:r>
      <w:r>
        <w:t xml:space="preserve">are </w:t>
      </w:r>
      <w:r w:rsidRPr="00C01462">
        <w:t xml:space="preserve">on average </w:t>
      </w:r>
      <w:r>
        <w:t>38</w:t>
      </w:r>
      <w:r w:rsidRPr="00C01462">
        <w:t>% larger</w:t>
      </w:r>
      <w:r>
        <w:t xml:space="preserve">. </w:t>
      </w:r>
      <w:r w:rsidR="008A29FE">
        <w:t>T</w:t>
      </w:r>
      <w:r w:rsidR="008A29FE" w:rsidRPr="00C01462">
        <w:t>he</w:t>
      </w:r>
      <w:r w:rsidR="008A29FE">
        <w:t xml:space="preserve">se </w:t>
      </w:r>
      <w:r w:rsidR="008A29FE" w:rsidRPr="00C01462">
        <w:t>states</w:t>
      </w:r>
      <w:r w:rsidR="008A29FE">
        <w:t xml:space="preserve"> are responsible for 55% of posterior</w:t>
      </w:r>
      <w:r w:rsidR="008A29FE" w:rsidRPr="00C01462">
        <w:t xml:space="preserve"> </w:t>
      </w:r>
      <w:r w:rsidR="008A29FE">
        <w:t>CONUS methane emissions</w:t>
      </w:r>
      <w:r w:rsidR="000133A5" w:rsidRPr="00C01462">
        <w:t xml:space="preserve">. </w:t>
      </w:r>
      <w:r w:rsidR="000133A5">
        <w:t>W</w:t>
      </w:r>
      <w:r>
        <w:t xml:space="preserve">e find a significant emissions increase compared to the GHGI in eight of these ten states. </w:t>
      </w:r>
      <w:r w:rsidR="000A3EE9">
        <w:t>O</w:t>
      </w:r>
      <w:r>
        <w:t>il and gas</w:t>
      </w:r>
      <w:r w:rsidR="008A29FE">
        <w:t xml:space="preserve"> </w:t>
      </w:r>
      <w:r w:rsidR="006C4083">
        <w:t>emissions have a disproportionate influence</w:t>
      </w:r>
      <w:r w:rsidR="00B22D3B">
        <w:t xml:space="preserve"> in these states</w:t>
      </w:r>
      <w:r w:rsidR="006C4083">
        <w:t>, g</w:t>
      </w:r>
      <w:r w:rsidR="00BD1C7B">
        <w:t xml:space="preserve">enerating </w:t>
      </w:r>
      <w:r w:rsidR="000133A5" w:rsidRPr="00C01462">
        <w:t xml:space="preserve">47% of mean posterior emissions and </w:t>
      </w:r>
      <w:r w:rsidR="000133A5">
        <w:t>45</w:t>
      </w:r>
      <w:r w:rsidR="000133A5" w:rsidRPr="00C01462">
        <w:t>% of the observed increase, compared to the national average</w:t>
      </w:r>
      <w:r w:rsidR="00BD1C7B">
        <w:t>s</w:t>
      </w:r>
      <w:r w:rsidR="000133A5" w:rsidRPr="00C01462">
        <w:t xml:space="preserve"> of </w:t>
      </w:r>
      <w:r w:rsidR="000133A5">
        <w:t>32</w:t>
      </w:r>
      <w:r w:rsidR="000133A5" w:rsidRPr="00C01462">
        <w:t>% and 36%, respectively.</w:t>
      </w:r>
      <w:r w:rsidR="000133A5">
        <w:t xml:space="preserve"> </w:t>
      </w:r>
      <w:r w:rsidR="000A3EE9">
        <w:t xml:space="preserve">In Texas, New Mexico, Louisiana, and Oklahoma, </w:t>
      </w:r>
      <w:r w:rsidR="006A49B3">
        <w:t xml:space="preserve">the </w:t>
      </w:r>
      <w:r w:rsidR="000A3EE9">
        <w:t xml:space="preserve">oil and gas </w:t>
      </w:r>
      <w:r w:rsidR="006A49B3">
        <w:t xml:space="preserve">sector </w:t>
      </w:r>
      <w:proofErr w:type="gramStart"/>
      <w:r w:rsidR="000A3EE9">
        <w:t>explain</w:t>
      </w:r>
      <w:r w:rsidR="006A49B3">
        <w:t>s</w:t>
      </w:r>
      <w:proofErr w:type="gramEnd"/>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 xml:space="preserve">the Permian </w:t>
      </w:r>
      <w:r w:rsidR="00C941DC">
        <w:t xml:space="preserve">Basin </w:t>
      </w:r>
      <w:r w:rsidR="00CE06C1">
        <w:t>(Texas and New Mexico), the Haynesville Shale (Louisiana), and the Anadarko Shale (Oklahoma)</w:t>
      </w:r>
      <w:r w:rsidR="000A3EE9">
        <w:t xml:space="preserve">. Livestock and landfills also play a significant role in these eight states. </w:t>
      </w:r>
      <w:r w:rsidR="005A5EEC">
        <w:t>E</w:t>
      </w:r>
      <w:r w:rsidR="000A3EE9">
        <w:t xml:space="preserve">missions in California and Iowa are dominated by the livestock sector, </w:t>
      </w:r>
      <w:r w:rsidR="005A5EEC">
        <w:t xml:space="preserve">with </w:t>
      </w:r>
      <w:r w:rsidR="00D31BDA">
        <w:t xml:space="preserve">much </w:t>
      </w:r>
      <w:r w:rsidR="005A5EEC">
        <w:t xml:space="preserve">of the observed increase attributed to </w:t>
      </w:r>
      <w:r w:rsidR="000A3EE9">
        <w:t xml:space="preserve">manure management </w:t>
      </w:r>
      <w:r w:rsidR="005A5EEC">
        <w:t xml:space="preserve">emissions </w:t>
      </w:r>
      <w:r w:rsidR="000A3EE9">
        <w:t>(Section 3.1)</w:t>
      </w:r>
      <w:r w:rsidR="005A5EEC">
        <w:t>.</w:t>
      </w:r>
      <w:r w:rsidR="000A3EE9">
        <w:t xml:space="preserve"> Landfills explain 41% of</w:t>
      </w:r>
      <w:r w:rsidR="003539E6">
        <w:t xml:space="preserve"> emissions in</w:t>
      </w:r>
      <w:r w:rsidR="000A3EE9">
        <w:t xml:space="preserve"> Illinois and 62% </w:t>
      </w:r>
      <w:r w:rsidR="003539E6">
        <w:t>in Florida</w:t>
      </w:r>
      <w:r w:rsidR="000A3EE9">
        <w:t>.</w:t>
      </w:r>
      <w:r w:rsidR="008A29FE">
        <w:t xml:space="preserve"> Indeed, Florida </w:t>
      </w:r>
      <w:r w:rsidR="000A3EE9">
        <w:t>is</w:t>
      </w:r>
      <w:r w:rsidR="008A29FE">
        <w:t xml:space="preserve"> home to three of the ten largest landfills as reported by the GHGRP in 2019 (EPA</w:t>
      </w:r>
      <w:r w:rsidR="003539E6">
        <w:t xml:space="preserve"> GHGRP</w:t>
      </w:r>
      <w:r w:rsidR="008A29FE">
        <w:t xml:space="preserve">, 2022). </w:t>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historically coal-producing states, including Wyoming, West Virginia</w:t>
      </w:r>
      <w:r w:rsidR="000133A5">
        <w:t>, and Pennsylvania.</w:t>
      </w:r>
    </w:p>
    <w:p w14:paraId="27C9EDD9" w14:textId="08B66132" w:rsidR="00EE56EB" w:rsidRDefault="00EE56EB" w:rsidP="00CD607F"/>
    <w:p w14:paraId="114994C0" w14:textId="37655418" w:rsidR="00CE06C1" w:rsidRDefault="00EE56EB" w:rsidP="00EE56EB">
      <w:r>
        <w:t xml:space="preserve">We consider in more detail Texas and California, which are responsible for </w:t>
      </w:r>
      <w:r w:rsidR="00E5420B">
        <w:t>21</w:t>
      </w:r>
      <w:r>
        <w:t>%</w:t>
      </w:r>
      <w:r w:rsidR="00E5420B">
        <w:t xml:space="preserve"> and 6%</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t>69% increase from the state GHGI</w:t>
      </w:r>
      <w:r w:rsidR="00B75DC6">
        <w:t xml:space="preserve"> estimate of 3.7 </w:t>
      </w:r>
      <w:proofErr w:type="spellStart"/>
      <w:r w:rsidR="00B75DC6" w:rsidRPr="00C01462">
        <w:t>Tg</w:t>
      </w:r>
      <w:proofErr w:type="spellEnd"/>
      <w:r w:rsidR="00B75DC6" w:rsidRPr="00C01462">
        <w:t xml:space="preserve"> a</w:t>
      </w:r>
      <w:r w:rsidR="00B75DC6" w:rsidRPr="00C01462">
        <w:rPr>
          <w:vertAlign w:val="superscript"/>
        </w:rPr>
        <w:t>-1</w:t>
      </w:r>
      <w:r w:rsidR="001F667A">
        <w:t>. This increase i</w:t>
      </w:r>
      <w:r w:rsidR="00CE06C1">
        <w:t xml:space="preserve">s attributed </w:t>
      </w:r>
      <w:r w:rsidR="00B75DC6">
        <w:t xml:space="preserve">almost entirely </w:t>
      </w:r>
      <w:r w:rsidR="00CE06C1">
        <w:t>to the</w:t>
      </w:r>
      <w:r w:rsidR="00E5420B">
        <w:t xml:space="preserve"> oil and gas </w:t>
      </w:r>
      <w:r w:rsidR="00CE06C1">
        <w:t>sector</w:t>
      </w:r>
      <w:r w:rsidR="001F667A">
        <w:t>, which</w:t>
      </w:r>
      <w:r w:rsidR="00B75DC6" w:rsidRPr="00C01462">
        <w:t xml:space="preserve"> account</w:t>
      </w:r>
      <w:r w:rsidR="001F667A">
        <w:t>s</w:t>
      </w:r>
      <w:r w:rsidR="00B75DC6" w:rsidRPr="00C01462">
        <w:t xml:space="preserve"> for</w:t>
      </w:r>
      <w:r w:rsidR="00B75DC6">
        <w:t xml:space="preserve"> 69% of posterior emissions compared to 56% in the state GHGI. </w:t>
      </w:r>
      <w:r w:rsidR="00F04732">
        <w:t>The Permian basin</w:t>
      </w:r>
      <w:r w:rsidR="00B75DC6">
        <w:t xml:space="preserve"> alone</w:t>
      </w:r>
      <w:r w:rsidR="00F04732">
        <w:t xml:space="preserve"> explains almost 40% of</w:t>
      </w:r>
      <w:r w:rsidR="00CE06C1">
        <w:t xml:space="preserve"> Texas’ posterior emissions.</w:t>
      </w:r>
    </w:p>
    <w:p w14:paraId="6491F521" w14:textId="77777777" w:rsidR="00EE56EB" w:rsidRDefault="00EE56EB" w:rsidP="00EE56EB"/>
    <w:p w14:paraId="2D035776" w14:textId="2C3EA99F" w:rsidR="00BD1C7B" w:rsidRPr="009645B6" w:rsidRDefault="002923A7" w:rsidP="00CD607F">
      <w:r>
        <w:t>In California, w</w:t>
      </w:r>
      <w:r w:rsidR="00B75DC6">
        <w:t xml:space="preserve">e find posterior emissions of </w:t>
      </w:r>
      <w:r w:rsidR="00EE56EB">
        <w:t xml:space="preserve">2.1 (2.0 </w:t>
      </w:r>
      <w:r w:rsidR="001F667A">
        <w:t>–</w:t>
      </w:r>
      <w:r w:rsidR="00EE56EB">
        <w:t xml:space="preserve">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r w:rsidR="00B237A3">
        <w:t>, 53% of which are concentrated in the San Joaquin</w:t>
      </w:r>
      <w:r w:rsidR="000A4C03">
        <w:t xml:space="preserve"> </w:t>
      </w:r>
      <w:r w:rsidR="00B237A3">
        <w:t xml:space="preserve">Valley air basin. </w:t>
      </w:r>
      <w:r w:rsidR="00DA5875">
        <w:t>Our posterior emissions are</w:t>
      </w:r>
      <w:r w:rsidR="00F00169">
        <w:t xml:space="preserve"> a 33% increase </w:t>
      </w:r>
      <w:r w:rsidR="00F00169">
        <w:lastRenderedPageBreak/>
        <w:t>from the state GHGI</w:t>
      </w:r>
      <w:r w:rsidR="00D31BDA">
        <w:t xml:space="preserve"> estimate of 1.5 </w:t>
      </w:r>
      <w:proofErr w:type="spellStart"/>
      <w:r w:rsidR="00D31BDA" w:rsidRPr="00C01462">
        <w:t>Tg</w:t>
      </w:r>
      <w:proofErr w:type="spellEnd"/>
      <w:r w:rsidR="00D31BDA" w:rsidRPr="00C01462">
        <w:t xml:space="preserve"> a</w:t>
      </w:r>
      <w:r w:rsidR="00D31BDA" w:rsidRPr="00C01462">
        <w:rPr>
          <w:vertAlign w:val="superscript"/>
        </w:rPr>
        <w:t>-1</w:t>
      </w:r>
      <w:r w:rsidR="000A4C03">
        <w:t>, and a 32% increase from the independent estimate</w:t>
      </w:r>
      <w:r w:rsidR="00F00169">
        <w:t xml:space="preserve"> </w:t>
      </w:r>
      <w:r w:rsidR="000A4C03">
        <w:t>prepared by the California Air Resource Board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w:t>
      </w:r>
      <w:r w:rsidR="00B5224E">
        <w:t>Our posterior estimate is smaller than but consistent with the estimate 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w:t>
      </w:r>
      <w:proofErr w:type="spellStart"/>
      <w:r w:rsidR="00B5224E">
        <w:t>Jeong</w:t>
      </w:r>
      <w:proofErr w:type="spellEnd"/>
      <w:r w:rsidR="00B5224E">
        <w:t xml:space="preserve"> et al., 2016). </w:t>
      </w:r>
      <w:r w:rsidR="000A4C03" w:rsidRPr="00B5224E">
        <w:t>We</w:t>
      </w:r>
      <w:r w:rsidR="000A4C03">
        <w:t xml:space="preserve"> find good agreement with the sectoral partitioning in the state GHGI</w:t>
      </w:r>
      <w:r w:rsidR="00D5324F">
        <w:t xml:space="preserve">, </w:t>
      </w:r>
      <w:r w:rsidR="000A4C03">
        <w:t>the CARB inventory</w:t>
      </w:r>
      <w:r w:rsidR="00D5324F">
        <w:t xml:space="preserve">, and </w:t>
      </w:r>
      <w:proofErr w:type="spellStart"/>
      <w:r w:rsidR="00D5324F">
        <w:t>Jeong</w:t>
      </w:r>
      <w:proofErr w:type="spellEnd"/>
      <w:r w:rsidR="00D5324F">
        <w:t xml:space="preserve"> et al. (2016)</w:t>
      </w:r>
      <w:r w:rsidR="000A4C03">
        <w:t xml:space="preserve">. Livestock explain 54% of emissions in the posterior, 50% in the state GHGI, 54% in the CARB inventory, </w:t>
      </w:r>
      <w:r w:rsidR="00D5324F">
        <w:t>and 5</w:t>
      </w:r>
      <w:r w:rsidR="007E5D8D">
        <w:t>4</w:t>
      </w:r>
      <w:r w:rsidR="00D5324F">
        <w:t xml:space="preserve">% in </w:t>
      </w:r>
      <w:proofErr w:type="spellStart"/>
      <w:r w:rsidR="00D5324F">
        <w:t>Jeong</w:t>
      </w:r>
      <w:proofErr w:type="spellEnd"/>
      <w:r w:rsidR="00D5324F">
        <w:t xml:space="preserve"> et al. (2016), while l</w:t>
      </w:r>
      <w:r w:rsidR="000A4C03">
        <w:t>andfills explain 25%, 23%, 21%</w:t>
      </w:r>
      <w:r w:rsidR="00D5324F">
        <w:t xml:space="preserve">, and </w:t>
      </w:r>
      <w:r w:rsidR="007E5D8D">
        <w:t>19</w:t>
      </w:r>
      <w:r w:rsidR="00707A0F">
        <w:t>%</w:t>
      </w:r>
      <w:r w:rsidR="000A4C03">
        <w:t xml:space="preserve"> of emissions, respectively. We find slightly smaller relative contributions from oil and gas, which is responsible for 11% of posterior emissions compared to 20%</w:t>
      </w:r>
      <w:r w:rsidR="00E35EC2">
        <w:t xml:space="preserve">, </w:t>
      </w:r>
      <w:r w:rsidR="000A4C03">
        <w:t>17%</w:t>
      </w:r>
      <w:r w:rsidR="00E35EC2">
        <w:t xml:space="preserve">, </w:t>
      </w:r>
      <w:r w:rsidR="00707A0F">
        <w:t xml:space="preserve">and </w:t>
      </w:r>
      <w:r w:rsidR="007E5D8D">
        <w:t>18</w:t>
      </w:r>
      <w:r w:rsidR="00E35EC2">
        <w:t>%</w:t>
      </w:r>
      <w:r w:rsidR="000A4C03">
        <w:t xml:space="preserve"> </w:t>
      </w:r>
      <w:r w:rsidR="00E35EC2">
        <w:t xml:space="preserve">in the </w:t>
      </w:r>
      <w:r w:rsidR="000A4C03">
        <w:t>state GHGI</w:t>
      </w:r>
      <w:r w:rsidR="00E35EC2">
        <w:t xml:space="preserve">, </w:t>
      </w:r>
      <w:r w:rsidR="000A4C03">
        <w:t>the CARB inventory</w:t>
      </w:r>
      <w:r w:rsidR="00E35EC2">
        <w:t xml:space="preserve">, and </w:t>
      </w:r>
      <w:proofErr w:type="spellStart"/>
      <w:r w:rsidR="00E35EC2">
        <w:t>Jeong</w:t>
      </w:r>
      <w:proofErr w:type="spellEnd"/>
      <w:r w:rsidR="00E35EC2">
        <w:t xml:space="preserve"> et al. (2016),</w:t>
      </w:r>
      <w:r w:rsidR="000A4C03">
        <w:t xml:space="preserve"> respectively.</w:t>
      </w:r>
      <w:r w:rsidR="00DA5875">
        <w:t xml:space="preserve"> This partitioning differs from that found in</w:t>
      </w:r>
      <w:r>
        <w:t xml:space="preserve"> an inversion of observations from the 2010 </w:t>
      </w:r>
      <w:proofErr w:type="spellStart"/>
      <w:r>
        <w:t>CalNex</w:t>
      </w:r>
      <w:proofErr w:type="spellEnd"/>
      <w:r w:rsidR="00DA5875">
        <w:t xml:space="preserve"> </w:t>
      </w:r>
      <w:r>
        <w:t>aircraft campaign</w:t>
      </w:r>
      <w:r w:rsidR="00DA5875">
        <w:t>, where 30% of emissions were attributed to livestock, 38% to landfills, and 22% to oil and gas</w:t>
      </w:r>
      <w:r>
        <w:t xml:space="preserve"> (Wecht et al., 2014)</w:t>
      </w:r>
      <w:r w:rsidR="00DA5875">
        <w:t xml:space="preserve">. </w:t>
      </w:r>
      <w:commentRangeStart w:id="20"/>
      <w:r>
        <w:t>T</w:t>
      </w:r>
      <w:r w:rsidR="00DA5875">
        <w:t>he discrepancy could be due to temporal differences or from the coarser resolution (1/2</w:t>
      </w:r>
      <w:r w:rsidR="00DA5875" w:rsidRPr="00C01462">
        <w:t xml:space="preserve">° </w:t>
      </w:r>
      <w:r w:rsidR="00DA5875" w:rsidRPr="00E3469C">
        <w:t>×</w:t>
      </w:r>
      <w:r w:rsidR="00DA5875" w:rsidRPr="00C01462">
        <w:t xml:space="preserve"> </w:t>
      </w:r>
      <w:r w:rsidR="00DA5875">
        <w:t>2/3</w:t>
      </w:r>
      <w:r w:rsidR="00DA5875" w:rsidRPr="00C01462">
        <w:t>°</w:t>
      </w:r>
      <w:r w:rsidR="00DA5875">
        <w:t xml:space="preserve">) of the </w:t>
      </w:r>
      <w:proofErr w:type="spellStart"/>
      <w:r w:rsidR="00DA5875">
        <w:t>CalNex</w:t>
      </w:r>
      <w:proofErr w:type="spellEnd"/>
      <w:r w:rsidR="00DA5875">
        <w:t xml:space="preserve"> inversion.</w:t>
      </w:r>
      <w:r w:rsidR="00AE6733">
        <w:t xml:space="preserve"> </w:t>
      </w:r>
      <w:commentRangeEnd w:id="20"/>
      <w:r w:rsidR="003539E6">
        <w:rPr>
          <w:rStyle w:val="CommentReference"/>
        </w:rPr>
        <w:commentReference w:id="20"/>
      </w:r>
      <w:r w:rsidR="00AE6733">
        <w:t xml:space="preserve">We also </w:t>
      </w:r>
      <w:r w:rsidR="003154D6">
        <w:t xml:space="preserve">find good agreement in the spatial distribution </w:t>
      </w:r>
      <w:r w:rsidR="00FE4A57">
        <w:t xml:space="preserve">of emissions </w:t>
      </w:r>
      <w:r w:rsidR="003154D6">
        <w:t>compared to</w:t>
      </w:r>
      <w:r w:rsidR="00AE6733">
        <w:t xml:space="preserve"> </w:t>
      </w:r>
      <w:proofErr w:type="spellStart"/>
      <w:r w:rsidR="00AE6733">
        <w:t>Jeong</w:t>
      </w:r>
      <w:proofErr w:type="spellEnd"/>
      <w:r w:rsidR="00AE6733">
        <w:t xml:space="preserve"> et al. (2016).</w:t>
      </w:r>
      <w:r w:rsidR="00B237A3">
        <w:t xml:space="preserve"> However, we</w:t>
      </w:r>
      <w:r w:rsidR="009645B6">
        <w:t xml:space="preserve"> find lower emissions </w:t>
      </w:r>
      <w:r w:rsidR="00707A0F">
        <w:t xml:space="preserve">than </w:t>
      </w:r>
      <w:proofErr w:type="spellStart"/>
      <w:r w:rsidR="00707A0F">
        <w:t>Jeong</w:t>
      </w:r>
      <w:proofErr w:type="spellEnd"/>
      <w:r w:rsidR="00707A0F">
        <w:t xml:space="preserve"> et al. (2016) </w:t>
      </w:r>
      <w:r w:rsidR="00FE4A57">
        <w:t>in</w:t>
      </w:r>
      <w:r w:rsidR="009645B6">
        <w:t xml:space="preserve"> the coastal air basins, suggesting </w:t>
      </w:r>
      <w:r w:rsidR="00B237A3">
        <w:t>a</w:t>
      </w:r>
      <w:r w:rsidR="009645B6">
        <w:t xml:space="preserve"> boundary condition</w:t>
      </w:r>
      <w:r w:rsidR="00B237A3">
        <w:t xml:space="preserve"> error</w:t>
      </w:r>
      <w:r w:rsidR="009645B6">
        <w:t xml:space="preserve">. </w:t>
      </w:r>
      <w:r w:rsidR="00B237A3">
        <w:t>W</w:t>
      </w:r>
      <w:r w:rsidR="00AE2689">
        <w:t>hile</w:t>
      </w:r>
      <w:r w:rsidR="009645B6">
        <w:t xml:space="preserve"> correct the boundary condition </w:t>
      </w:r>
      <w:r w:rsidR="00707A0F">
        <w:t xml:space="preserve">as part of the inversion </w:t>
      </w:r>
      <w:r w:rsidR="009645B6">
        <w:t xml:space="preserve">in five of eight ensemble members, </w:t>
      </w:r>
      <w:r w:rsidR="00AE2689">
        <w:t>h</w:t>
      </w:r>
      <w:r w:rsidR="009645B6">
        <w:t>igh</w:t>
      </w:r>
      <w:r w:rsidR="00F8609B">
        <w:t xml:space="preserve">er spatial or temporal resolution </w:t>
      </w:r>
      <w:r w:rsidR="00B237A3">
        <w:t xml:space="preserve">may </w:t>
      </w:r>
      <w:r w:rsidR="00F8609B">
        <w:t>be necessary.</w:t>
      </w:r>
    </w:p>
    <w:p w14:paraId="0A5B427E" w14:textId="77777777" w:rsidR="009645B6" w:rsidRDefault="009645B6" w:rsidP="00CD607F"/>
    <w:p w14:paraId="09B2FBF5" w14:textId="0A9FB26B" w:rsidR="006C4083" w:rsidRPr="00C01462" w:rsidRDefault="006C4083" w:rsidP="006C4083">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referenced by EPA (2022)</w:t>
      </w:r>
      <w:r w:rsidRPr="00C01462">
        <w:t xml:space="preserve"> </w:t>
      </w:r>
      <w:r w:rsidR="004E5439">
        <w:t xml:space="preserve">and </w:t>
      </w:r>
      <w:r w:rsidR="001F667A">
        <w:t>where</w:t>
      </w:r>
      <w:r w:rsidRPr="00C01462">
        <w:t xml:space="preserve"> the observing system provides a strong constraint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 </w:t>
      </w:r>
      <w:r w:rsidR="000805B3">
        <w:t>but</w:t>
      </w:r>
      <w:r w:rsidR="000805B3" w:rsidRPr="00C01462">
        <w:t xml:space="preserve"> </w:t>
      </w:r>
      <w:r w:rsidRPr="00C01462">
        <w:t xml:space="preserve">we find a source shift from fossil fuels (from 76% in the inventory to 63% in the posterior)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xml:space="preserve">% in the posterior). </w:t>
      </w:r>
      <w:r w:rsidR="00F8609B">
        <w:t xml:space="preserve">We find that </w:t>
      </w:r>
      <w:r w:rsidR="00555E7D">
        <w:t xml:space="preserve">Louisiana’s state inventory is too low due to underestimated oil and gas emissions, while </w:t>
      </w:r>
      <w:r w:rsidR="00F8609B">
        <w:t>Iowa</w:t>
      </w:r>
      <w:r w:rsidR="00555E7D">
        <w:t>’</w:t>
      </w:r>
      <w:r w:rsidR="00F8609B">
        <w:t xml:space="preserve">s </w:t>
      </w:r>
      <w:r w:rsidR="00555E7D">
        <w:t xml:space="preserve">is </w:t>
      </w:r>
      <w:r w:rsidR="00F8609B">
        <w:t>too low due to underestimated livestock emissions, particularly from manure management (Section 3.1)</w:t>
      </w:r>
      <w:r w:rsidR="000C269E">
        <w:t xml:space="preserve">. </w:t>
      </w:r>
      <w:r w:rsidRPr="00C01462">
        <w:t>Colorado</w:t>
      </w:r>
      <w:r w:rsidR="00555E7D">
        <w:t>’s</w:t>
      </w:r>
      <w:r w:rsidRPr="00C01462">
        <w:t xml:space="preserve"> </w:t>
      </w:r>
      <w:r w:rsidR="000C269E">
        <w:t xml:space="preserve">state </w:t>
      </w:r>
      <w:r w:rsidRPr="00C01462">
        <w:t>inventory is</w:t>
      </w:r>
      <w:r w:rsidR="00563644">
        <w:t xml:space="preserve"> </w:t>
      </w:r>
      <w:r w:rsidR="00555E7D">
        <w:t xml:space="preserve">65% </w:t>
      </w:r>
      <w:r w:rsidR="00563644">
        <w:t xml:space="preserve">larger than our posterior </w:t>
      </w:r>
      <w:r w:rsidR="000C269E">
        <w:t>due to</w:t>
      </w:r>
      <w:r w:rsidR="00563644">
        <w:t xml:space="preserve"> oil and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1D4B1C93" w:rsidR="00EF3E0E" w:rsidRDefault="00B22D3B" w:rsidP="001C4A43">
      <w:r>
        <w:t>Urban areas are</w:t>
      </w:r>
      <w:r w:rsidR="00111F79">
        <w:t xml:space="preserve"> home to 81% of the U.S. population (U.S. Census, 2010) and are</w:t>
      </w:r>
      <w:r>
        <w:t xml:space="preserve"> </w:t>
      </w:r>
      <w:r w:rsidR="006D2FBA">
        <w:t>major sources of</w:t>
      </w:r>
      <w:r>
        <w:t xml:space="preserve"> greenhouse gas emissions</w:t>
      </w:r>
      <w:r w:rsidR="00D30521">
        <w:t>, including methane</w:t>
      </w:r>
      <w:r>
        <w:t xml:space="preserve"> </w:t>
      </w:r>
      <w:r w:rsidR="006D2FBA">
        <w:t>(</w:t>
      </w:r>
      <w:r w:rsidR="00CB7EEE">
        <w:t>Gurney et al., 2015</w:t>
      </w:r>
      <w:r w:rsidR="00D30521">
        <w:t>; Hopkins et al., 2016)</w:t>
      </w:r>
      <w:r w:rsidR="006D2FBA">
        <w:t xml:space="preserve">. </w:t>
      </w:r>
      <w:r w:rsidR="00D30521">
        <w:t>As urban populations grow (</w:t>
      </w:r>
      <w:proofErr w:type="spellStart"/>
      <w:r w:rsidR="00D30521">
        <w:t>Seto</w:t>
      </w:r>
      <w:proofErr w:type="spellEnd"/>
      <w:r w:rsidR="00D30521">
        <w:t xml:space="preserve"> et al., 2012), these emissions are likely to increase (Hopkins et al., 2016).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(Hopkins et al., 2016). </w:t>
      </w:r>
      <w:r w:rsidR="001532E9">
        <w:t xml:space="preserve">C40, </w:t>
      </w:r>
      <w:r w:rsidR="00EE398C" w:rsidRPr="00EE398C">
        <w:t xml:space="preserve">a performance-based coalition of over 100 mayors dedicated to </w:t>
      </w:r>
      <w:r w:rsidR="00EE398C">
        <w:t>climate mitigation</w:t>
      </w:r>
      <w:r w:rsidR="00CB7EEE">
        <w:t xml:space="preserve">, recommends that cities target a 50% reduction in methane emissions by 2030 (C40, 2022). </w:t>
      </w:r>
      <w:r w:rsidR="00771467">
        <w:t>Numerous cities</w:t>
      </w:r>
      <w:r w:rsidR="00D30521">
        <w:t>,</w:t>
      </w:r>
      <w:r w:rsidR="00771467">
        <w:t xml:space="preserve"> </w:t>
      </w:r>
      <w:r w:rsidR="00D30521">
        <w:t xml:space="preserve">including New York City, Philadelphia, Washington, D.C., and San Francisco, </w:t>
      </w:r>
      <w:r w:rsidR="00771467">
        <w:t>are working toward similar reductions through zero-waste programs</w:t>
      </w:r>
      <w:r w:rsidR="00D30521">
        <w:t xml:space="preserve">. </w:t>
      </w:r>
      <w:r w:rsidR="00EF3E0E">
        <w:t>T</w:t>
      </w:r>
      <w:r w:rsidR="00D30521">
        <w:t>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(The White House, 2022)</w:t>
      </w:r>
      <w:r w:rsidR="00EE398C">
        <w:t xml:space="preserve">. </w:t>
      </w:r>
    </w:p>
    <w:p w14:paraId="29A8CBC4" w14:textId="77777777" w:rsidR="001C4A43" w:rsidRDefault="001C4A43" w:rsidP="001C4A43"/>
    <w:p w14:paraId="59AFEE0A" w14:textId="166AAF4A" w:rsidR="006607BD" w:rsidRPr="00B51761" w:rsidRDefault="001E52B8" w:rsidP="000C5B1A">
      <w:pPr>
        <w:rPr>
          <w:rFonts w:eastAsiaTheme="minorEastAsia"/>
          <w:iCs/>
        </w:rPr>
      </w:pPr>
      <w:r w:rsidRPr="00C01462">
        <w:lastRenderedPageBreak/>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 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111F79">
        <w:t>We define urban areas</w:t>
      </w:r>
      <w:r w:rsidR="004F4DBA" w:rsidRPr="00C01462">
        <w:rPr>
          <w:rFonts w:eastAsiaTheme="minorEastAsia"/>
          <w:iCs/>
        </w:rPr>
        <w:t xml:space="preserve"> using the U.S. Census </w:t>
      </w:r>
      <w:r w:rsidR="00111F79">
        <w:rPr>
          <w:rFonts w:eastAsiaTheme="minorEastAsia"/>
          <w:iCs/>
        </w:rPr>
        <w:t xml:space="preserve">Topographically Integrated Geographic Encoding and Referencing system (TIGER)/Line </w:t>
      </w:r>
      <w:r w:rsidR="00111F79" w:rsidRPr="00C01462">
        <w:rPr>
          <w:rFonts w:eastAsiaTheme="minorEastAsia"/>
          <w:iCs/>
        </w:rPr>
        <w:t>Urban Areas</w:t>
      </w:r>
      <w:r w:rsidR="00EF3E0E">
        <w:rPr>
          <w:rFonts w:eastAsiaTheme="minorEastAsia"/>
          <w:iCs/>
        </w:rPr>
        <w:t xml:space="preserve">. </w:t>
      </w:r>
      <w:r w:rsidR="00EF3E0E">
        <w:t>The</w:t>
      </w:r>
      <w:r w:rsidR="00CC56C7">
        <w:t xml:space="preserve">se </w:t>
      </w:r>
      <w:r w:rsidR="00EF3E0E">
        <w:t xml:space="preserve">urban areas are responsible for almost a quarter of </w:t>
      </w:r>
      <w:r w:rsidR="00CC56C7">
        <w:t xml:space="preserve">GHGI </w:t>
      </w:r>
      <w:r w:rsidR="00EF3E0E">
        <w:t xml:space="preserve">emissions </w:t>
      </w:r>
      <w:commentRangeStart w:id="21"/>
      <w:r w:rsidR="00CC56C7">
        <w:t xml:space="preserve">when allocated </w:t>
      </w:r>
      <w:commentRangeEnd w:id="21"/>
      <w:r w:rsidR="00CC56C7">
        <w:rPr>
          <w:rStyle w:val="CommentReference"/>
        </w:rPr>
        <w:commentReference w:id="21"/>
      </w:r>
      <w:r w:rsidR="00CC56C7">
        <w:t xml:space="preserve">using the Gridded EPA inventory developed </w:t>
      </w:r>
      <w:r w:rsidR="00F04FBD">
        <w:t>by</w:t>
      </w:r>
      <w:r w:rsidR="00CC56C7">
        <w:t xml:space="preserve"> </w:t>
      </w:r>
      <w:proofErr w:type="spellStart"/>
      <w:r w:rsidR="00CC56C7">
        <w:t>Maasakkers</w:t>
      </w:r>
      <w:proofErr w:type="spellEnd"/>
      <w:r w:rsidR="00CC56C7">
        <w:t xml:space="preserve"> et al. (2016) </w:t>
      </w:r>
      <w:r w:rsidR="00EF3E0E">
        <w:t xml:space="preserve">with post-meter emissions </w:t>
      </w:r>
      <w:r w:rsidR="00F04FBD">
        <w:t xml:space="preserve">distributed </w:t>
      </w:r>
      <w:r w:rsidR="00EF3E0E">
        <w:t>by population. In an average city, urban emissions are produced by landfills (</w:t>
      </w:r>
      <w:r w:rsidR="00E2616B">
        <w:t>40</w:t>
      </w:r>
      <w:r w:rsidR="00EF3E0E">
        <w:t>%), gas distribution (</w:t>
      </w:r>
      <w:r w:rsidR="00E2616B">
        <w:t>5</w:t>
      </w:r>
      <w:r w:rsidR="00EF3E0E">
        <w:t>%), post-meter emissions (</w:t>
      </w:r>
      <w:commentRangeStart w:id="22"/>
      <w:commentRangeStart w:id="23"/>
      <w:r w:rsidR="00E2616B">
        <w:t>5</w:t>
      </w:r>
      <w:commentRangeEnd w:id="22"/>
      <w:r w:rsidR="00E2616B">
        <w:rPr>
          <w:rStyle w:val="CommentReference"/>
        </w:rPr>
        <w:commentReference w:id="22"/>
      </w:r>
      <w:commentRangeEnd w:id="23"/>
      <w:r w:rsidR="00E2616B">
        <w:rPr>
          <w:rStyle w:val="CommentReference"/>
        </w:rPr>
        <w:commentReference w:id="23"/>
      </w:r>
      <w:r w:rsidR="00EF3E0E">
        <w:t>%), wastewater (6%)</w:t>
      </w:r>
      <w:r w:rsidR="00E2616B">
        <w:t>, and other, non-urban sources such as livestock and upstream oil and gas (45%)</w:t>
      </w:r>
      <w:r w:rsidR="00EF3E0E">
        <w:t xml:space="preserve">. </w:t>
      </w:r>
      <w:r w:rsidR="006D2FBA">
        <w:rPr>
          <w:rFonts w:eastAsiaTheme="minorEastAsia"/>
          <w:iCs/>
        </w:rPr>
        <w:t>Urban emissions depend significantly on</w:t>
      </w:r>
      <w:r w:rsidR="00C510FE">
        <w:rPr>
          <w:rFonts w:eastAsiaTheme="minorEastAsia"/>
          <w:iCs/>
        </w:rPr>
        <w:t xml:space="preserve"> the </w:t>
      </w:r>
      <w:r>
        <w:rPr>
          <w:rFonts w:eastAsiaTheme="minorEastAsia"/>
          <w:iCs/>
        </w:rPr>
        <w:t xml:space="preserve">geographical </w:t>
      </w:r>
      <w:r w:rsidR="006D2FBA">
        <w:rPr>
          <w:rFonts w:eastAsiaTheme="minorEastAsia"/>
          <w:iCs/>
        </w:rPr>
        <w:t>extent</w:t>
      </w:r>
      <w:r>
        <w:rPr>
          <w:rFonts w:eastAsiaTheme="minorEastAsia"/>
          <w:iCs/>
        </w:rPr>
        <w:t xml:space="preserve"> </w:t>
      </w:r>
      <w:r w:rsidR="00C510FE">
        <w:rPr>
          <w:rFonts w:eastAsiaTheme="minorEastAsia"/>
          <w:iCs/>
        </w:rPr>
        <w:t xml:space="preserve">used </w:t>
      </w:r>
      <w:r w:rsidR="006D2FBA">
        <w:rPr>
          <w:rFonts w:eastAsiaTheme="minorEastAsia"/>
          <w:iCs/>
        </w:rPr>
        <w:t>due to the presence of large</w:t>
      </w:r>
      <w:r w:rsidR="00111F79">
        <w:rPr>
          <w:rFonts w:eastAsiaTheme="minorEastAsia"/>
          <w:iCs/>
        </w:rPr>
        <w:t xml:space="preserve"> emitters such as</w:t>
      </w:r>
      <w:r w:rsidR="006D2FBA">
        <w:rPr>
          <w:rFonts w:eastAsiaTheme="minorEastAsia"/>
          <w:iCs/>
        </w:rPr>
        <w:t xml:space="preserve"> landfills </w:t>
      </w:r>
      <w:r>
        <w:rPr>
          <w:rFonts w:eastAsiaTheme="minorEastAsia"/>
          <w:iCs/>
        </w:rPr>
        <w:t>near</w:t>
      </w:r>
      <w:r w:rsidR="006D2FBA">
        <w:rPr>
          <w:rFonts w:eastAsiaTheme="minorEastAsia"/>
          <w:iCs/>
        </w:rPr>
        <w:t xml:space="preserve"> city limits (e.g., </w:t>
      </w:r>
      <w:proofErr w:type="spellStart"/>
      <w:r w:rsidR="006D2FBA">
        <w:rPr>
          <w:rFonts w:eastAsiaTheme="minorEastAsia"/>
          <w:iCs/>
        </w:rPr>
        <w:t>Balashov</w:t>
      </w:r>
      <w:proofErr w:type="spellEnd"/>
      <w:r w:rsidR="006D2FBA">
        <w:rPr>
          <w:rFonts w:eastAsiaTheme="minorEastAsia"/>
          <w:iCs/>
        </w:rPr>
        <w:t xml:space="preserve"> et al., 2020; Plant et al., 2022). </w:t>
      </w:r>
      <w:r w:rsidR="00111F79">
        <w:rPr>
          <w:rFonts w:eastAsiaTheme="minorEastAsia"/>
          <w:iCs/>
        </w:rPr>
        <w:t xml:space="preserve">We follow Plant et al. (2022) and others in using the census </w:t>
      </w:r>
      <w:r>
        <w:rPr>
          <w:rFonts w:eastAsiaTheme="minorEastAsia"/>
          <w:iCs/>
        </w:rPr>
        <w:t xml:space="preserve">designation </w:t>
      </w:r>
      <w:r w:rsidR="00111F79">
        <w:rPr>
          <w:rFonts w:eastAsiaTheme="minorEastAsia"/>
          <w:iCs/>
        </w:rPr>
        <w:t xml:space="preserve">to standardize the definition </w:t>
      </w:r>
      <w:r>
        <w:rPr>
          <w:rFonts w:eastAsiaTheme="minorEastAsia"/>
          <w:iCs/>
        </w:rPr>
        <w:t>across CONUS</w:t>
      </w:r>
      <w:r w:rsidR="00111F79">
        <w:rPr>
          <w:rFonts w:eastAsiaTheme="minorEastAsia"/>
          <w:iCs/>
        </w:rPr>
        <w:t>. We attribute all</w:t>
      </w:r>
      <w:r w:rsidR="006D2FBA">
        <w:rPr>
          <w:rFonts w:eastAsiaTheme="minorEastAsia"/>
          <w:iCs/>
        </w:rPr>
        <w:t xml:space="preserve"> emissions in any </w:t>
      </w:r>
      <w:r w:rsidR="005A1285">
        <w:rPr>
          <w:rFonts w:eastAsiaTheme="minorEastAsia"/>
          <w:iCs/>
        </w:rPr>
        <w:t xml:space="preserve">overlapping </w:t>
      </w:r>
      <w:r w:rsidR="006D2FBA">
        <w:rPr>
          <w:rFonts w:eastAsiaTheme="minorEastAsia"/>
          <w:iCs/>
        </w:rPr>
        <w:t xml:space="preserve">grid cell </w:t>
      </w:r>
      <w:r w:rsidR="005A1285">
        <w:rPr>
          <w:rFonts w:eastAsiaTheme="minorEastAsia"/>
          <w:iCs/>
        </w:rPr>
        <w:t>to</w:t>
      </w:r>
      <w:r w:rsidR="006D2FBA">
        <w:rPr>
          <w:rFonts w:eastAsiaTheme="minorEastAsia"/>
          <w:iCs/>
        </w:rPr>
        <w:t xml:space="preserve"> the urban </w:t>
      </w:r>
      <w:r w:rsidR="005A1285">
        <w:rPr>
          <w:rFonts w:eastAsiaTheme="minorEastAsia"/>
          <w:iCs/>
        </w:rPr>
        <w:t xml:space="preserve">area </w:t>
      </w:r>
      <w:r w:rsidR="006D2FBA">
        <w:rPr>
          <w:rFonts w:eastAsiaTheme="minorEastAsia"/>
          <w:iCs/>
        </w:rPr>
        <w:t>to account for the distribution of emissions</w:t>
      </w:r>
      <w:r w:rsidR="00014EC1">
        <w:rPr>
          <w:rFonts w:eastAsiaTheme="minorEastAsia"/>
          <w:iCs/>
        </w:rPr>
        <w:t xml:space="preserve">, </w:t>
      </w:r>
      <w:r w:rsidR="00111F79">
        <w:rPr>
          <w:rFonts w:eastAsiaTheme="minorEastAsia"/>
          <w:iCs/>
        </w:rPr>
        <w:t>include neighboring landfills</w:t>
      </w:r>
      <w:r w:rsidR="00014EC1">
        <w:rPr>
          <w:rFonts w:eastAsiaTheme="minorEastAsia"/>
          <w:iCs/>
        </w:rPr>
        <w:t xml:space="preserve">, and </w:t>
      </w:r>
      <w:r w:rsidR="006D2FBA">
        <w:rPr>
          <w:rFonts w:eastAsiaTheme="minorEastAsia"/>
          <w:iCs/>
        </w:rPr>
        <w:t>improve comparability with</w:t>
      </w:r>
      <w:r w:rsidR="00014EC1">
        <w:rPr>
          <w:rFonts w:eastAsiaTheme="minorEastAsia"/>
          <w:iCs/>
        </w:rPr>
        <w:t xml:space="preserve"> regional emissions estimates from </w:t>
      </w:r>
      <w:r w:rsidR="006D2FBA">
        <w:rPr>
          <w:rFonts w:eastAsiaTheme="minorEastAsia"/>
          <w:iCs/>
        </w:rPr>
        <w:t>aircraft or tower observation</w:t>
      </w:r>
      <w:r w:rsidR="00014EC1">
        <w:rPr>
          <w:rFonts w:eastAsiaTheme="minorEastAsia"/>
          <w:iCs/>
        </w:rPr>
        <w:t>s</w:t>
      </w:r>
      <w:r w:rsidR="006D2FBA">
        <w:rPr>
          <w:rFonts w:eastAsiaTheme="minorEastAsia"/>
          <w:iCs/>
        </w:rPr>
        <w:t>.</w:t>
      </w:r>
    </w:p>
    <w:p w14:paraId="7495BF75" w14:textId="2AC15972" w:rsidR="00111F79" w:rsidRDefault="00111F79" w:rsidP="000C5B1A"/>
    <w:p w14:paraId="3EC43984" w14:textId="189EBD16" w:rsidR="005A1285" w:rsidRDefault="006607BD" w:rsidP="000C5B1A">
      <w:r>
        <w:t>U</w:t>
      </w:r>
      <w:r w:rsidR="00FF45F0">
        <w:t xml:space="preserve">rban anthropogenic </w:t>
      </w:r>
      <w:r w:rsidR="00FF45F0" w:rsidRPr="00C01462">
        <w:t>posterior emissions</w:t>
      </w:r>
      <w:r w:rsidR="00FF45F0">
        <w:t xml:space="preserve"> </w:t>
      </w:r>
      <w:r w:rsidR="005A1285">
        <w:t xml:space="preserve">in these 95 cities </w:t>
      </w:r>
      <w:r w:rsidR="00FF45F0">
        <w:t xml:space="preserve">are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BA6A2B">
        <w:t>43</w:t>
      </w:r>
      <w:r w:rsidR="00BA6A2B" w:rsidRPr="00C01462">
        <w:t xml:space="preserve"> </w:t>
      </w:r>
      <w:r w:rsidR="00FF45F0" w:rsidRPr="00C01462">
        <w:t>(</w:t>
      </w:r>
      <w:r w:rsidR="00BA6A2B">
        <w:t>29</w:t>
      </w:r>
      <w:r w:rsidR="00BA6A2B" w:rsidRPr="00C01462">
        <w:t xml:space="preserve"> </w:t>
      </w:r>
      <w:r w:rsidR="00B82E8B">
        <w:t>-</w:t>
      </w:r>
      <w:r w:rsidR="00FF45F0" w:rsidRPr="00C01462">
        <w:t xml:space="preserve"> </w:t>
      </w:r>
      <w:r w:rsidR="00BA6A2B">
        <w:t>60</w:t>
      </w:r>
      <w:r w:rsidR="00FF45F0" w:rsidRPr="00C01462">
        <w:t>)</w:t>
      </w:r>
      <w:r w:rsidR="005A1285">
        <w:t xml:space="preserve"> %</w:t>
      </w:r>
      <w:r w:rsidR="00FF45F0" w:rsidRPr="00C01462">
        <w:t xml:space="preserve"> larger than </w:t>
      </w:r>
      <w:r w:rsidR="005A1285">
        <w:t xml:space="preserve">the </w:t>
      </w:r>
      <w:r w:rsidR="00BA6A2B">
        <w:t>GHGI</w:t>
      </w:r>
      <w:r w:rsidR="005A1285">
        <w:t xml:space="preserve"> value of 4.</w:t>
      </w:r>
      <w:r w:rsidR="00BA6A2B">
        <w:t xml:space="preserve">2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shown in Table S2,</w:t>
      </w:r>
      <w:r w:rsidR="005A1285">
        <w:t xml:space="preserve"> increase by an average</w:t>
      </w:r>
      <w:r w:rsidR="00BA6A2B">
        <w:t xml:space="preserve"> of</w:t>
      </w:r>
      <w:r w:rsidR="005A1285">
        <w:t xml:space="preserve"> </w:t>
      </w:r>
      <w:r w:rsidR="00BA6A2B">
        <w:t xml:space="preserve">47 </w:t>
      </w:r>
      <w:r w:rsidR="005A1285">
        <w:t>(</w:t>
      </w:r>
      <w:r w:rsidR="00BA6A2B">
        <w:t xml:space="preserve">34 </w:t>
      </w:r>
      <w:r w:rsidR="00B82E8B">
        <w:t>-</w:t>
      </w:r>
      <w:r w:rsidR="005A1285">
        <w:t xml:space="preserve"> </w:t>
      </w:r>
      <w:r w:rsidR="00BA6A2B">
        <w:t>61</w:t>
      </w:r>
      <w:r w:rsidR="005A1285">
        <w:t>) %</w:t>
      </w:r>
      <w:r w:rsidR="007A139F">
        <w:t>.</w:t>
      </w:r>
      <w:r w:rsidR="005A1285">
        <w:t xml:space="preserve"> These increases are much larger than </w:t>
      </w:r>
      <w:r w:rsidR="00604A12">
        <w:t xml:space="preserve">the </w:t>
      </w:r>
      <w:r w:rsidR="00BA6A2B">
        <w:t>16</w:t>
      </w:r>
      <w:r w:rsidR="005A1285" w:rsidRPr="00C01462">
        <w:t xml:space="preserve"> (12 </w:t>
      </w:r>
      <w:r w:rsidR="00B82E8B">
        <w:t>-</w:t>
      </w:r>
      <w:r w:rsidR="005A1285" w:rsidRPr="00C01462">
        <w:t xml:space="preserve"> </w:t>
      </w:r>
      <w:r w:rsidR="005A1285">
        <w:t>19</w:t>
      </w:r>
      <w:r w:rsidR="005A1285" w:rsidRPr="00C01462">
        <w:t>)</w:t>
      </w:r>
      <w:r w:rsidR="00BA6A2B">
        <w:t xml:space="preserve"> %</w:t>
      </w:r>
      <w:r w:rsidR="005A1285">
        <w:t xml:space="preserve"> increase we find in total </w:t>
      </w:r>
      <w:r w:rsidR="00BA6A2B">
        <w:t xml:space="preserve">CONUS </w:t>
      </w:r>
      <w:r w:rsidR="005A1285">
        <w:t xml:space="preserve">anthropogenic emissions </w:t>
      </w:r>
      <w:r w:rsidR="00BA6A2B">
        <w:t xml:space="preserve">relative </w:t>
      </w:r>
      <w:r w:rsidR="005A1285">
        <w:t xml:space="preserve">to the GHGI. </w:t>
      </w:r>
      <w:r w:rsidR="005A1285" w:rsidRPr="00C01462">
        <w:t xml:space="preserve">We are unable to </w:t>
      </w:r>
      <w:r w:rsidR="005A1285">
        <w:t>attribute</w:t>
      </w:r>
      <w:r w:rsidR="005A1285" w:rsidRPr="00C01462">
        <w:t xml:space="preserve"> the </w:t>
      </w:r>
      <w:r w:rsidR="00521989">
        <w:t>emissions increase</w:t>
      </w:r>
      <w:r w:rsidR="005A1285" w:rsidRPr="00C01462">
        <w:t xml:space="preserve"> </w:t>
      </w:r>
      <w:r w:rsidR="005A1285">
        <w:t>to a particular sector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inversion</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BA6A2B">
        <w:t xml:space="preserve">GHGI </w:t>
      </w:r>
      <w:r w:rsidR="005A1285">
        <w:t xml:space="preserve">emissions </w:t>
      </w:r>
      <w:r w:rsidR="009A7F41">
        <w:t xml:space="preserve">in an average urban area </w:t>
      </w:r>
      <w:r w:rsidR="00521989">
        <w:t>and increase 52%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commentRangeStart w:id="24"/>
      <w:r w:rsidR="00655F8E" w:rsidRPr="00614E0F">
        <w:rPr>
          <w:color w:val="000000" w:themeColor="text1"/>
        </w:rPr>
        <w:t>less than 20</w:t>
      </w:r>
      <w:r w:rsidR="00BA6A2B" w:rsidRPr="00614E0F">
        <w:rPr>
          <w:color w:val="000000" w:themeColor="text1"/>
        </w:rPr>
        <w:t xml:space="preserve">% </w:t>
      </w:r>
      <w:commentRangeEnd w:id="24"/>
      <w:r w:rsidR="00655F8E" w:rsidRPr="00614E0F">
        <w:rPr>
          <w:rStyle w:val="CommentReference"/>
          <w:color w:val="000000" w:themeColor="text1"/>
        </w:rPr>
        <w:commentReference w:id="24"/>
      </w:r>
      <w:r w:rsidR="009A7F41" w:rsidRPr="00614E0F">
        <w:rPr>
          <w:color w:val="000000" w:themeColor="text1"/>
        </w:rPr>
        <w:t xml:space="preserve">of </w:t>
      </w:r>
      <w:r w:rsidR="00255730">
        <w:rPr>
          <w:color w:val="000000" w:themeColor="text1"/>
        </w:rPr>
        <w:t>GHGI</w:t>
      </w:r>
      <w:r w:rsidR="00255730" w:rsidRPr="00614E0F">
        <w:rPr>
          <w:color w:val="000000" w:themeColor="text1"/>
        </w:rPr>
        <w:t xml:space="preserve"> </w:t>
      </w:r>
      <w:r w:rsidR="009A7F41" w:rsidRPr="00614E0F">
        <w:rPr>
          <w:color w:val="000000" w:themeColor="text1"/>
        </w:rPr>
        <w:t xml:space="preserve">emissions in an average urban area </w:t>
      </w:r>
      <w:commentRangeStart w:id="25"/>
      <w:commentRangeStart w:id="26"/>
      <w:r w:rsidR="00614E0F" w:rsidRPr="00614E0F">
        <w:rPr>
          <w:color w:val="000000" w:themeColor="text1"/>
        </w:rPr>
        <w:t>but explain between 32% and 100% of urban methane emissions</w:t>
      </w:r>
      <w:commentRangeEnd w:id="25"/>
      <w:r w:rsidR="00614E0F" w:rsidRPr="00614E0F">
        <w:rPr>
          <w:rStyle w:val="CommentReference"/>
          <w:color w:val="000000" w:themeColor="text1"/>
        </w:rPr>
        <w:commentReference w:id="25"/>
      </w:r>
      <w:commentRangeEnd w:id="26"/>
      <w:r w:rsidR="00614E0F" w:rsidRPr="00614E0F">
        <w:rPr>
          <w:rStyle w:val="CommentReference"/>
          <w:color w:val="000000" w:themeColor="text1"/>
        </w:rPr>
        <w:commentReference w:id="26"/>
      </w:r>
      <w:r w:rsidR="00614E0F" w:rsidRPr="00614E0F">
        <w:rPr>
          <w:color w:val="000000" w:themeColor="text1"/>
        </w:rPr>
        <w:t xml:space="preserve"> (</w:t>
      </w:r>
      <w:r w:rsidR="009A7F41" w:rsidRPr="0078584E">
        <w:rPr>
          <w:color w:val="000000" w:themeColor="text1"/>
        </w:rPr>
        <w:t xml:space="preserve">Plant et al., 2019; </w:t>
      </w:r>
      <w:proofErr w:type="spellStart"/>
      <w:r w:rsidR="009A7F41" w:rsidRPr="0078584E">
        <w:rPr>
          <w:color w:val="000000" w:themeColor="text1"/>
        </w:rPr>
        <w:t>Floerchinger</w:t>
      </w:r>
      <w:proofErr w:type="spellEnd"/>
      <w:r w:rsidR="009A7F41" w:rsidRPr="0078584E">
        <w:rPr>
          <w:color w:val="000000" w:themeColor="text1"/>
        </w:rPr>
        <w:t xml:space="preserve"> et al., 2021; Sargent et al., 2021), </w:t>
      </w:r>
      <w:r w:rsidR="009A7F41">
        <w:t xml:space="preserve">are significantly underestimated. </w:t>
      </w:r>
      <w:r w:rsidR="00771467" w:rsidRPr="00C71319">
        <w:t>The EPA added post-meter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r w:rsidR="000F2620">
        <w:t xml:space="preserve">Finally, recent studies have shown </w:t>
      </w:r>
      <w:r w:rsidR="008C02E8">
        <w:t>large</w:t>
      </w:r>
      <w:r w:rsidR="000F2620">
        <w:t xml:space="preserve"> underestimates of methane emissions from wastewater treatment</w:t>
      </w:r>
      <w:r w:rsidR="00255730">
        <w:t xml:space="preserve"> (Moore et al., 2023; Song et al., 2023), but this </w:t>
      </w:r>
      <w:r w:rsidR="008C02E8">
        <w:t>only accounts for 2% of the observed discrepancy. 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increase and urban area population, population change from 2000 to 2010, population density, or surface area.</w:t>
      </w:r>
    </w:p>
    <w:p w14:paraId="77C7414F" w14:textId="77777777" w:rsidR="005A1285" w:rsidRDefault="005A1285" w:rsidP="000C5B1A"/>
    <w:p w14:paraId="179627FE" w14:textId="23140C3C" w:rsidR="005C1721" w:rsidRDefault="00FC1C13" w:rsidP="000C5B1A">
      <w:r>
        <w:t xml:space="preserve">We consider </w:t>
      </w:r>
      <w:r w:rsidR="00BA6A2B">
        <w:t>further</w:t>
      </w:r>
      <w:r>
        <w:t xml:space="preserve"> the </w:t>
      </w:r>
      <w:r w:rsidR="005A1285">
        <w:t xml:space="preserve">top 10 methane-producing cities as ranked by posterior </w:t>
      </w:r>
      <w:r w:rsidR="00D55F38">
        <w:t>emissions</w:t>
      </w:r>
      <w:commentRangeStart w:id="27"/>
      <w:commentRangeStart w:id="28"/>
      <w:commentRangeStart w:id="29"/>
      <w:r w:rsidR="00D55F38">
        <w:t xml:space="preserve"> from landfills, gas distribution, and wastewater, as shown in Figure </w:t>
      </w:r>
      <w:commentRangeEnd w:id="27"/>
      <w:r w:rsidR="00D775B7">
        <w:t>8</w:t>
      </w:r>
      <w:r w:rsidR="00D55F38">
        <w:rPr>
          <w:rStyle w:val="CommentReference"/>
        </w:rPr>
        <w:commentReference w:id="27"/>
      </w:r>
      <w:commentRangeEnd w:id="28"/>
      <w:r w:rsidR="00D55F38">
        <w:rPr>
          <w:rStyle w:val="CommentReference"/>
        </w:rPr>
        <w:commentReference w:id="28"/>
      </w:r>
      <w:commentRangeEnd w:id="29"/>
      <w:r w:rsidR="00C030D6">
        <w:rPr>
          <w:rStyle w:val="CommentReference"/>
        </w:rPr>
        <w:commentReference w:id="29"/>
      </w:r>
      <w:r w:rsidR="00D55F38">
        <w:t xml:space="preserve">. </w:t>
      </w:r>
      <w:r w:rsidR="003349F3">
        <w:t xml:space="preserve">These cities explain </w:t>
      </w:r>
      <w:r w:rsidR="00D55F38">
        <w:t>35</w:t>
      </w:r>
      <w:r w:rsidR="003349F3" w:rsidRPr="00C01462">
        <w:t xml:space="preserve"> (</w:t>
      </w:r>
      <w:r w:rsidR="00D55F38">
        <w:t>34</w:t>
      </w:r>
      <w:r w:rsidR="003349F3" w:rsidRPr="00C01462">
        <w:t xml:space="preserve"> </w:t>
      </w:r>
      <w:r w:rsidR="008E3090">
        <w:t>-</w:t>
      </w:r>
      <w:r w:rsidR="003349F3" w:rsidRPr="00C01462">
        <w:t xml:space="preserve"> </w:t>
      </w:r>
      <w:r w:rsidR="00D55F38">
        <w:t>36</w:t>
      </w:r>
      <w:r w:rsidR="003349F3" w:rsidRPr="00C01462">
        <w:t>)</w:t>
      </w:r>
      <w:r w:rsidR="00A01C2B">
        <w:t xml:space="preserve"> %</w:t>
      </w:r>
      <w:r w:rsidR="003349F3" w:rsidRPr="00C01462">
        <w:t xml:space="preserve"> of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55F38">
        <w:t xml:space="preserve">GHGI </w:t>
      </w:r>
      <w:r w:rsidR="00A01C2B">
        <w:t xml:space="preserve">emissions </w:t>
      </w:r>
      <w:r w:rsidR="005C1721" w:rsidRPr="00C01462">
        <w:t xml:space="preserve">of </w:t>
      </w:r>
      <w:r w:rsidR="00D55F38">
        <w:t>74</w:t>
      </w:r>
      <w:r w:rsidR="008E3090">
        <w:t xml:space="preserve"> (</w:t>
      </w:r>
      <w:r w:rsidR="00602BBE">
        <w:t>51</w:t>
      </w:r>
      <w:r w:rsidR="008E3090">
        <w:t xml:space="preserve"> - </w:t>
      </w:r>
      <w:r w:rsidR="00602BBE">
        <w:t>103</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 which likely results from </w:t>
      </w:r>
      <w:r w:rsidR="00D55F38">
        <w:t>our consideration of broader</w:t>
      </w:r>
      <w:r w:rsidR="00BF1D58">
        <w:t xml:space="preserve"> urban area</w:t>
      </w:r>
      <w:r w:rsidR="00D55F38">
        <w:t>s</w:t>
      </w:r>
      <w:r w:rsidR="00BF1D58">
        <w:t>.</w:t>
      </w:r>
    </w:p>
    <w:p w14:paraId="0055953E" w14:textId="77777777" w:rsidR="005C1721" w:rsidRDefault="005C1721" w:rsidP="000C5B1A"/>
    <w:p w14:paraId="401B0EF6" w14:textId="0D6B5F4D" w:rsidR="00E66D38" w:rsidRDefault="00CA2C82" w:rsidP="00D941F0">
      <w:r>
        <w:t>W</w:t>
      </w:r>
      <w:r w:rsidRPr="00C01462">
        <w:t xml:space="preserve">e </w:t>
      </w:r>
      <w:r w:rsidR="00BA6A2B">
        <w:t xml:space="preserve">evaluate </w:t>
      </w:r>
      <w:r>
        <w:t xml:space="preserve">our results </w:t>
      </w:r>
      <w:r w:rsidR="00D9347F">
        <w:t>by comparison to</w:t>
      </w:r>
      <w:r>
        <w:t xml:space="preserve"> </w:t>
      </w:r>
      <w:r w:rsidR="00D9347F">
        <w:t>12</w:t>
      </w:r>
      <w:r w:rsidR="006D2FBA">
        <w:t xml:space="preserve"> </w:t>
      </w:r>
      <w:r w:rsidR="00BA6A2B">
        <w:t xml:space="preserve">top-down </w:t>
      </w:r>
      <w:r w:rsidRPr="00C01462">
        <w:t xml:space="preserve">studies </w:t>
      </w:r>
      <w:r>
        <w:t xml:space="preserve">of </w:t>
      </w:r>
      <w:r w:rsidR="00C76E63">
        <w:t xml:space="preserve">the top 10 methane-producing </w:t>
      </w:r>
      <w:r>
        <w:t xml:space="preserve">urban areas </w:t>
      </w:r>
      <w:r w:rsidRPr="00C01462">
        <w:t>published since 2015</w:t>
      </w:r>
      <w:r>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(2022) and Plant et al. </w:t>
      </w:r>
      <w:r w:rsidR="00D9347F">
        <w:lastRenderedPageBreak/>
        <w:t xml:space="preserve">(2022) using the U.S. Census designation. </w:t>
      </w:r>
      <w:r w:rsidR="004D27D1">
        <w:t>Most use</w:t>
      </w:r>
      <w:r w:rsidR="003349F3">
        <w:t>d</w:t>
      </w:r>
      <w:r w:rsidR="004D27D1">
        <w:t xml:space="preserve"> aircraft </w:t>
      </w:r>
      <w:r w:rsidR="00E66D38">
        <w:t>or</w:t>
      </w:r>
      <w:r w:rsidR="004D27D1">
        <w:t xml:space="preserve"> tower observations to infer emissions by inverting a CTM (Cui et al., 2015; </w:t>
      </w:r>
      <w:proofErr w:type="spellStart"/>
      <w:r w:rsidR="00E66D38">
        <w:t>Jeong</w:t>
      </w:r>
      <w:proofErr w:type="spellEnd"/>
      <w:r w:rsidR="00E66D38">
        <w:t xml:space="preserve"> et al., 2016; Cusworth et al., 2020; Pitt et al., 2022; Yadav et al., 2019, 2023</w:t>
      </w:r>
      <w:r w:rsidR="004D27D1">
        <w:t xml:space="preserve">). </w:t>
      </w:r>
      <w:proofErr w:type="spellStart"/>
      <w:r w:rsidR="00D9347F">
        <w:t>Kuwayama</w:t>
      </w:r>
      <w:proofErr w:type="spellEnd"/>
      <w:r w:rsidR="00D9347F">
        <w:t xml:space="preserve"> et al. (2019)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 xml:space="preserve">these gases </w:t>
      </w:r>
      <w:r w:rsidR="004D27D1">
        <w:t>(Wong et al., 2015; Wunch et al., 2016; Plant et al., 2019).</w:t>
      </w:r>
      <w:r w:rsidR="005B2E1E">
        <w:t xml:space="preserve"> Plant et al. (2022) used the same approach with TROPOMI methane to CO emissions.</w:t>
      </w:r>
    </w:p>
    <w:p w14:paraId="4DBDD761" w14:textId="77777777" w:rsidR="00D9347F" w:rsidRDefault="00D9347F" w:rsidP="00D941F0"/>
    <w:p w14:paraId="2DDA4521" w14:textId="6B33C10C" w:rsidR="003349F3" w:rsidRDefault="00D9347F" w:rsidP="00D941F0">
      <w:r>
        <w:t>On average, we find lower but statistically comparable emissions relative to these studies</w:t>
      </w:r>
      <w:r w:rsidR="00E66000">
        <w:t xml:space="preserve"> that</w:t>
      </w:r>
      <w:r>
        <w:t xml:space="preserve"> likely results from our restrictive definition of urban area. </w:t>
      </w:r>
      <w:r w:rsidR="00E66000">
        <w:t>Th</w:t>
      </w:r>
      <w:r>
        <w:t>e only surveyed study that use</w:t>
      </w:r>
      <w:r w:rsidR="00E66000">
        <w:t>d</w:t>
      </w:r>
      <w:r>
        <w:t xml:space="preserve"> aircraft data to </w:t>
      </w:r>
      <w:r w:rsidR="006D7F6A">
        <w:t>estimate</w:t>
      </w:r>
      <w:r>
        <w:t xml:space="preserve"> emissions within a U.S. Census Urban Area</w:t>
      </w:r>
      <w:r w:rsidR="00E66000">
        <w:t xml:space="preserve"> </w:t>
      </w:r>
      <w:r w:rsidR="003349F3">
        <w:t>found</w:t>
      </w:r>
      <w:r>
        <w:t xml:space="preserve"> 314 ± 96 Gg a</w:t>
      </w:r>
      <w:r>
        <w:rPr>
          <w:vertAlign w:val="superscript"/>
        </w:rPr>
        <w:t>-1</w:t>
      </w:r>
      <w:r>
        <w:t xml:space="preserve"> in New York City, </w:t>
      </w:r>
      <w:r w:rsidR="00E66000">
        <w:t>which is very similar to our estimate of</w:t>
      </w:r>
      <w:r>
        <w:t xml:space="preserve"> 309 (241 </w:t>
      </w:r>
      <w:r w:rsidR="00602BBE">
        <w:t>-</w:t>
      </w:r>
      <w:r>
        <w:t xml:space="preserve"> 417) Gg a</w:t>
      </w:r>
      <w:r>
        <w:rPr>
          <w:vertAlign w:val="superscript"/>
        </w:rPr>
        <w:t>-1</w:t>
      </w:r>
      <w:r w:rsidR="00E66000">
        <w:t xml:space="preserve"> (Pitt et al., 2022).</w:t>
      </w:r>
      <w:r>
        <w:t xml:space="preserve"> Plant et al. (2022)</w:t>
      </w:r>
      <w:r w:rsidR="006132F0">
        <w:t xml:space="preserve"> </w:t>
      </w:r>
      <w:r w:rsidR="005B2E1E">
        <w:t>also</w:t>
      </w:r>
      <w:r>
        <w:t xml:space="preserve"> </w:t>
      </w:r>
      <w:r w:rsidR="00E66000">
        <w:t>used</w:t>
      </w:r>
      <w:r>
        <w:t xml:space="preserve"> U.S. Census Urban Areas but </w:t>
      </w:r>
      <w:r w:rsidR="00E66000">
        <w:t>relied on TROPOMI</w:t>
      </w:r>
      <w:r>
        <w:t xml:space="preserve"> methane to </w:t>
      </w:r>
      <w:r w:rsidR="00E66000">
        <w:t xml:space="preserve">CO </w:t>
      </w:r>
      <w:r>
        <w:t>ratios</w:t>
      </w:r>
      <w:r w:rsidR="006132F0">
        <w:t xml:space="preserve">. They </w:t>
      </w:r>
      <w:r w:rsidR="006D7F6A">
        <w:t>found</w:t>
      </w:r>
      <w:r>
        <w:t xml:space="preserve"> slightly larger emissions in Atlanta and Philadelphia and much larger emissions in New York City</w:t>
      </w:r>
      <w:r w:rsidR="006132F0">
        <w:t xml:space="preserve">, but </w:t>
      </w:r>
      <w:r>
        <w:t>their error bars span</w:t>
      </w:r>
      <w:r w:rsidR="00E66000">
        <w:t>ned</w:t>
      </w:r>
      <w:r>
        <w:t xml:space="preserve"> ranges that </w:t>
      </w:r>
      <w:r w:rsidR="00E66000">
        <w:t>were</w:t>
      </w:r>
      <w:r>
        <w:t xml:space="preserve"> almost twice as large as the </w:t>
      </w:r>
      <w:r w:rsidR="00E66000">
        <w:t xml:space="preserve">derived </w:t>
      </w:r>
      <w:r>
        <w:t xml:space="preserve">emissions, limiting the </w:t>
      </w:r>
      <w:r w:rsidR="00E66000">
        <w:t>utility</w:t>
      </w:r>
      <w:r>
        <w:t xml:space="preserve"> of the comparison. Plant et al. (2019) also </w:t>
      </w:r>
      <w:r w:rsidR="003349F3">
        <w:t>found</w:t>
      </w:r>
      <w:r>
        <w:t xml:space="preserve"> larger emissions in New York and Philadelphia but use</w:t>
      </w:r>
      <w:r w:rsidR="003349F3">
        <w:t>d</w:t>
      </w:r>
      <w:r>
        <w:t xml:space="preserve"> larger definitions of urban areas and produce</w:t>
      </w:r>
      <w:r w:rsidR="003349F3">
        <w:t>d</w:t>
      </w:r>
      <w:r>
        <w:t xml:space="preserve"> similarly </w:t>
      </w:r>
      <w:r w:rsidR="00D95EED">
        <w:t xml:space="preserve">wide </w:t>
      </w:r>
      <w:r>
        <w:t xml:space="preserve">error </w:t>
      </w:r>
      <w:r w:rsidR="00D95EED">
        <w:t>ranges</w:t>
      </w:r>
      <w:r>
        <w:t>.</w:t>
      </w:r>
    </w:p>
    <w:p w14:paraId="3B73177F" w14:textId="77777777" w:rsidR="00E66000" w:rsidRDefault="00E66000" w:rsidP="00D941F0"/>
    <w:p w14:paraId="2E3190CC" w14:textId="53261092" w:rsidR="006D7F6A" w:rsidRPr="006D7F6A" w:rsidDel="00D9347F" w:rsidRDefault="00D9347F" w:rsidP="00D941F0">
      <w:r>
        <w:t>Los Angeles is the only city where we find statistical disagreement</w:t>
      </w:r>
      <w:r w:rsidR="003349F3">
        <w:t xml:space="preserve"> with previous studies.</w:t>
      </w:r>
      <w:r>
        <w:t xml:space="preserve"> </w:t>
      </w:r>
      <w:r w:rsidR="00D95EED">
        <w:t>A</w:t>
      </w:r>
      <w:r w:rsidR="00E66000">
        <w:t>ll surveyed studies quantified emissions in</w:t>
      </w:r>
      <w:r w:rsidR="006D7F6A">
        <w:t xml:space="preserve"> </w:t>
      </w:r>
      <w:r w:rsidR="003349F3">
        <w:t>CARB’s South Coast air basin</w:t>
      </w:r>
      <w:r w:rsidR="00E66000">
        <w:t xml:space="preserve">, </w:t>
      </w:r>
      <w:r w:rsidR="00D95EED">
        <w:t xml:space="preserve">and </w:t>
      </w:r>
      <w:r w:rsidR="00E66000">
        <w:t>w</w:t>
      </w:r>
      <w:r w:rsidR="003349F3">
        <w:t>e find a smaller but still significant low bias</w:t>
      </w:r>
      <w:r w:rsidR="006D7F6A">
        <w:t xml:space="preserve"> </w:t>
      </w:r>
      <w:r w:rsidR="00D95EED">
        <w:t xml:space="preserve">when we use an equivalent </w:t>
      </w:r>
      <w:commentRangeStart w:id="30"/>
      <w:r w:rsidR="00D95EED">
        <w:t>extent</w:t>
      </w:r>
      <w:commentRangeEnd w:id="30"/>
      <w:r w:rsidR="00D775B7">
        <w:rPr>
          <w:rStyle w:val="CommentReference"/>
        </w:rPr>
        <w:commentReference w:id="30"/>
      </w:r>
      <w:r w:rsidR="003349F3">
        <w:t>. Much of the remain</w:t>
      </w:r>
      <w:r w:rsidR="006D7F6A">
        <w:t>ing</w:t>
      </w:r>
      <w:r w:rsidR="003349F3">
        <w:t xml:space="preserve"> discrepancy </w:t>
      </w:r>
      <w:r w:rsidR="006D7F6A">
        <w:t>results from</w:t>
      </w:r>
      <w:r w:rsidR="003349F3">
        <w:t xml:space="preserve"> decreasing emissions over the period</w:t>
      </w:r>
      <w:r w:rsidR="006D7F6A">
        <w:t>s</w:t>
      </w:r>
      <w:r w:rsidR="00E66000">
        <w:t xml:space="preserve"> studied</w:t>
      </w:r>
      <w:r w:rsidR="003349F3">
        <w:t xml:space="preserve">. </w:t>
      </w:r>
      <w:r w:rsidR="006D7F6A">
        <w:t xml:space="preserve">The </w:t>
      </w:r>
      <w:r w:rsidR="00E66000">
        <w:t xml:space="preserve">2013 closure of the </w:t>
      </w:r>
      <w:r w:rsidR="003349F3">
        <w:t xml:space="preserve">Puente Hills Landfill, one of the largest landfills in </w:t>
      </w:r>
      <w:r w:rsidR="00E66000">
        <w:t>CONUS</w:t>
      </w:r>
      <w:r w:rsidR="003349F3">
        <w:t xml:space="preserve">, </w:t>
      </w:r>
      <w:r w:rsidR="00E66000">
        <w:t xml:space="preserve">decreased methane emissions </w:t>
      </w:r>
      <w:r w:rsidR="003349F3">
        <w:t>significant</w:t>
      </w:r>
      <w:r w:rsidR="00E66000">
        <w:t>ly</w:t>
      </w:r>
      <w:r w:rsidR="003349F3">
        <w:t xml:space="preserve"> </w:t>
      </w:r>
      <w:r w:rsidR="006D7F6A">
        <w:t>(CARB, 2018; Yadav et al., 2019)</w:t>
      </w:r>
      <w:r w:rsidR="00E66000">
        <w:t xml:space="preserve">, which is </w:t>
      </w:r>
      <w:r w:rsidR="006D7F6A">
        <w:t xml:space="preserve">not fully reflected in </w:t>
      </w:r>
      <w:r w:rsidR="00E66000">
        <w:t xml:space="preserve">the estimates of </w:t>
      </w:r>
      <w:r w:rsidR="006D7F6A">
        <w:t>Cui et al. (2015), Wong et al. (2015), or Wunch et al. (2016). Yadav et al. (2023) found</w:t>
      </w:r>
      <w:r w:rsidR="003349F3">
        <w:t xml:space="preserve"> that Los Angeles emissions decreased </w:t>
      </w:r>
      <w:r w:rsidR="00E66000">
        <w:t xml:space="preserve">an additional </w:t>
      </w:r>
      <w:r w:rsidR="003349F3">
        <w:t>7% from January 2015 to May 2020</w:t>
      </w:r>
      <w:r w:rsidR="006D7F6A">
        <w:t>. 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w:t>
      </w:r>
      <w:r w:rsidR="001F667A">
        <w:t>–</w:t>
      </w:r>
      <w:r w:rsidR="006D7F6A">
        <w:t xml:space="preserve"> 193) Gg a</w:t>
      </w:r>
      <w:r w:rsidR="006D7F6A">
        <w:rPr>
          <w:vertAlign w:val="superscript"/>
        </w:rPr>
        <w:t>-1</w:t>
      </w:r>
      <w:r w:rsidR="00E66000">
        <w:t>, which w</w:t>
      </w:r>
      <w:r w:rsidR="006D7F6A">
        <w:t xml:space="preserve">e attribute to a low bias in </w:t>
      </w:r>
      <w:r w:rsidR="00C71319">
        <w:t xml:space="preserve">the western </w:t>
      </w:r>
      <w:r w:rsidR="006D7F6A">
        <w:t xml:space="preserve">boundary condition that is not addressed at the spatiotemporal resolution of our boundary condition </w:t>
      </w:r>
      <w:commentRangeStart w:id="31"/>
      <w:r w:rsidR="006D7F6A">
        <w:t xml:space="preserve">correction </w:t>
      </w:r>
      <w:commentRangeEnd w:id="31"/>
      <w:r w:rsidR="00D95EED">
        <w:rPr>
          <w:rStyle w:val="CommentReference"/>
        </w:rPr>
        <w:commentReference w:id="31"/>
      </w:r>
      <w:r w:rsidR="006D7F6A">
        <w:t>(section 3.3).</w:t>
      </w:r>
    </w:p>
    <w:p w14:paraId="0D5F308D" w14:textId="4397C1D9" w:rsidR="00C5293A" w:rsidRDefault="00C5293A" w:rsidP="00C5293A"/>
    <w:p w14:paraId="0180047E" w14:textId="04AFA806" w:rsidR="00B44582" w:rsidRPr="00C01462" w:rsidRDefault="00B44582">
      <w:pPr>
        <w:rPr>
          <w:b/>
          <w:bCs/>
        </w:rPr>
      </w:pPr>
      <w:r w:rsidRPr="00C01462">
        <w:rPr>
          <w:b/>
          <w:bCs/>
        </w:rPr>
        <w:t>4 Conclusions</w:t>
      </w:r>
    </w:p>
    <w:p w14:paraId="572F6789" w14:textId="3AFC0372"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CONUS. The high resolution of our inversion allows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rsidRPr="0078584E">
        <w:rPr>
          <w:color w:val="000000" w:themeColor="text1"/>
        </w:rPr>
        <w:t xml:space="preserve">, while the continent-scale of the work </w:t>
      </w:r>
      <w:r w:rsidR="004D72B5">
        <w:t>supports statistical analysis of each of these sources. We compare our results to the</w:t>
      </w:r>
      <w:r w:rsidR="00066335">
        <w:t xml:space="preserve"> 2022</w:t>
      </w:r>
      <w:r w:rsidR="004D72B5">
        <w:t xml:space="preserve"> EPA GHGI</w:t>
      </w:r>
      <w:r w:rsidR="00066335">
        <w:t xml:space="preserve"> for 2019</w:t>
      </w:r>
      <w:r w:rsidR="004D72B5">
        <w:t>, including new state-level estimates, and to emissions estimates from individual landfills, states, and cities to better understand the origins of the discrepancies between inventories and observations.</w:t>
      </w:r>
    </w:p>
    <w:p w14:paraId="0CC96D91" w14:textId="520FDEA7" w:rsidR="00B647C2" w:rsidRDefault="00B647C2">
      <w:pPr>
        <w:rPr>
          <w:color w:val="FF0000"/>
        </w:rPr>
      </w:pPr>
    </w:p>
    <w:p w14:paraId="21ECB987" w14:textId="0EF36E57" w:rsidR="004D72B5" w:rsidRPr="00E15AB4" w:rsidRDefault="004D72B5">
      <w:pPr>
        <w:rPr>
          <w:color w:val="000000" w:themeColor="text1"/>
        </w:rPr>
      </w:pPr>
      <w:r w:rsidRPr="00E15AB4">
        <w:rPr>
          <w:color w:val="000000" w:themeColor="text1"/>
        </w:rPr>
        <w:t>We inverted TROPOMI observations of atmospheric methane columns to obtain optimized emissions using as forward model the GEOS-Chem chemical transport model. The inverse solution is obtained through a reduced-rank approximation of the analytical minimum of a Bayesian cost function</w:t>
      </w:r>
      <w:r w:rsidR="00511950" w:rsidRPr="00E15AB4">
        <w:rPr>
          <w:color w:val="000000" w:themeColor="text1"/>
        </w:rPr>
        <w:t xml:space="preserve"> regularized by an initial emissions estimate provided by the emissions reported by EPA to the UNFCCC. The analytical solution characterizes the error and information content of the improved emissions and supports the generation of an eight-member inversion ensemble. However, it requires explicit characterization of the Jacobian matrix that represents </w:t>
      </w:r>
      <w:r w:rsidR="00511950" w:rsidRPr="00E15AB4">
        <w:rPr>
          <w:color w:val="000000" w:themeColor="text1"/>
        </w:rPr>
        <w:lastRenderedPageBreak/>
        <w:t>the linear relationship between emissions and observations in the forward model. We construct</w:t>
      </w:r>
      <w:r w:rsidR="00B647C2" w:rsidRPr="00E15AB4">
        <w:rPr>
          <w:color w:val="000000" w:themeColor="text1"/>
        </w:rPr>
        <w:t xml:space="preserve"> this matrix </w:t>
      </w:r>
      <w:r w:rsidR="00511950" w:rsidRPr="00E15AB4">
        <w:rPr>
          <w:color w:val="000000" w:themeColor="text1"/>
        </w:rPr>
        <w:t>along the emissions patterns best informed by the initial emissions estimate and the observations</w:t>
      </w:r>
      <w:r w:rsidR="00B647C2" w:rsidRPr="00E15AB4">
        <w:rPr>
          <w:color w:val="000000" w:themeColor="text1"/>
        </w:rPr>
        <w:t>, decreasing the computational cost of our inversion by an order of magnitude compared to conventional approaches while optimally preserving its information content.</w:t>
      </w:r>
    </w:p>
    <w:p w14:paraId="372B5EA1" w14:textId="159E3298" w:rsidR="00737862" w:rsidRPr="00E15AB4" w:rsidRDefault="00737862">
      <w:pPr>
        <w:rPr>
          <w:color w:val="000000" w:themeColor="text1"/>
        </w:rPr>
      </w:pPr>
    </w:p>
    <w:p w14:paraId="444219E3" w14:textId="5467D07C" w:rsidR="00186484" w:rsidRPr="00E15AB4" w:rsidRDefault="00B647C2">
      <w:pPr>
        <w:rPr>
          <w:color w:val="000000" w:themeColor="text1"/>
        </w:rPr>
      </w:pPr>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 a</w:t>
      </w:r>
      <w:r w:rsidRPr="00E15AB4">
        <w:rPr>
          <w:color w:val="000000" w:themeColor="text1"/>
        </w:rPr>
        <w:t xml:space="preserve"> </w:t>
      </w:r>
      <w:r w:rsidR="00E462E6" w:rsidRPr="00E15AB4">
        <w:rPr>
          <w:color w:val="000000" w:themeColor="text1"/>
        </w:rPr>
        <w:t>16</w:t>
      </w:r>
      <w:r w:rsidR="00066335" w:rsidRPr="00E15AB4">
        <w:rPr>
          <w:color w:val="000000" w:themeColor="text1"/>
        </w:rPr>
        <w:t xml:space="preserve"> (12 </w:t>
      </w:r>
      <w:r w:rsidR="001F667A" w:rsidRPr="00E15AB4">
        <w:rPr>
          <w:color w:val="000000" w:themeColor="text1"/>
        </w:rPr>
        <w:t>-</w:t>
      </w:r>
      <w:r w:rsidR="00066335" w:rsidRPr="00E15AB4">
        <w:rPr>
          <w:color w:val="000000" w:themeColor="text1"/>
        </w:rPr>
        <w:t xml:space="preserve"> </w:t>
      </w:r>
      <w:proofErr w:type="gramStart"/>
      <w:r w:rsidR="00066335" w:rsidRPr="00E15AB4">
        <w:rPr>
          <w:color w:val="000000" w:themeColor="text1"/>
        </w:rPr>
        <w:t>19)%</w:t>
      </w:r>
      <w:proofErr w:type="gramEnd"/>
      <w:r w:rsidR="00066335" w:rsidRPr="00E15AB4">
        <w:rPr>
          <w:color w:val="000000" w:themeColor="text1"/>
        </w:rPr>
        <w:t xml:space="preserve"> increase from the GHGI</w:t>
      </w:r>
      <w:r w:rsidR="003F535C" w:rsidRPr="00E15AB4">
        <w:rPr>
          <w:color w:val="000000" w:themeColor="text1"/>
        </w:rPr>
        <w:t xml:space="preserve"> estimate of 26.7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 where ranges are provided by the inversion ensemble</w:t>
      </w:r>
      <w:r w:rsidR="00066335" w:rsidRPr="00E15AB4">
        <w:rPr>
          <w:color w:val="000000" w:themeColor="text1"/>
        </w:rPr>
        <w:t xml:space="preserve">. </w:t>
      </w:r>
      <w:r w:rsidR="00487B1F" w:rsidRPr="00E15AB4">
        <w:rPr>
          <w:color w:val="000000" w:themeColor="text1"/>
        </w:rPr>
        <w:t>We find a significant increase in emissions from manure management and a significant decrease in those from coal mining, but m</w:t>
      </w:r>
      <w:r w:rsidR="00851CAB" w:rsidRPr="00E15AB4">
        <w:rPr>
          <w:color w:val="000000" w:themeColor="text1"/>
        </w:rPr>
        <w:t xml:space="preserve">ost of the increase is explained by a 52% increase in landfill emissions. </w:t>
      </w:r>
      <w:r w:rsidR="00186484" w:rsidRPr="00E15AB4">
        <w:rPr>
          <w:color w:val="000000" w:themeColor="text1"/>
        </w:rPr>
        <w:t>By comparing our optimized emissions to those reported to EPA’s GHGRP by 73 landfills across CONUS, w</w:t>
      </w:r>
      <w:r w:rsidR="00E56C71" w:rsidRPr="00E15AB4">
        <w:rPr>
          <w:color w:val="000000" w:themeColor="text1"/>
        </w:rPr>
        <w:t xml:space="preserve">e </w:t>
      </w:r>
      <w:r w:rsidR="00487B1F" w:rsidRPr="00E15AB4">
        <w:rPr>
          <w:color w:val="000000" w:themeColor="text1"/>
        </w:rPr>
        <w:t xml:space="preserve">attribute the </w:t>
      </w:r>
      <w:r w:rsidR="00186484" w:rsidRPr="00E15AB4">
        <w:rPr>
          <w:color w:val="000000" w:themeColor="text1"/>
        </w:rPr>
        <w:t>observed</w:t>
      </w:r>
      <w:r w:rsidR="00487B1F" w:rsidRPr="00E15AB4">
        <w:rPr>
          <w:color w:val="000000" w:themeColor="text1"/>
        </w:rPr>
        <w:t xml:space="preserve"> discrepancy to </w:t>
      </w:r>
      <w:r w:rsidR="00186484" w:rsidRPr="00E15AB4">
        <w:rPr>
          <w:color w:val="000000" w:themeColor="text1"/>
        </w:rPr>
        <w:t>EPA methodologies that use too-high recovery efficiencies at facilities that collect landfill gas and that fail to account for 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34848B82" w:rsidR="00737862" w:rsidRPr="00E15AB4" w:rsidRDefault="00C941DC">
      <w:pPr>
        <w:rPr>
          <w:color w:val="000000" w:themeColor="text1"/>
        </w:rPr>
      </w:pPr>
      <w:r w:rsidRPr="00E15AB4">
        <w:rPr>
          <w:color w:val="000000" w:themeColor="text1"/>
        </w:rPr>
        <w:t xml:space="preserve">We take advantage of the high resolution of our inversion and partition our emissions to each of the 48 states in CONUS.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Pr="00E15AB4">
        <w:rPr>
          <w:color w:val="000000" w:themeColor="text1"/>
        </w:rPr>
        <w:t>12%</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6D2CC3" w:rsidRPr="00E15AB4">
        <w:rPr>
          <w:color w:val="000000" w:themeColor="text1"/>
        </w:rPr>
        <w:t>compared to</w:t>
      </w:r>
      <w:r w:rsidRPr="00E15AB4">
        <w:rPr>
          <w:color w:val="000000" w:themeColor="text1"/>
        </w:rPr>
        <w:t xml:space="preserve"> the newly available GHGI state estimates</w:t>
      </w:r>
      <w:r w:rsidR="00283BC0" w:rsidRPr="00E15AB4">
        <w:rPr>
          <w:color w:val="000000" w:themeColor="text1"/>
        </w:rPr>
        <w:t xml:space="preserve"> with a 38%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due to increase</w:t>
      </w:r>
      <w:r w:rsidR="001F667A" w:rsidRPr="00E15AB4">
        <w:rPr>
          <w:color w:val="000000" w:themeColor="text1"/>
        </w:rPr>
        <w:t>d</w:t>
      </w:r>
      <w:r w:rsidRPr="00E15AB4">
        <w:rPr>
          <w:color w:val="000000" w:themeColor="text1"/>
        </w:rPr>
        <w:t xml:space="preserve"> oil and gas emissions, though livestock and landfill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1F667A" w:rsidRPr="00E15AB4">
        <w:rPr>
          <w:color w:val="000000" w:themeColor="text1"/>
        </w:rPr>
        <w:t>emit 21% and 6% of our optimized CONUS anthropogenic emissions, respectively. Emissions in Texas increase by 69% relative to the GHGI almost entirely due to the oil and gas sector,</w:t>
      </w:r>
      <w:r w:rsidR="00283BC0" w:rsidRPr="00E15AB4">
        <w:rPr>
          <w:color w:val="000000" w:themeColor="text1"/>
        </w:rPr>
        <w:t xml:space="preserve"> including operations in</w:t>
      </w:r>
      <w:r w:rsidR="001F667A" w:rsidRPr="00E15AB4">
        <w:rPr>
          <w:color w:val="000000" w:themeColor="text1"/>
        </w:rPr>
        <w:t xml:space="preserve"> the Permian basin, which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283BC0" w:rsidRPr="00E15AB4">
        <w:rPr>
          <w:color w:val="000000" w:themeColor="text1"/>
        </w:rPr>
        <w:t>33% increase from the GHGI and a 32% increase from an independent inventory prepared by CARB but good agreement with the sectoral partitioning of both inventories.</w:t>
      </w:r>
    </w:p>
    <w:p w14:paraId="08BDC833" w14:textId="4D418B71" w:rsidR="00737862" w:rsidRPr="00E15AB4" w:rsidRDefault="00737862">
      <w:pPr>
        <w:rPr>
          <w:color w:val="000000" w:themeColor="text1"/>
        </w:rPr>
      </w:pPr>
    </w:p>
    <w:p w14:paraId="0EAE2B7C" w14:textId="6E7D5CE0" w:rsidR="00602BBE" w:rsidRPr="00973BF2" w:rsidRDefault="00B82E8B">
      <w:r w:rsidRPr="00E15AB4">
        <w:rPr>
          <w:color w:val="000000" w:themeColor="text1"/>
        </w:rPr>
        <w:t xml:space="preserve">We also provide the first national analysis of urban methane emissions by calculating emissions for 95 cities across CONUS. We find total emissions of 6.0 </w:t>
      </w:r>
      <w:r>
        <w:t xml:space="preserve">(5.4 - 6.7) </w:t>
      </w:r>
      <w:proofErr w:type="spellStart"/>
      <w:r w:rsidRPr="00C01462">
        <w:t>Tg</w:t>
      </w:r>
      <w:proofErr w:type="spellEnd"/>
      <w:r w:rsidRPr="00C01462">
        <w:t xml:space="preserve"> a</w:t>
      </w:r>
      <w:r w:rsidRPr="00C01462">
        <w:rPr>
          <w:vertAlign w:val="superscript"/>
        </w:rPr>
        <w:t>-1</w:t>
      </w:r>
      <w:r>
        <w:t xml:space="preserve"> across these urban areas, 43</w:t>
      </w:r>
      <w:r w:rsidRPr="00C01462">
        <w:t xml:space="preserve"> (</w:t>
      </w:r>
      <w:r>
        <w:t>29</w:t>
      </w:r>
      <w:r w:rsidRPr="00C01462">
        <w:t xml:space="preserve"> </w:t>
      </w:r>
      <w:r>
        <w:t>-</w:t>
      </w:r>
      <w:r w:rsidRPr="00C01462">
        <w:t xml:space="preserve"> </w:t>
      </w:r>
      <w:r>
        <w:t>60</w:t>
      </w:r>
      <w:r w:rsidRPr="00C01462">
        <w:t>)</w:t>
      </w:r>
      <w:r>
        <w:t xml:space="preserve"> %</w:t>
      </w:r>
      <w:r w:rsidRPr="00C01462">
        <w:t xml:space="preserve"> larger than </w:t>
      </w:r>
      <w:r>
        <w:t xml:space="preserve">the GHGI value of 4.2 </w:t>
      </w:r>
      <w:proofErr w:type="spellStart"/>
      <w:r>
        <w:t>Tg</w:t>
      </w:r>
      <w:proofErr w:type="spellEnd"/>
      <w:r>
        <w:t xml:space="preserve"> a</w:t>
      </w:r>
      <w:r>
        <w:rPr>
          <w:vertAlign w:val="superscript"/>
        </w:rPr>
        <w:t>-1</w:t>
      </w:r>
      <w:r>
        <w:t xml:space="preserve"> obtained by allocating GHGI emissions following the Gridded EPA inventory</w:t>
      </w:r>
      <w:r w:rsidR="00D80A02">
        <w:t xml:space="preserve"> from </w:t>
      </w:r>
      <w:proofErr w:type="spellStart"/>
      <w:r>
        <w:t>Maasakkers</w:t>
      </w:r>
      <w:proofErr w:type="spellEnd"/>
      <w:r>
        <w:t xml:space="preserve"> et al. </w:t>
      </w:r>
      <w:r w:rsidR="00D80A02">
        <w:t>(2016</w:t>
      </w:r>
      <w:r>
        <w:t xml:space="preserve">). </w:t>
      </w:r>
      <w:r w:rsidR="00602BBE">
        <w:t>C</w:t>
      </w:r>
      <w:r w:rsidR="00D80A02">
        <w:t xml:space="preserve">ity emissions increase </w:t>
      </w:r>
      <w:r w:rsidR="00602BBE">
        <w:t>o</w:t>
      </w:r>
      <w:r w:rsidR="00D80A02">
        <w:t>n average</w:t>
      </w:r>
      <w:r w:rsidR="00602BBE">
        <w:t xml:space="preserve"> by</w:t>
      </w:r>
      <w:r w:rsidR="00D80A02">
        <w:t xml:space="preserve"> </w:t>
      </w:r>
      <w:r>
        <w:t xml:space="preserve">47 (34 - 61) % </w:t>
      </w:r>
      <w:r w:rsidR="00D80A02">
        <w:t>compared to the GHGI, with a much larger 74</w:t>
      </w:r>
      <w:r w:rsidR="00602BBE">
        <w:t xml:space="preserve"> (51 - 103) %</w:t>
      </w:r>
      <w:r w:rsidR="00D80A02">
        <w:t xml:space="preserve"> increase in </w:t>
      </w:r>
      <w:r>
        <w:t>the top 10 methane-producing cities. We attribute the discrepancy to underestimated landfill and gas emissions.</w:t>
      </w:r>
    </w:p>
    <w:sectPr w:rsidR="00602BBE" w:rsidRPr="00973BF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3-03-08T13:54:00Z" w:initials="HN">
    <w:p w14:paraId="4B913B25" w14:textId="57D84995" w:rsidR="009923C3" w:rsidRDefault="009923C3" w:rsidP="001A3DFC">
      <w:r>
        <w:rPr>
          <w:rStyle w:val="CommentReference"/>
        </w:rPr>
        <w:annotationRef/>
      </w:r>
      <w:r>
        <w:rPr>
          <w:color w:val="000000"/>
          <w:sz w:val="20"/>
          <w:szCs w:val="20"/>
        </w:rPr>
        <w:t>Double check</w:t>
      </w:r>
    </w:p>
  </w:comment>
  <w:comment w:id="1" w:author="Hannah Nesser" w:date="2023-03-20T11:30:00Z" w:initials="HN">
    <w:p w14:paraId="2762C196" w14:textId="77777777" w:rsidR="004D72B5" w:rsidRDefault="004D72B5" w:rsidP="001A65A5">
      <w:r>
        <w:rPr>
          <w:rStyle w:val="CommentReference"/>
        </w:rPr>
        <w:annotationRef/>
      </w:r>
      <w:r>
        <w:rPr>
          <w:sz w:val="20"/>
          <w:szCs w:val="20"/>
        </w:rPr>
        <w:t>I finally figured out an elegant explanation for this:</w:t>
      </w:r>
      <w:r>
        <w:rPr>
          <w:sz w:val="20"/>
          <w:szCs w:val="20"/>
        </w:rPr>
        <w:cr/>
      </w:r>
      <w:r>
        <w:rPr>
          <w:sz w:val="20"/>
          <w:szCs w:val="20"/>
        </w:rPr>
        <w:cr/>
        <w:t>It’s because we’re inverting the Hessian to obtain Shat, but we do a rank reduction of the prior-precondiitoned Hessian. So, the inversion of the Hessian fails.</w:t>
      </w:r>
    </w:p>
    <w:p w14:paraId="12A9535D" w14:textId="77777777" w:rsidR="004D72B5" w:rsidRDefault="004D72B5" w:rsidP="001A65A5"/>
    <w:p w14:paraId="5543BD48" w14:textId="77777777" w:rsidR="004D72B5" w:rsidRDefault="004D72B5" w:rsidP="001A65A5">
      <w:r>
        <w:rPr>
          <w:sz w:val="20"/>
          <w:szCs w:val="20"/>
        </w:rPr>
        <w:t>Unfortunately, I think this might still be too weeds-y for this section</w:t>
      </w:r>
    </w:p>
  </w:comment>
  <w:comment w:id="2" w:author="Hannah Nesser" w:date="2023-03-21T01:09:00Z" w:initials="HN">
    <w:p w14:paraId="07C021C5" w14:textId="77777777" w:rsidR="00B17806" w:rsidRDefault="00B17806" w:rsidP="00660598">
      <w:r>
        <w:rPr>
          <w:rStyle w:val="CommentReference"/>
        </w:rPr>
        <w:annotationRef/>
      </w:r>
      <w:r>
        <w:rPr>
          <w:color w:val="000000"/>
          <w:sz w:val="20"/>
          <w:szCs w:val="20"/>
        </w:rPr>
        <w:t>Daniel: how necessary is this to calculate? I think I may have lost the files necessary to do this easily on scratch.</w:t>
      </w:r>
    </w:p>
  </w:comment>
  <w:comment w:id="3" w:author="Daniel Jacob" w:date="2023-02-27T22:52:00Z" w:initials="JDJ">
    <w:p w14:paraId="695CFFE9" w14:textId="6DF4B63E" w:rsidR="00826AA8" w:rsidRDefault="00826AA8" w:rsidP="00826AA8">
      <w:pPr>
        <w:pStyle w:val="CommentText"/>
      </w:pPr>
      <w:r>
        <w:rPr>
          <w:rStyle w:val="CommentReference"/>
        </w:rPr>
        <w:annotationRef/>
      </w:r>
      <w:r>
        <w:t>Not sure what’s the logic behind this number.</w:t>
      </w:r>
    </w:p>
  </w:comment>
  <w:comment w:id="4" w:author="Hannah Nesser" w:date="2023-03-08T18:37:00Z" w:initials="HN">
    <w:p w14:paraId="379AC364" w14:textId="77777777" w:rsidR="00385BB6" w:rsidRDefault="00385BB6" w:rsidP="00CC05F3">
      <w:r>
        <w:rPr>
          <w:rStyle w:val="CommentReference"/>
        </w:rPr>
        <w:annotationRef/>
      </w:r>
      <w:r>
        <w:rPr>
          <w:color w:val="000000"/>
          <w:sz w:val="20"/>
          <w:szCs w:val="20"/>
        </w:rPr>
        <w:t>It’s mass conserving so that 8/36 of the methane are allocated to the first grid cell, 7/36 to the first ring of grid cells, 6/36 to the next ring of grid cells, and so on and so forth.</w:t>
      </w:r>
    </w:p>
  </w:comment>
  <w:comment w:id="5" w:author="Hannah Nesser" w:date="2022-12-26T09:20:00Z" w:initials="HN">
    <w:p w14:paraId="437CCA37" w14:textId="62F8DA08" w:rsidR="00580AA1" w:rsidRDefault="00580AA1" w:rsidP="00973903">
      <w:r>
        <w:rPr>
          <w:rStyle w:val="CommentReference"/>
        </w:rPr>
        <w:annotationRef/>
      </w:r>
      <w:r>
        <w:rPr>
          <w:sz w:val="20"/>
          <w:szCs w:val="20"/>
        </w:rPr>
        <w:t>I got rid of the pi subscript for simplicity since we never talk about gamma or gamma* or pi (our optimal operators). But, this does introduce an inconsistency with Nesser et al. (2021). The advantage is that it makes the equations in section 2.1 easier to read. Let me know what you think.</w:t>
      </w:r>
    </w:p>
  </w:comment>
  <w:comment w:id="6" w:author="Hannah Nesser" w:date="2023-03-08T19:38:00Z" w:initials="HN">
    <w:p w14:paraId="68288DC0" w14:textId="77777777" w:rsidR="00075074" w:rsidRDefault="00075074" w:rsidP="00E94658">
      <w:r>
        <w:rPr>
          <w:rStyle w:val="CommentReference"/>
        </w:rPr>
        <w:annotationRef/>
      </w:r>
      <w:r>
        <w:rPr>
          <w:color w:val="000000"/>
          <w:sz w:val="20"/>
          <w:szCs w:val="20"/>
        </w:rPr>
        <w:t xml:space="preserve">You keep deleting this from this sentence. However, because Ja/n = 1 is only achieved for particular combinations of Sa/gamma (one gamma value does not work for all Sa values), I do indeed choose the prior errors along with the regularization factor. Further, as you’ve written it, it seems like we use 50%, 75%, and 100% errors for each combination of BC/model correction treatment. This is also not true. You can see in Table 1 that we only use 100% errors for one subset of the BC/model correction treatments, for example. </w:t>
      </w:r>
    </w:p>
  </w:comment>
  <w:comment w:id="7" w:author="Hannah Nesser" w:date="2023-03-08T18:58:00Z" w:initials="HN">
    <w:p w14:paraId="0672555A" w14:textId="350E616E" w:rsidR="00DE33B0" w:rsidRDefault="00DE33B0" w:rsidP="00F44A8D">
      <w:r>
        <w:rPr>
          <w:rStyle w:val="CommentReference"/>
        </w:rPr>
        <w:annotationRef/>
      </w:r>
      <w:r>
        <w:rPr>
          <w:color w:val="000000"/>
          <w:sz w:val="20"/>
          <w:szCs w:val="20"/>
        </w:rPr>
        <w:t>You wrote “Similarly to Chen et al. (2022), we find that this give a more conservative characterization of uncertainty than the posterior error covariance matrix. “ I’m not sure this is strictly true. If we look at the averaging kernel sensitivities as a measure of the relative reduction in error from the prior to the posterior, we can see for example that we get much larger posterior errors for livestock than for oil and gas, but we get very similar error ranges.</w:t>
      </w:r>
    </w:p>
  </w:comment>
  <w:comment w:id="8" w:author="Hannah Nesser" w:date="2023-03-08T20:37:00Z" w:initials="HN">
    <w:p w14:paraId="30F34B40" w14:textId="77777777" w:rsidR="00113ED9" w:rsidRDefault="00113ED9" w:rsidP="00656656">
      <w:r>
        <w:rPr>
          <w:rStyle w:val="CommentReference"/>
        </w:rPr>
        <w:annotationRef/>
      </w:r>
      <w:r>
        <w:rPr>
          <w:color w:val="000000"/>
          <w:sz w:val="20"/>
          <w:szCs w:val="20"/>
        </w:rPr>
        <w:t>I think “source attribution” is a more intuitive explanation of what this section accomplishes in terms of our results. I get your point that it’s imperfect, and am open to other suggestions, but I prefer it over the aggregation framework.</w:t>
      </w:r>
    </w:p>
  </w:comment>
  <w:comment w:id="9" w:author="Hannah Nesser" w:date="2023-03-08T20:44:00Z" w:initials="HN">
    <w:p w14:paraId="190CB502" w14:textId="77777777" w:rsidR="0077535A" w:rsidRDefault="0077535A" w:rsidP="001842B6">
      <w:r>
        <w:rPr>
          <w:rStyle w:val="CommentReference"/>
        </w:rPr>
        <w:annotationRef/>
      </w:r>
      <w:r>
        <w:rPr>
          <w:sz w:val="20"/>
          <w:szCs w:val="20"/>
        </w:rPr>
        <w:t>I prefer “scale factor” to “correction factor,” and think it’s much clearer for a number of reasons.</w:t>
      </w:r>
      <w:r>
        <w:rPr>
          <w:sz w:val="20"/>
          <w:szCs w:val="20"/>
        </w:rPr>
        <w:cr/>
        <w:t>1. They are both equivalently jargon-y to my mind.</w:t>
      </w:r>
      <w:r>
        <w:rPr>
          <w:sz w:val="20"/>
          <w:szCs w:val="20"/>
        </w:rPr>
        <w:cr/>
        <w:t xml:space="preserve">2. “Scale factor” tells us that they are multiplicatively related, while “correction factor” tells us nothing about how we get the posterior emissions from the prior emissions and the correction factors. </w:t>
      </w:r>
      <w:r>
        <w:rPr>
          <w:sz w:val="20"/>
          <w:szCs w:val="20"/>
        </w:rPr>
        <w:cr/>
        <w:t>3. We’ve used “scale factor” in most previous inversion papers including—notably—the IMI paper. Inter-comparability is much easier when we use consistent language.</w:t>
      </w:r>
    </w:p>
  </w:comment>
  <w:comment w:id="10" w:author="Hannah Nesser" w:date="2023-03-08T20:40:00Z" w:initials="HN">
    <w:p w14:paraId="5889288C" w14:textId="3F00CA14" w:rsidR="0077535A" w:rsidRDefault="0077535A" w:rsidP="007D349A">
      <w:r>
        <w:rPr>
          <w:rStyle w:val="CommentReference"/>
        </w:rPr>
        <w:annotationRef/>
      </w:r>
      <w:r>
        <w:rPr>
          <w:color w:val="000000"/>
          <w:sz w:val="20"/>
          <w:szCs w:val="20"/>
        </w:rPr>
        <w:t>I actually struggle with the question of whether it’s “emissions estimate” or “emission estimates.” In this case, the scale factors apply to the total prior estimate, which suggests that “estimate” should be singular. So then it’s a question of whether “emission” should be singular or plural, which depends on whether or not we see the emissions as one thing or as a conglomerate of gridded emissions.</w:t>
      </w:r>
    </w:p>
  </w:comment>
  <w:comment w:id="11" w:author="Hannah Nesser" w:date="2023-03-08T20:46:00Z" w:initials="HN">
    <w:p w14:paraId="1732008B" w14:textId="77777777" w:rsidR="0077535A" w:rsidRDefault="0077535A" w:rsidP="00CD7340">
      <w:r>
        <w:rPr>
          <w:rStyle w:val="CommentReference"/>
        </w:rPr>
        <w:annotationRef/>
      </w:r>
      <w:r>
        <w:rPr>
          <w:color w:val="000000"/>
          <w:sz w:val="20"/>
          <w:szCs w:val="20"/>
        </w:rPr>
        <w:t>“We estimate the emissions” suggests plural emissions.</w:t>
      </w:r>
    </w:p>
  </w:comment>
  <w:comment w:id="12" w:author="Hannah Nesser" w:date="2023-03-08T20:47:00Z" w:initials="HN">
    <w:p w14:paraId="4C041D1D" w14:textId="77777777" w:rsidR="0077535A" w:rsidRDefault="0077535A" w:rsidP="0096366F">
      <w:r>
        <w:rPr>
          <w:rStyle w:val="CommentReference"/>
        </w:rPr>
        <w:annotationRef/>
      </w:r>
      <w:r>
        <w:rPr>
          <w:color w:val="000000"/>
          <w:sz w:val="20"/>
          <w:szCs w:val="20"/>
        </w:rPr>
        <w:t>Is there a reason you keep deleting this sentence or parts of it? It would be useful for me to understand your thinking so I can better address your concern (and learn!)</w:t>
      </w:r>
    </w:p>
  </w:comment>
  <w:comment w:id="13" w:author="Hannah Nesser" w:date="2023-03-10T15:33:00Z" w:initials="HN">
    <w:p w14:paraId="1ADEE8CC" w14:textId="77777777" w:rsidR="00B17E55" w:rsidRDefault="00B17E55" w:rsidP="00030C44">
      <w:r>
        <w:rPr>
          <w:rStyle w:val="CommentReference"/>
        </w:rPr>
        <w:annotationRef/>
      </w:r>
      <w:r>
        <w:rPr>
          <w:color w:val="000000"/>
          <w:sz w:val="20"/>
          <w:szCs w:val="20"/>
        </w:rPr>
        <w:t>We originally wrote “, landfills explain 73 ± 13% of prior emissions (1 standard deviation range) “ in these grid cells. I think this isn’t relevant anymore because we impose the 50% requirement, but thought I’d leave it here for one draft.</w:t>
      </w:r>
    </w:p>
  </w:comment>
  <w:comment w:id="14" w:author="Hannah Nesser" w:date="2023-03-21T01:12:00Z" w:initials="HN">
    <w:p w14:paraId="746BF6AE" w14:textId="77777777" w:rsidR="00B17806" w:rsidRDefault="00B17806" w:rsidP="0088443A">
      <w:r>
        <w:rPr>
          <w:rStyle w:val="CommentReference"/>
        </w:rPr>
        <w:annotationRef/>
      </w:r>
      <w:r>
        <w:rPr>
          <w:color w:val="000000"/>
          <w:sz w:val="20"/>
          <w:szCs w:val="20"/>
        </w:rPr>
        <w:t>Should I include a table in the supplement with all 73 landfills?</w:t>
      </w:r>
    </w:p>
  </w:comment>
  <w:comment w:id="15" w:author="Hannah Nesser" w:date="2023-02-25T18:06:00Z" w:initials="HN">
    <w:p w14:paraId="28DA32C9" w14:textId="77777777" w:rsidR="003729C8" w:rsidRDefault="003729C8" w:rsidP="001A7B27">
      <w:r>
        <w:rPr>
          <w:rStyle w:val="CommentReference"/>
        </w:rPr>
        <w:annotationRef/>
      </w:r>
      <w:r>
        <w:rPr>
          <w:sz w:val="20"/>
          <w:szCs w:val="20"/>
        </w:rPr>
        <w:t>It’s hard to find when this actually started.</w:t>
      </w:r>
    </w:p>
  </w:comment>
  <w:comment w:id="16" w:author="Daniel Jacob" w:date="2023-03-02T13:58:00Z" w:initials="JDJ">
    <w:p w14:paraId="521C412F" w14:textId="77777777" w:rsidR="00080551" w:rsidRDefault="00080551" w:rsidP="00080551">
      <w:pPr>
        <w:pStyle w:val="CommentText"/>
      </w:pPr>
      <w:r>
        <w:rPr>
          <w:rStyle w:val="CommentReference"/>
        </w:rPr>
        <w:annotationRef/>
      </w:r>
      <w:r>
        <w:t>Not sure why. Do the state inventories not include off-shore? Or you’re not sure how to attribute offshore to specific states? It shouldn’t be hard in most cases (particularly not for California). Does it matter (are offshore emissions significant)?</w:t>
      </w:r>
    </w:p>
  </w:comment>
  <w:comment w:id="17" w:author="Hannah Nesser" w:date="2023-03-18T17:44:00Z" w:initials="HN">
    <w:p w14:paraId="11E4F4DF" w14:textId="77777777" w:rsidR="00080551" w:rsidRDefault="00080551" w:rsidP="00DA17D2">
      <w:r>
        <w:rPr>
          <w:rStyle w:val="CommentReference"/>
        </w:rPr>
        <w:annotationRef/>
      </w:r>
      <w:r>
        <w:rPr>
          <w:color w:val="000000"/>
          <w:sz w:val="20"/>
          <w:szCs w:val="20"/>
        </w:rPr>
        <w:t>They’re a few tenths of a teragram, if I remember correctly. Enough that if you add up the state totals, you’ll notice a difference with the CONUS total.</w:t>
      </w:r>
    </w:p>
    <w:p w14:paraId="1792C5A3" w14:textId="77777777" w:rsidR="00080551" w:rsidRDefault="00080551" w:rsidP="00DA17D2"/>
    <w:p w14:paraId="5E0091AD" w14:textId="77777777" w:rsidR="00080551" w:rsidRDefault="00080551" w:rsidP="00DA17D2">
      <w:r>
        <w:rPr>
          <w:color w:val="000000"/>
          <w:sz w:val="20"/>
          <w:szCs w:val="20"/>
        </w:rPr>
        <w:t>California isn’t an issue, but Texas/Louisiana is. It didn’t seem worth it.</w:t>
      </w:r>
    </w:p>
  </w:comment>
  <w:comment w:id="18" w:author="Daniel Jacob" w:date="2023-03-02T14:00:00Z" w:initials="JDJ">
    <w:p w14:paraId="4AE441B5" w14:textId="77777777" w:rsidR="00D8012D" w:rsidRDefault="00D8012D" w:rsidP="00D8012D">
      <w:pPr>
        <w:pStyle w:val="CommentText"/>
      </w:pPr>
      <w:r>
        <w:rPr>
          <w:rStyle w:val="CommentReference"/>
        </w:rPr>
        <w:annotationRef/>
      </w:r>
      <w:r>
        <w:t>I think this is misleading, as I mentioned before, because the aggregation will also decrease prior errors. Simple solution would be not to mention the aggregated avkers. Or are they useful to you?</w:t>
      </w:r>
    </w:p>
  </w:comment>
  <w:comment w:id="19" w:author="Hannah Nesser" w:date="2023-03-18T18:05:00Z" w:initials="HN">
    <w:p w14:paraId="1C3FABFA" w14:textId="77777777" w:rsidR="003539E6" w:rsidRDefault="003539E6" w:rsidP="00315A2D">
      <w:r>
        <w:rPr>
          <w:rStyle w:val="CommentReference"/>
        </w:rPr>
        <w:annotationRef/>
      </w:r>
      <w:r>
        <w:rPr>
          <w:color w:val="000000"/>
          <w:sz w:val="20"/>
          <w:szCs w:val="20"/>
        </w:rPr>
        <w:t>We discussed this in some detail at WMO, but the averaging kernel sensitivities should be seen as the ratio of the posterior errors to the prior error. When we aggregate the averaging kernel, we aggregate both the posterior errors and the prior errors in the same way so that there is some cancelling of this effect. Put another way, when I did a toy experiment, I found that A_red = I_red - Shat_red Sa_red^-1. (This didn’t hold up exactly in my full state vector, and I’m not sure why—I opted to stop going down the rabbit hole. But this is a thing I could quickly and easily revisit in the Permian OSSE I’m doing for the BC project if we want closure.)</w:t>
      </w:r>
    </w:p>
    <w:p w14:paraId="51B54A58" w14:textId="77777777" w:rsidR="003539E6" w:rsidRDefault="003539E6" w:rsidP="00315A2D"/>
    <w:p w14:paraId="7C564820" w14:textId="77777777" w:rsidR="003539E6" w:rsidRDefault="003539E6" w:rsidP="00315A2D">
      <w:r>
        <w:rPr>
          <w:color w:val="000000"/>
          <w:sz w:val="20"/>
          <w:szCs w:val="20"/>
        </w:rPr>
        <w:t>I also think they are useful. It tells us that we can quantify emissions on this scale.</w:t>
      </w:r>
    </w:p>
  </w:comment>
  <w:comment w:id="20" w:author="Hannah Nesser" w:date="2023-03-18T18:11:00Z" w:initials="HN">
    <w:p w14:paraId="7EFB3A1B" w14:textId="77777777" w:rsidR="003539E6" w:rsidRDefault="003539E6" w:rsidP="000115EC">
      <w:r>
        <w:rPr>
          <w:rStyle w:val="CommentReference"/>
        </w:rPr>
        <w:annotationRef/>
      </w:r>
      <w:r>
        <w:rPr>
          <w:color w:val="000000"/>
          <w:sz w:val="20"/>
          <w:szCs w:val="20"/>
        </w:rPr>
        <w:t>You deleted this sentence, but don’t we want to try to explain the difference between Wecht and the other studies?</w:t>
      </w:r>
    </w:p>
  </w:comment>
  <w:comment w:id="21" w:author="Hannah Nesser" w:date="2023-03-18T19:57:00Z" w:initials="HN">
    <w:p w14:paraId="6CB35F9E" w14:textId="77777777" w:rsidR="00CC56C7" w:rsidRDefault="00CC56C7" w:rsidP="00B53706">
      <w:r>
        <w:rPr>
          <w:rStyle w:val="CommentReference"/>
        </w:rPr>
        <w:annotationRef/>
      </w:r>
      <w:r>
        <w:rPr>
          <w:color w:val="000000"/>
          <w:sz w:val="20"/>
          <w:szCs w:val="20"/>
        </w:rPr>
        <w:t>I hear your point about ditching the GEPA acronym, but i think we do need to specify where we get the spatial disaggregation from since that’s not part of the GHGI.</w:t>
      </w:r>
    </w:p>
  </w:comment>
  <w:comment w:id="22" w:author="Hannah Nesser" w:date="2023-03-19T16:03:00Z" w:initials="HN">
    <w:p w14:paraId="68F7FA4F" w14:textId="77777777" w:rsidR="00E2616B" w:rsidRDefault="00E2616B" w:rsidP="00B74C64">
      <w:r>
        <w:rPr>
          <w:rStyle w:val="CommentReference"/>
        </w:rPr>
        <w:annotationRef/>
      </w:r>
      <w:r>
        <w:rPr>
          <w:color w:val="000000"/>
          <w:sz w:val="20"/>
          <w:szCs w:val="20"/>
        </w:rPr>
        <w:t>Natural gas distribution is actually 5.1% and post meter is 4.5%. Never sure what to do with sig figs for these things.</w:t>
      </w:r>
    </w:p>
  </w:comment>
  <w:comment w:id="23" w:author="Hannah Nesser" w:date="2023-03-19T16:07:00Z" w:initials="HN">
    <w:p w14:paraId="64704A54" w14:textId="77777777" w:rsidR="00E2616B" w:rsidRDefault="00E2616B" w:rsidP="00157CF5">
      <w:r>
        <w:rPr>
          <w:rStyle w:val="CommentReference"/>
        </w:rPr>
        <w:annotationRef/>
      </w:r>
      <w:r>
        <w:rPr>
          <w:sz w:val="20"/>
          <w:szCs w:val="20"/>
        </w:rPr>
        <w:t>These add to 101% with rounding errors. Also, “other anthropogenic” is responsible for 7.4% on average… Not sure what to do with that since presumably some fraction is urban (e.g., stationary and mobile combustion)</w:t>
      </w:r>
    </w:p>
  </w:comment>
  <w:comment w:id="24" w:author="Hannah Nesser" w:date="2023-03-19T16:49:00Z" w:initials="HN">
    <w:p w14:paraId="3EDEDEF7" w14:textId="77777777" w:rsidR="00655F8E" w:rsidRDefault="00655F8E" w:rsidP="003B01A7">
      <w:r>
        <w:rPr>
          <w:rStyle w:val="CommentReference"/>
        </w:rPr>
        <w:annotationRef/>
      </w:r>
      <w:r>
        <w:rPr>
          <w:color w:val="000000"/>
          <w:sz w:val="20"/>
          <w:szCs w:val="20"/>
        </w:rPr>
        <w:t>I can’t separate oil and natural gas, and these studies can’t separate natural gas from post meter/distribution vs. natural gas from nearby infrastructure.</w:t>
      </w:r>
    </w:p>
  </w:comment>
  <w:comment w:id="25" w:author="Daniel Jacob" w:date="2023-03-02T17:38:00Z" w:initials="JDJ">
    <w:p w14:paraId="7098D37C" w14:textId="77777777" w:rsidR="00614E0F" w:rsidRDefault="00614E0F" w:rsidP="00614E0F">
      <w:pPr>
        <w:pStyle w:val="CommentText"/>
      </w:pPr>
      <w:r>
        <w:rPr>
          <w:rStyle w:val="CommentReference"/>
        </w:rPr>
        <w:annotationRef/>
      </w:r>
      <w:r>
        <w:t>Well, if it’s 100% that doesn’t give much room for landfills. Rephrase.  Also, how did these studies attribute to OG? Correlation with ethane?</w:t>
      </w:r>
    </w:p>
  </w:comment>
  <w:comment w:id="26" w:author="Hannah Nesser" w:date="2023-03-19T23:05:00Z" w:initials="HN">
    <w:p w14:paraId="56CADEF4" w14:textId="77777777" w:rsidR="00614E0F" w:rsidRDefault="00614E0F" w:rsidP="009E098D">
      <w:r>
        <w:rPr>
          <w:rStyle w:val="CommentReference"/>
        </w:rPr>
        <w:annotationRef/>
      </w:r>
      <w:r>
        <w:rPr>
          <w:color w:val="000000"/>
          <w:sz w:val="20"/>
          <w:szCs w:val="20"/>
        </w:rPr>
        <w:t xml:space="preserve">I’m not sure how to rephrase when the studies find up to 100%… </w:t>
      </w:r>
    </w:p>
    <w:p w14:paraId="3FD82649" w14:textId="77777777" w:rsidR="00614E0F" w:rsidRDefault="00614E0F" w:rsidP="009E098D"/>
    <w:p w14:paraId="62418AB8" w14:textId="77777777" w:rsidR="00614E0F" w:rsidRDefault="00614E0F" w:rsidP="009E098D">
      <w:r>
        <w:rPr>
          <w:color w:val="000000"/>
          <w:sz w:val="20"/>
          <w:szCs w:val="20"/>
        </w:rPr>
        <w:t xml:space="preserve">See NYC (winter) as shown in figure 5 in Floerchinger </w:t>
      </w:r>
    </w:p>
    <w:p w14:paraId="0773AAA3" w14:textId="77777777" w:rsidR="00614E0F" w:rsidRDefault="00000000" w:rsidP="009E098D">
      <w:hyperlink r:id="rId1" w:history="1">
        <w:r w:rsidR="00614E0F" w:rsidRPr="009E098D">
          <w:rPr>
            <w:rStyle w:val="Hyperlink"/>
            <w:sz w:val="20"/>
            <w:szCs w:val="20"/>
          </w:rPr>
          <w:t>https://online.ucpress.edu/elementa/article/9/1/000119/116257/Relative-flux-measurements-of-biogenic-and-natural</w:t>
        </w:r>
      </w:hyperlink>
    </w:p>
    <w:p w14:paraId="7B65D101" w14:textId="77777777" w:rsidR="00614E0F" w:rsidRDefault="00614E0F" w:rsidP="009E098D"/>
    <w:p w14:paraId="54471350" w14:textId="77777777" w:rsidR="00614E0F" w:rsidRDefault="00614E0F" w:rsidP="009E098D">
      <w:r>
        <w:rPr>
          <w:color w:val="000000"/>
          <w:sz w:val="20"/>
          <w:szCs w:val="20"/>
        </w:rPr>
        <w:t>The other studies cited here find ranges within the 32% - 100% range.</w:t>
      </w:r>
    </w:p>
  </w:comment>
  <w:comment w:id="27" w:author="Daniel Jacob" w:date="2023-03-02T17:48:00Z" w:initials="JDJ">
    <w:p w14:paraId="7E046914" w14:textId="5F5598CC" w:rsidR="00D55F38" w:rsidRDefault="00D55F38" w:rsidP="00D55F38">
      <w:pPr>
        <w:pStyle w:val="CommentText"/>
      </w:pPr>
      <w:r>
        <w:rPr>
          <w:rStyle w:val="CommentReference"/>
        </w:rPr>
        <w:annotationRef/>
      </w:r>
      <w:r>
        <w:t>But Figure 7 also includes OG upstream, livestock?</w:t>
      </w:r>
    </w:p>
  </w:comment>
  <w:comment w:id="28" w:author="Hannah Nesser" w:date="2023-03-19T16:45:00Z" w:initials="HN">
    <w:p w14:paraId="185135B2" w14:textId="77777777" w:rsidR="00D55F38" w:rsidRDefault="00D55F38" w:rsidP="001214FB">
      <w:r>
        <w:rPr>
          <w:rStyle w:val="CommentReference"/>
        </w:rPr>
        <w:annotationRef/>
      </w:r>
      <w:r>
        <w:rPr>
          <w:sz w:val="20"/>
          <w:szCs w:val="20"/>
        </w:rPr>
        <w:t>Yes, because otherwise we can’t compare to other studies of urban areas, which can’t separate out emission sectors.</w:t>
      </w:r>
    </w:p>
  </w:comment>
  <w:comment w:id="29" w:author="Hannah Nesser" w:date="2023-03-21T01:05:00Z" w:initials="HN">
    <w:p w14:paraId="122023F9" w14:textId="77777777" w:rsidR="00C030D6" w:rsidRDefault="00C030D6" w:rsidP="00DD11E3">
      <w:r>
        <w:rPr>
          <w:rStyle w:val="CommentReference"/>
        </w:rPr>
        <w:annotationRef/>
      </w:r>
      <w:r>
        <w:rPr>
          <w:color w:val="000000"/>
          <w:sz w:val="20"/>
          <w:szCs w:val="20"/>
        </w:rPr>
        <w:t xml:space="preserve">I also exclude post-meter emissions here because they aren’t technically included in our posterior breakdown because they aren’t in GEPA… </w:t>
      </w:r>
    </w:p>
  </w:comment>
  <w:comment w:id="30" w:author="Hannah Nesser" w:date="2023-03-21T01:25:00Z" w:initials="HN">
    <w:p w14:paraId="76568268" w14:textId="77777777" w:rsidR="00D775B7" w:rsidRDefault="00D775B7" w:rsidP="00BC64D2">
      <w:r>
        <w:rPr>
          <w:rStyle w:val="CommentReference"/>
        </w:rPr>
        <w:annotationRef/>
      </w:r>
      <w:r>
        <w:rPr>
          <w:sz w:val="20"/>
          <w:szCs w:val="20"/>
        </w:rPr>
        <w:t>I originally had a figure S3 showing the air basin analysis. I deleted it this time because I didn’t have time to edit it into shape, but I can see an argument for keeping it. What do you think?</w:t>
      </w:r>
    </w:p>
  </w:comment>
  <w:comment w:id="31" w:author="Hannah Nesser" w:date="2023-02-26T23:37:00Z" w:initials="HN">
    <w:p w14:paraId="663A4D21" w14:textId="2EB6FA23" w:rsidR="00D95EED" w:rsidRDefault="00D95EED" w:rsidP="00824F76">
      <w:r>
        <w:rPr>
          <w:rStyle w:val="CommentReference"/>
        </w:rPr>
        <w:annotationRef/>
      </w:r>
      <w:r>
        <w:rPr>
          <w:sz w:val="20"/>
          <w:szCs w:val="20"/>
        </w:rPr>
        <w:t>This hypothesis is supported by the fact that Cusworth et al. (2020) obtained larger emissions of 274 ± 72 Gg a-1 for January 2017 to September 2018 in an inversion of surface and TROPOMI observations.</w:t>
      </w:r>
    </w:p>
    <w:p w14:paraId="5433BF65" w14:textId="77777777" w:rsidR="00D95EED" w:rsidRDefault="00D95EED" w:rsidP="00824F7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13B25" w15:done="0"/>
  <w15:commentEx w15:paraId="5543BD48" w15:done="0"/>
  <w15:commentEx w15:paraId="07C021C5" w15:done="0"/>
  <w15:commentEx w15:paraId="695CFFE9" w15:done="0"/>
  <w15:commentEx w15:paraId="379AC364" w15:paraIdParent="695CFFE9" w15:done="0"/>
  <w15:commentEx w15:paraId="437CCA37" w15:done="0"/>
  <w15:commentEx w15:paraId="68288DC0" w15:done="0"/>
  <w15:commentEx w15:paraId="0672555A" w15:done="0"/>
  <w15:commentEx w15:paraId="30F34B40" w15:done="0"/>
  <w15:commentEx w15:paraId="190CB502" w15:done="0"/>
  <w15:commentEx w15:paraId="5889288C" w15:done="0"/>
  <w15:commentEx w15:paraId="1732008B" w15:paraIdParent="5889288C" w15:done="0"/>
  <w15:commentEx w15:paraId="4C041D1D" w15:done="0"/>
  <w15:commentEx w15:paraId="1ADEE8CC" w15:done="0"/>
  <w15:commentEx w15:paraId="746BF6AE" w15:done="0"/>
  <w15:commentEx w15:paraId="28DA32C9" w15:done="0"/>
  <w15:commentEx w15:paraId="521C412F" w15:done="0"/>
  <w15:commentEx w15:paraId="5E0091AD" w15:paraIdParent="521C412F" w15:done="0"/>
  <w15:commentEx w15:paraId="4AE441B5" w15:done="0"/>
  <w15:commentEx w15:paraId="7C564820" w15:paraIdParent="4AE441B5" w15:done="0"/>
  <w15:commentEx w15:paraId="7EFB3A1B" w15:done="0"/>
  <w15:commentEx w15:paraId="6CB35F9E" w15:done="0"/>
  <w15:commentEx w15:paraId="68F7FA4F" w15:done="0"/>
  <w15:commentEx w15:paraId="64704A54" w15:paraIdParent="68F7FA4F" w15:done="0"/>
  <w15:commentEx w15:paraId="3EDEDEF7" w15:done="0"/>
  <w15:commentEx w15:paraId="7098D37C" w15:done="0"/>
  <w15:commentEx w15:paraId="54471350" w15:paraIdParent="7098D37C" w15:done="0"/>
  <w15:commentEx w15:paraId="7E046914" w15:done="0"/>
  <w15:commentEx w15:paraId="185135B2" w15:paraIdParent="7E046914" w15:done="0"/>
  <w15:commentEx w15:paraId="122023F9" w15:paraIdParent="7E046914" w15:done="0"/>
  <w15:commentEx w15:paraId="76568268" w15:done="0"/>
  <w15:commentEx w15:paraId="5433B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121B" w16cex:dateUtc="2023-03-08T18:54:00Z"/>
  <w16cex:commentExtensible w16cex:durableId="27C2C249" w16cex:dateUtc="2023-03-20T15:30:00Z"/>
  <w16cex:commentExtensible w16cex:durableId="27C3825D" w16cex:dateUtc="2023-03-21T05:09:00Z"/>
  <w16cex:commentExtensible w16cex:durableId="27A7B291" w16cex:dateUtc="2023-02-28T03:52:00Z"/>
  <w16cex:commentExtensible w16cex:durableId="27B3545C" w16cex:dateUtc="2023-03-08T23:37:00Z"/>
  <w16cex:commentExtensible w16cex:durableId="2753E5D3" w16cex:dateUtc="2022-12-26T15:20:00Z"/>
  <w16cex:commentExtensible w16cex:durableId="27B3629F" w16cex:dateUtc="2023-03-09T00:38:00Z"/>
  <w16cex:commentExtensible w16cex:durableId="27B35960" w16cex:dateUtc="2023-03-08T23:58:00Z"/>
  <w16cex:commentExtensible w16cex:durableId="27B37076" w16cex:dateUtc="2023-03-09T01:37:00Z"/>
  <w16cex:commentExtensible w16cex:durableId="27B37244" w16cex:dateUtc="2023-03-09T01:44:00Z"/>
  <w16cex:commentExtensible w16cex:durableId="27B3714D" w16cex:dateUtc="2023-03-09T01:40:00Z"/>
  <w16cex:commentExtensible w16cex:durableId="27B37291" w16cex:dateUtc="2023-03-09T01:46:00Z"/>
  <w16cex:commentExtensible w16cex:durableId="27B372E2" w16cex:dateUtc="2023-03-09T01:47:00Z"/>
  <w16cex:commentExtensible w16cex:durableId="27B5CC2F" w16cex:dateUtc="2023-03-10T20:33:00Z"/>
  <w16cex:commentExtensible w16cex:durableId="27C38301" w16cex:dateUtc="2023-03-21T05:12:00Z"/>
  <w16cex:commentExtensible w16cex:durableId="27A4CC8E" w16cex:dateUtc="2023-02-25T23:06:00Z"/>
  <w16cex:commentExtensible w16cex:durableId="27AB29F5" w16cex:dateUtc="2023-03-02T18:58:00Z"/>
  <w16cex:commentExtensible w16cex:durableId="27C0770D" w16cex:dateUtc="2023-03-18T21:44:00Z"/>
  <w16cex:commentExtensible w16cex:durableId="27AB2A89" w16cex:dateUtc="2023-03-02T19:00:00Z"/>
  <w16cex:commentExtensible w16cex:durableId="27C07C07" w16cex:dateUtc="2023-03-18T22:05:00Z"/>
  <w16cex:commentExtensible w16cex:durableId="27C07D4B" w16cex:dateUtc="2023-03-18T22:11:00Z"/>
  <w16cex:commentExtensible w16cex:durableId="27C0962B" w16cex:dateUtc="2023-03-18T23:57:00Z"/>
  <w16cex:commentExtensible w16cex:durableId="27C1B0B6" w16cex:dateUtc="2023-03-19T20:03:00Z"/>
  <w16cex:commentExtensible w16cex:durableId="27C1B1A8" w16cex:dateUtc="2023-03-19T20:07:00Z"/>
  <w16cex:commentExtensible w16cex:durableId="27C1BBA0" w16cex:dateUtc="2023-03-19T20:49:00Z"/>
  <w16cex:commentExtensible w16cex:durableId="27AB5DB3" w16cex:dateUtc="2023-03-02T22:38:00Z"/>
  <w16cex:commentExtensible w16cex:durableId="27C213B5" w16cex:dateUtc="2023-03-20T03:05:00Z"/>
  <w16cex:commentExtensible w16cex:durableId="27AB5FFF" w16cex:dateUtc="2023-03-02T22:48:00Z"/>
  <w16cex:commentExtensible w16cex:durableId="27C1BA93" w16cex:dateUtc="2023-03-19T20:45:00Z"/>
  <w16cex:commentExtensible w16cex:durableId="27C38142" w16cex:dateUtc="2023-03-21T05:05:00Z"/>
  <w16cex:commentExtensible w16cex:durableId="27C385F8" w16cex:dateUtc="2023-03-21T05:25:00Z"/>
  <w16cex:commentExtensible w16cex:durableId="27A66BB2" w16cex:dateUtc="2023-02-27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13B25" w16cid:durableId="27B3121B"/>
  <w16cid:commentId w16cid:paraId="5543BD48" w16cid:durableId="27C2C249"/>
  <w16cid:commentId w16cid:paraId="07C021C5" w16cid:durableId="27C3825D"/>
  <w16cid:commentId w16cid:paraId="695CFFE9" w16cid:durableId="27A7B291"/>
  <w16cid:commentId w16cid:paraId="379AC364" w16cid:durableId="27B3545C"/>
  <w16cid:commentId w16cid:paraId="437CCA37" w16cid:durableId="2753E5D3"/>
  <w16cid:commentId w16cid:paraId="68288DC0" w16cid:durableId="27B3629F"/>
  <w16cid:commentId w16cid:paraId="0672555A" w16cid:durableId="27B35960"/>
  <w16cid:commentId w16cid:paraId="30F34B40" w16cid:durableId="27B37076"/>
  <w16cid:commentId w16cid:paraId="190CB502" w16cid:durableId="27B37244"/>
  <w16cid:commentId w16cid:paraId="5889288C" w16cid:durableId="27B3714D"/>
  <w16cid:commentId w16cid:paraId="1732008B" w16cid:durableId="27B37291"/>
  <w16cid:commentId w16cid:paraId="4C041D1D" w16cid:durableId="27B372E2"/>
  <w16cid:commentId w16cid:paraId="1ADEE8CC" w16cid:durableId="27B5CC2F"/>
  <w16cid:commentId w16cid:paraId="746BF6AE" w16cid:durableId="27C38301"/>
  <w16cid:commentId w16cid:paraId="28DA32C9" w16cid:durableId="27A4CC8E"/>
  <w16cid:commentId w16cid:paraId="521C412F" w16cid:durableId="27AB29F5"/>
  <w16cid:commentId w16cid:paraId="5E0091AD" w16cid:durableId="27C0770D"/>
  <w16cid:commentId w16cid:paraId="4AE441B5" w16cid:durableId="27AB2A89"/>
  <w16cid:commentId w16cid:paraId="7C564820" w16cid:durableId="27C07C07"/>
  <w16cid:commentId w16cid:paraId="7EFB3A1B" w16cid:durableId="27C07D4B"/>
  <w16cid:commentId w16cid:paraId="6CB35F9E" w16cid:durableId="27C0962B"/>
  <w16cid:commentId w16cid:paraId="68F7FA4F" w16cid:durableId="27C1B0B6"/>
  <w16cid:commentId w16cid:paraId="64704A54" w16cid:durableId="27C1B1A8"/>
  <w16cid:commentId w16cid:paraId="3EDEDEF7" w16cid:durableId="27C1BBA0"/>
  <w16cid:commentId w16cid:paraId="7098D37C" w16cid:durableId="27AB5DB3"/>
  <w16cid:commentId w16cid:paraId="54471350" w16cid:durableId="27C213B5"/>
  <w16cid:commentId w16cid:paraId="7E046914" w16cid:durableId="27AB5FFF"/>
  <w16cid:commentId w16cid:paraId="185135B2" w16cid:durableId="27C1BA93"/>
  <w16cid:commentId w16cid:paraId="122023F9" w16cid:durableId="27C38142"/>
  <w16cid:commentId w16cid:paraId="76568268" w16cid:durableId="27C385F8"/>
  <w16cid:commentId w16cid:paraId="5433BF65" w16cid:durableId="27A66B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340D" w14:textId="77777777" w:rsidR="00DF053F" w:rsidRDefault="00DF053F" w:rsidP="00112218">
      <w:r>
        <w:separator/>
      </w:r>
    </w:p>
  </w:endnote>
  <w:endnote w:type="continuationSeparator" w:id="0">
    <w:p w14:paraId="02780636" w14:textId="77777777" w:rsidR="00DF053F" w:rsidRDefault="00DF053F"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DD68" w14:textId="77777777" w:rsidR="00DF053F" w:rsidRDefault="00DF053F" w:rsidP="00112218">
      <w:r>
        <w:separator/>
      </w:r>
    </w:p>
  </w:footnote>
  <w:footnote w:type="continuationSeparator" w:id="0">
    <w:p w14:paraId="392B9134" w14:textId="77777777" w:rsidR="00DF053F" w:rsidRDefault="00DF053F"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Nesser">
    <w15:presenceInfo w15:providerId="None" w15:userId="Hannah Nesser"/>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108AA"/>
    <w:rsid w:val="0001160D"/>
    <w:rsid w:val="00012A35"/>
    <w:rsid w:val="00012B5D"/>
    <w:rsid w:val="000133A5"/>
    <w:rsid w:val="0001370F"/>
    <w:rsid w:val="00014EC1"/>
    <w:rsid w:val="0001535D"/>
    <w:rsid w:val="00020EE6"/>
    <w:rsid w:val="0002114F"/>
    <w:rsid w:val="00025A13"/>
    <w:rsid w:val="000330CF"/>
    <w:rsid w:val="00034AC8"/>
    <w:rsid w:val="00036E35"/>
    <w:rsid w:val="00037EE2"/>
    <w:rsid w:val="00040B88"/>
    <w:rsid w:val="0004598D"/>
    <w:rsid w:val="00046B68"/>
    <w:rsid w:val="000471CC"/>
    <w:rsid w:val="00050963"/>
    <w:rsid w:val="0005208E"/>
    <w:rsid w:val="000522DC"/>
    <w:rsid w:val="000525CA"/>
    <w:rsid w:val="000545CE"/>
    <w:rsid w:val="00054A34"/>
    <w:rsid w:val="00060237"/>
    <w:rsid w:val="00064212"/>
    <w:rsid w:val="00065213"/>
    <w:rsid w:val="00066335"/>
    <w:rsid w:val="000663AD"/>
    <w:rsid w:val="00073E77"/>
    <w:rsid w:val="00075074"/>
    <w:rsid w:val="000760BB"/>
    <w:rsid w:val="00080551"/>
    <w:rsid w:val="000805B3"/>
    <w:rsid w:val="00081298"/>
    <w:rsid w:val="0008317E"/>
    <w:rsid w:val="00085A48"/>
    <w:rsid w:val="0009149A"/>
    <w:rsid w:val="0009254E"/>
    <w:rsid w:val="00093CE7"/>
    <w:rsid w:val="000948FE"/>
    <w:rsid w:val="00096FEF"/>
    <w:rsid w:val="000A0B9F"/>
    <w:rsid w:val="000A3EE9"/>
    <w:rsid w:val="000A497F"/>
    <w:rsid w:val="000A4C03"/>
    <w:rsid w:val="000A6465"/>
    <w:rsid w:val="000A6880"/>
    <w:rsid w:val="000B32F7"/>
    <w:rsid w:val="000B4540"/>
    <w:rsid w:val="000B4C5D"/>
    <w:rsid w:val="000B54EC"/>
    <w:rsid w:val="000B628E"/>
    <w:rsid w:val="000C0BEA"/>
    <w:rsid w:val="000C0D2F"/>
    <w:rsid w:val="000C19F3"/>
    <w:rsid w:val="000C269E"/>
    <w:rsid w:val="000C310B"/>
    <w:rsid w:val="000C43DF"/>
    <w:rsid w:val="000C4634"/>
    <w:rsid w:val="000C5B1A"/>
    <w:rsid w:val="000C60C6"/>
    <w:rsid w:val="000C67B6"/>
    <w:rsid w:val="000C6DDD"/>
    <w:rsid w:val="000C7673"/>
    <w:rsid w:val="000D1015"/>
    <w:rsid w:val="000D2BA1"/>
    <w:rsid w:val="000D3AFE"/>
    <w:rsid w:val="000D7E55"/>
    <w:rsid w:val="000E0D61"/>
    <w:rsid w:val="000E257D"/>
    <w:rsid w:val="000E7A42"/>
    <w:rsid w:val="000F230B"/>
    <w:rsid w:val="000F2620"/>
    <w:rsid w:val="000F3D47"/>
    <w:rsid w:val="000F41ED"/>
    <w:rsid w:val="000F513B"/>
    <w:rsid w:val="000F5581"/>
    <w:rsid w:val="000F6F7E"/>
    <w:rsid w:val="000F7C98"/>
    <w:rsid w:val="0010092E"/>
    <w:rsid w:val="00100E70"/>
    <w:rsid w:val="001017B3"/>
    <w:rsid w:val="00102AF3"/>
    <w:rsid w:val="00107329"/>
    <w:rsid w:val="001100B8"/>
    <w:rsid w:val="00111F79"/>
    <w:rsid w:val="00112218"/>
    <w:rsid w:val="00112598"/>
    <w:rsid w:val="00112BF4"/>
    <w:rsid w:val="00112E18"/>
    <w:rsid w:val="001130F7"/>
    <w:rsid w:val="00113ED9"/>
    <w:rsid w:val="0011516C"/>
    <w:rsid w:val="00116066"/>
    <w:rsid w:val="001165E4"/>
    <w:rsid w:val="001178EE"/>
    <w:rsid w:val="00122F34"/>
    <w:rsid w:val="00125BEA"/>
    <w:rsid w:val="00127B78"/>
    <w:rsid w:val="00132DAA"/>
    <w:rsid w:val="0013300C"/>
    <w:rsid w:val="00134D7F"/>
    <w:rsid w:val="00134F62"/>
    <w:rsid w:val="00135689"/>
    <w:rsid w:val="00135CE4"/>
    <w:rsid w:val="001367E5"/>
    <w:rsid w:val="00136BC7"/>
    <w:rsid w:val="0014130F"/>
    <w:rsid w:val="001435A8"/>
    <w:rsid w:val="0014533F"/>
    <w:rsid w:val="0014553B"/>
    <w:rsid w:val="00146284"/>
    <w:rsid w:val="00146D72"/>
    <w:rsid w:val="001473D6"/>
    <w:rsid w:val="0015075C"/>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72438"/>
    <w:rsid w:val="00172BE8"/>
    <w:rsid w:val="0017357A"/>
    <w:rsid w:val="00174751"/>
    <w:rsid w:val="001765E5"/>
    <w:rsid w:val="00176FC4"/>
    <w:rsid w:val="001811CB"/>
    <w:rsid w:val="001812A8"/>
    <w:rsid w:val="001823D5"/>
    <w:rsid w:val="00183AA0"/>
    <w:rsid w:val="00186484"/>
    <w:rsid w:val="00190FA3"/>
    <w:rsid w:val="0019599B"/>
    <w:rsid w:val="00195C82"/>
    <w:rsid w:val="001A0AAE"/>
    <w:rsid w:val="001A10D0"/>
    <w:rsid w:val="001A367E"/>
    <w:rsid w:val="001A437E"/>
    <w:rsid w:val="001A4627"/>
    <w:rsid w:val="001A5124"/>
    <w:rsid w:val="001A6F70"/>
    <w:rsid w:val="001B0D67"/>
    <w:rsid w:val="001B317B"/>
    <w:rsid w:val="001B4897"/>
    <w:rsid w:val="001B4A42"/>
    <w:rsid w:val="001B5212"/>
    <w:rsid w:val="001B6C97"/>
    <w:rsid w:val="001C0377"/>
    <w:rsid w:val="001C41E7"/>
    <w:rsid w:val="001C4A43"/>
    <w:rsid w:val="001C56F8"/>
    <w:rsid w:val="001C61E6"/>
    <w:rsid w:val="001C76C1"/>
    <w:rsid w:val="001D040A"/>
    <w:rsid w:val="001D05E3"/>
    <w:rsid w:val="001D21AD"/>
    <w:rsid w:val="001D4447"/>
    <w:rsid w:val="001D46FE"/>
    <w:rsid w:val="001D4F3E"/>
    <w:rsid w:val="001D7612"/>
    <w:rsid w:val="001D7B5F"/>
    <w:rsid w:val="001D7C11"/>
    <w:rsid w:val="001E0770"/>
    <w:rsid w:val="001E0B1D"/>
    <w:rsid w:val="001E1154"/>
    <w:rsid w:val="001E1628"/>
    <w:rsid w:val="001E2000"/>
    <w:rsid w:val="001E52B8"/>
    <w:rsid w:val="001E60C7"/>
    <w:rsid w:val="001E7BA6"/>
    <w:rsid w:val="001F2361"/>
    <w:rsid w:val="001F60FD"/>
    <w:rsid w:val="001F667A"/>
    <w:rsid w:val="001F7401"/>
    <w:rsid w:val="001F7B45"/>
    <w:rsid w:val="00202404"/>
    <w:rsid w:val="002031BC"/>
    <w:rsid w:val="00203C40"/>
    <w:rsid w:val="0020458F"/>
    <w:rsid w:val="002072F5"/>
    <w:rsid w:val="00207D24"/>
    <w:rsid w:val="00210525"/>
    <w:rsid w:val="00216872"/>
    <w:rsid w:val="00216EC7"/>
    <w:rsid w:val="0022057B"/>
    <w:rsid w:val="0022085E"/>
    <w:rsid w:val="002217CA"/>
    <w:rsid w:val="002231DD"/>
    <w:rsid w:val="00235274"/>
    <w:rsid w:val="00236212"/>
    <w:rsid w:val="00237C52"/>
    <w:rsid w:val="002456E8"/>
    <w:rsid w:val="00250269"/>
    <w:rsid w:val="00255730"/>
    <w:rsid w:val="00257634"/>
    <w:rsid w:val="002576B5"/>
    <w:rsid w:val="00257F6B"/>
    <w:rsid w:val="002607C4"/>
    <w:rsid w:val="00260ACC"/>
    <w:rsid w:val="00261C1D"/>
    <w:rsid w:val="00262395"/>
    <w:rsid w:val="00265893"/>
    <w:rsid w:val="00266F22"/>
    <w:rsid w:val="00267670"/>
    <w:rsid w:val="00267AB0"/>
    <w:rsid w:val="00267EEA"/>
    <w:rsid w:val="00271694"/>
    <w:rsid w:val="00272CC5"/>
    <w:rsid w:val="00274048"/>
    <w:rsid w:val="00276208"/>
    <w:rsid w:val="002770E0"/>
    <w:rsid w:val="0027788C"/>
    <w:rsid w:val="00277B94"/>
    <w:rsid w:val="0028067E"/>
    <w:rsid w:val="002806CE"/>
    <w:rsid w:val="0028365E"/>
    <w:rsid w:val="00283BC0"/>
    <w:rsid w:val="00286BD1"/>
    <w:rsid w:val="0029095D"/>
    <w:rsid w:val="002923A7"/>
    <w:rsid w:val="00293BE1"/>
    <w:rsid w:val="00295D37"/>
    <w:rsid w:val="00296165"/>
    <w:rsid w:val="00297C07"/>
    <w:rsid w:val="002A0901"/>
    <w:rsid w:val="002A1950"/>
    <w:rsid w:val="002A1A35"/>
    <w:rsid w:val="002A2607"/>
    <w:rsid w:val="002A7FBB"/>
    <w:rsid w:val="002B02AB"/>
    <w:rsid w:val="002B39F6"/>
    <w:rsid w:val="002B59CC"/>
    <w:rsid w:val="002B69A4"/>
    <w:rsid w:val="002C00EB"/>
    <w:rsid w:val="002C068F"/>
    <w:rsid w:val="002C1748"/>
    <w:rsid w:val="002C2190"/>
    <w:rsid w:val="002C2A03"/>
    <w:rsid w:val="002D0380"/>
    <w:rsid w:val="002D0C86"/>
    <w:rsid w:val="002D111D"/>
    <w:rsid w:val="002D2D50"/>
    <w:rsid w:val="002D332F"/>
    <w:rsid w:val="002D3DE6"/>
    <w:rsid w:val="002E042A"/>
    <w:rsid w:val="002E36D8"/>
    <w:rsid w:val="002E4A10"/>
    <w:rsid w:val="002E6E6F"/>
    <w:rsid w:val="002F0415"/>
    <w:rsid w:val="002F52AD"/>
    <w:rsid w:val="003040A8"/>
    <w:rsid w:val="003108B2"/>
    <w:rsid w:val="003126ED"/>
    <w:rsid w:val="003154D6"/>
    <w:rsid w:val="003158DC"/>
    <w:rsid w:val="003166C7"/>
    <w:rsid w:val="003168EA"/>
    <w:rsid w:val="00316DA7"/>
    <w:rsid w:val="00317652"/>
    <w:rsid w:val="0032207F"/>
    <w:rsid w:val="00322D0C"/>
    <w:rsid w:val="00323391"/>
    <w:rsid w:val="00323470"/>
    <w:rsid w:val="003243C0"/>
    <w:rsid w:val="003252FF"/>
    <w:rsid w:val="00327D69"/>
    <w:rsid w:val="00330C31"/>
    <w:rsid w:val="00331023"/>
    <w:rsid w:val="003324A5"/>
    <w:rsid w:val="003332A3"/>
    <w:rsid w:val="00333FA4"/>
    <w:rsid w:val="003349F3"/>
    <w:rsid w:val="00336385"/>
    <w:rsid w:val="003367B3"/>
    <w:rsid w:val="0033785E"/>
    <w:rsid w:val="003440BA"/>
    <w:rsid w:val="0034548D"/>
    <w:rsid w:val="00347B67"/>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5B38"/>
    <w:rsid w:val="00377757"/>
    <w:rsid w:val="0038092C"/>
    <w:rsid w:val="00381CA9"/>
    <w:rsid w:val="00382C47"/>
    <w:rsid w:val="0038532E"/>
    <w:rsid w:val="0038533B"/>
    <w:rsid w:val="00385BB6"/>
    <w:rsid w:val="00386B40"/>
    <w:rsid w:val="0038788A"/>
    <w:rsid w:val="003929AE"/>
    <w:rsid w:val="00392D91"/>
    <w:rsid w:val="00392F72"/>
    <w:rsid w:val="003936D6"/>
    <w:rsid w:val="00393DFF"/>
    <w:rsid w:val="00394E99"/>
    <w:rsid w:val="00395A8A"/>
    <w:rsid w:val="003A1BC7"/>
    <w:rsid w:val="003A2E4E"/>
    <w:rsid w:val="003A7B62"/>
    <w:rsid w:val="003B1167"/>
    <w:rsid w:val="003B127B"/>
    <w:rsid w:val="003B15AB"/>
    <w:rsid w:val="003B2417"/>
    <w:rsid w:val="003B4F4C"/>
    <w:rsid w:val="003B59CB"/>
    <w:rsid w:val="003B618C"/>
    <w:rsid w:val="003C174E"/>
    <w:rsid w:val="003C308E"/>
    <w:rsid w:val="003C3729"/>
    <w:rsid w:val="003C6288"/>
    <w:rsid w:val="003C65F3"/>
    <w:rsid w:val="003D01B0"/>
    <w:rsid w:val="003D0FA6"/>
    <w:rsid w:val="003D3E63"/>
    <w:rsid w:val="003D4170"/>
    <w:rsid w:val="003D5FB2"/>
    <w:rsid w:val="003D698A"/>
    <w:rsid w:val="003D7A11"/>
    <w:rsid w:val="003E097F"/>
    <w:rsid w:val="003E0D11"/>
    <w:rsid w:val="003E1CC1"/>
    <w:rsid w:val="003E50EA"/>
    <w:rsid w:val="003E5769"/>
    <w:rsid w:val="003E5FF0"/>
    <w:rsid w:val="003E6295"/>
    <w:rsid w:val="003F32EE"/>
    <w:rsid w:val="003F3553"/>
    <w:rsid w:val="003F535C"/>
    <w:rsid w:val="003F5E73"/>
    <w:rsid w:val="0040206E"/>
    <w:rsid w:val="004021AF"/>
    <w:rsid w:val="0040254E"/>
    <w:rsid w:val="00402AF5"/>
    <w:rsid w:val="004040FD"/>
    <w:rsid w:val="00404931"/>
    <w:rsid w:val="00407186"/>
    <w:rsid w:val="00411C6F"/>
    <w:rsid w:val="00413DF3"/>
    <w:rsid w:val="00417E6F"/>
    <w:rsid w:val="004215EF"/>
    <w:rsid w:val="00423707"/>
    <w:rsid w:val="004239AA"/>
    <w:rsid w:val="00424575"/>
    <w:rsid w:val="0042686C"/>
    <w:rsid w:val="00431303"/>
    <w:rsid w:val="00433A5F"/>
    <w:rsid w:val="00433B40"/>
    <w:rsid w:val="00435001"/>
    <w:rsid w:val="0043500C"/>
    <w:rsid w:val="00435381"/>
    <w:rsid w:val="004438A4"/>
    <w:rsid w:val="00444CC0"/>
    <w:rsid w:val="00450C1A"/>
    <w:rsid w:val="0045363F"/>
    <w:rsid w:val="004538C9"/>
    <w:rsid w:val="004547C7"/>
    <w:rsid w:val="00461BC1"/>
    <w:rsid w:val="004637D0"/>
    <w:rsid w:val="00470366"/>
    <w:rsid w:val="00471F41"/>
    <w:rsid w:val="004724C3"/>
    <w:rsid w:val="00480ED9"/>
    <w:rsid w:val="00483A3B"/>
    <w:rsid w:val="0048419F"/>
    <w:rsid w:val="004864FE"/>
    <w:rsid w:val="00486CD4"/>
    <w:rsid w:val="00487B1F"/>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C2B85"/>
    <w:rsid w:val="004C3387"/>
    <w:rsid w:val="004D27D1"/>
    <w:rsid w:val="004D2E2D"/>
    <w:rsid w:val="004D33BD"/>
    <w:rsid w:val="004D3628"/>
    <w:rsid w:val="004D6CA9"/>
    <w:rsid w:val="004D72B5"/>
    <w:rsid w:val="004D75E3"/>
    <w:rsid w:val="004D7FC3"/>
    <w:rsid w:val="004E3C17"/>
    <w:rsid w:val="004E3C5D"/>
    <w:rsid w:val="004E5439"/>
    <w:rsid w:val="004E6E8C"/>
    <w:rsid w:val="004F419A"/>
    <w:rsid w:val="004F4DBA"/>
    <w:rsid w:val="004F5D5D"/>
    <w:rsid w:val="004F7D1B"/>
    <w:rsid w:val="00500E82"/>
    <w:rsid w:val="00500F8B"/>
    <w:rsid w:val="00503604"/>
    <w:rsid w:val="005057DF"/>
    <w:rsid w:val="0050625D"/>
    <w:rsid w:val="00506381"/>
    <w:rsid w:val="00507010"/>
    <w:rsid w:val="0050778D"/>
    <w:rsid w:val="00507DDF"/>
    <w:rsid w:val="0051007C"/>
    <w:rsid w:val="00511950"/>
    <w:rsid w:val="005131AC"/>
    <w:rsid w:val="00514AA0"/>
    <w:rsid w:val="005178BE"/>
    <w:rsid w:val="00520F1D"/>
    <w:rsid w:val="00520F9F"/>
    <w:rsid w:val="00521989"/>
    <w:rsid w:val="00521BF2"/>
    <w:rsid w:val="00521D0D"/>
    <w:rsid w:val="00522565"/>
    <w:rsid w:val="005230FD"/>
    <w:rsid w:val="005258BF"/>
    <w:rsid w:val="00527FBF"/>
    <w:rsid w:val="005302DB"/>
    <w:rsid w:val="00531FA8"/>
    <w:rsid w:val="00533D59"/>
    <w:rsid w:val="00534BBE"/>
    <w:rsid w:val="00536BCE"/>
    <w:rsid w:val="00536E2D"/>
    <w:rsid w:val="00544F9A"/>
    <w:rsid w:val="00544FE5"/>
    <w:rsid w:val="00545BFE"/>
    <w:rsid w:val="005463D2"/>
    <w:rsid w:val="00546AAA"/>
    <w:rsid w:val="00547456"/>
    <w:rsid w:val="00553ECD"/>
    <w:rsid w:val="00554F6C"/>
    <w:rsid w:val="00555E7D"/>
    <w:rsid w:val="00563644"/>
    <w:rsid w:val="00564E6D"/>
    <w:rsid w:val="00565423"/>
    <w:rsid w:val="005677C3"/>
    <w:rsid w:val="00567AFF"/>
    <w:rsid w:val="00571FA8"/>
    <w:rsid w:val="0057503D"/>
    <w:rsid w:val="00577811"/>
    <w:rsid w:val="00577CF6"/>
    <w:rsid w:val="00580AA1"/>
    <w:rsid w:val="00581BE2"/>
    <w:rsid w:val="0059329B"/>
    <w:rsid w:val="0059457F"/>
    <w:rsid w:val="00594675"/>
    <w:rsid w:val="00597C3C"/>
    <w:rsid w:val="005A1285"/>
    <w:rsid w:val="005A1C4E"/>
    <w:rsid w:val="005A5EEC"/>
    <w:rsid w:val="005A6187"/>
    <w:rsid w:val="005A6C0A"/>
    <w:rsid w:val="005A6CB7"/>
    <w:rsid w:val="005A6D62"/>
    <w:rsid w:val="005B2E1E"/>
    <w:rsid w:val="005B4BA4"/>
    <w:rsid w:val="005B57BC"/>
    <w:rsid w:val="005C1129"/>
    <w:rsid w:val="005C1721"/>
    <w:rsid w:val="005C180E"/>
    <w:rsid w:val="005C370D"/>
    <w:rsid w:val="005C3B98"/>
    <w:rsid w:val="005C42C4"/>
    <w:rsid w:val="005C44B9"/>
    <w:rsid w:val="005C583B"/>
    <w:rsid w:val="005C76E6"/>
    <w:rsid w:val="005D1672"/>
    <w:rsid w:val="005D1FA2"/>
    <w:rsid w:val="005D2126"/>
    <w:rsid w:val="005D50EC"/>
    <w:rsid w:val="005D551E"/>
    <w:rsid w:val="005D6E91"/>
    <w:rsid w:val="005D7D3C"/>
    <w:rsid w:val="005E36EA"/>
    <w:rsid w:val="005E4497"/>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323A"/>
    <w:rsid w:val="006043D4"/>
    <w:rsid w:val="006046B6"/>
    <w:rsid w:val="00604A12"/>
    <w:rsid w:val="00605EA4"/>
    <w:rsid w:val="00606901"/>
    <w:rsid w:val="00606F50"/>
    <w:rsid w:val="006077B4"/>
    <w:rsid w:val="00611516"/>
    <w:rsid w:val="006128E7"/>
    <w:rsid w:val="006132F0"/>
    <w:rsid w:val="00614519"/>
    <w:rsid w:val="00614E0F"/>
    <w:rsid w:val="0061592A"/>
    <w:rsid w:val="00620767"/>
    <w:rsid w:val="00622814"/>
    <w:rsid w:val="00623654"/>
    <w:rsid w:val="006241BE"/>
    <w:rsid w:val="00624A2C"/>
    <w:rsid w:val="006267C3"/>
    <w:rsid w:val="00626899"/>
    <w:rsid w:val="0062723A"/>
    <w:rsid w:val="00630107"/>
    <w:rsid w:val="0063163B"/>
    <w:rsid w:val="00632B26"/>
    <w:rsid w:val="006348AF"/>
    <w:rsid w:val="00637999"/>
    <w:rsid w:val="00640DB5"/>
    <w:rsid w:val="0064407A"/>
    <w:rsid w:val="00645B23"/>
    <w:rsid w:val="00645C3F"/>
    <w:rsid w:val="006464E6"/>
    <w:rsid w:val="006506BC"/>
    <w:rsid w:val="00651C18"/>
    <w:rsid w:val="006525D0"/>
    <w:rsid w:val="00655C56"/>
    <w:rsid w:val="00655EC7"/>
    <w:rsid w:val="00655F8E"/>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90A"/>
    <w:rsid w:val="00676233"/>
    <w:rsid w:val="00683050"/>
    <w:rsid w:val="00687833"/>
    <w:rsid w:val="006909D6"/>
    <w:rsid w:val="00693A93"/>
    <w:rsid w:val="0069557F"/>
    <w:rsid w:val="006958B6"/>
    <w:rsid w:val="0069629D"/>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C0639"/>
    <w:rsid w:val="006C308C"/>
    <w:rsid w:val="006C37A7"/>
    <w:rsid w:val="006C3DB2"/>
    <w:rsid w:val="006C4083"/>
    <w:rsid w:val="006C4F2F"/>
    <w:rsid w:val="006C5D97"/>
    <w:rsid w:val="006D25B8"/>
    <w:rsid w:val="006D2CC3"/>
    <w:rsid w:val="006D2FBA"/>
    <w:rsid w:val="006D530D"/>
    <w:rsid w:val="006D6531"/>
    <w:rsid w:val="006D7F6A"/>
    <w:rsid w:val="006E023C"/>
    <w:rsid w:val="006E07BF"/>
    <w:rsid w:val="006E0B66"/>
    <w:rsid w:val="006E4934"/>
    <w:rsid w:val="006E601D"/>
    <w:rsid w:val="006E6383"/>
    <w:rsid w:val="006E6541"/>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C03"/>
    <w:rsid w:val="00715764"/>
    <w:rsid w:val="007179B7"/>
    <w:rsid w:val="00717DF5"/>
    <w:rsid w:val="00720003"/>
    <w:rsid w:val="00721ED2"/>
    <w:rsid w:val="00722719"/>
    <w:rsid w:val="007256CA"/>
    <w:rsid w:val="00726E62"/>
    <w:rsid w:val="00727655"/>
    <w:rsid w:val="0072776E"/>
    <w:rsid w:val="007305E0"/>
    <w:rsid w:val="007321D5"/>
    <w:rsid w:val="007328A7"/>
    <w:rsid w:val="00733119"/>
    <w:rsid w:val="00733FDE"/>
    <w:rsid w:val="007344C5"/>
    <w:rsid w:val="00734506"/>
    <w:rsid w:val="007373E7"/>
    <w:rsid w:val="00737862"/>
    <w:rsid w:val="007402E1"/>
    <w:rsid w:val="00740715"/>
    <w:rsid w:val="00742DA8"/>
    <w:rsid w:val="00743983"/>
    <w:rsid w:val="00744FE3"/>
    <w:rsid w:val="00745996"/>
    <w:rsid w:val="007463E0"/>
    <w:rsid w:val="00746663"/>
    <w:rsid w:val="0074675F"/>
    <w:rsid w:val="00752D44"/>
    <w:rsid w:val="00755CE0"/>
    <w:rsid w:val="00756BB9"/>
    <w:rsid w:val="00761D24"/>
    <w:rsid w:val="00762FD2"/>
    <w:rsid w:val="0076395B"/>
    <w:rsid w:val="007648D0"/>
    <w:rsid w:val="007648EC"/>
    <w:rsid w:val="0076777C"/>
    <w:rsid w:val="00771467"/>
    <w:rsid w:val="00772A9A"/>
    <w:rsid w:val="00773B34"/>
    <w:rsid w:val="00774F43"/>
    <w:rsid w:val="0077535A"/>
    <w:rsid w:val="00780D3D"/>
    <w:rsid w:val="00780DF0"/>
    <w:rsid w:val="00781238"/>
    <w:rsid w:val="007819DD"/>
    <w:rsid w:val="00784251"/>
    <w:rsid w:val="00784266"/>
    <w:rsid w:val="007842A1"/>
    <w:rsid w:val="0078584E"/>
    <w:rsid w:val="00786146"/>
    <w:rsid w:val="007869AF"/>
    <w:rsid w:val="007879BA"/>
    <w:rsid w:val="007907D1"/>
    <w:rsid w:val="007912ED"/>
    <w:rsid w:val="00791F53"/>
    <w:rsid w:val="00792917"/>
    <w:rsid w:val="007A139F"/>
    <w:rsid w:val="007A1632"/>
    <w:rsid w:val="007A6263"/>
    <w:rsid w:val="007A62FC"/>
    <w:rsid w:val="007A7FC6"/>
    <w:rsid w:val="007B09B2"/>
    <w:rsid w:val="007B140B"/>
    <w:rsid w:val="007B190B"/>
    <w:rsid w:val="007B3E30"/>
    <w:rsid w:val="007B4020"/>
    <w:rsid w:val="007B4F2A"/>
    <w:rsid w:val="007B6BE6"/>
    <w:rsid w:val="007C147A"/>
    <w:rsid w:val="007D60DF"/>
    <w:rsid w:val="007D7078"/>
    <w:rsid w:val="007E0C24"/>
    <w:rsid w:val="007E1CCC"/>
    <w:rsid w:val="007E295F"/>
    <w:rsid w:val="007E2E25"/>
    <w:rsid w:val="007E4136"/>
    <w:rsid w:val="007E5D8D"/>
    <w:rsid w:val="007E69C2"/>
    <w:rsid w:val="007E6C3E"/>
    <w:rsid w:val="007F155A"/>
    <w:rsid w:val="007F1E4B"/>
    <w:rsid w:val="007F3124"/>
    <w:rsid w:val="00800D24"/>
    <w:rsid w:val="00801A88"/>
    <w:rsid w:val="00806DFF"/>
    <w:rsid w:val="008118C7"/>
    <w:rsid w:val="0081450A"/>
    <w:rsid w:val="008150A2"/>
    <w:rsid w:val="00815225"/>
    <w:rsid w:val="008152E3"/>
    <w:rsid w:val="00816CC5"/>
    <w:rsid w:val="0081778E"/>
    <w:rsid w:val="0082093F"/>
    <w:rsid w:val="00820C77"/>
    <w:rsid w:val="00826AA8"/>
    <w:rsid w:val="008302D7"/>
    <w:rsid w:val="00830C59"/>
    <w:rsid w:val="008318F3"/>
    <w:rsid w:val="00834710"/>
    <w:rsid w:val="00834E77"/>
    <w:rsid w:val="008360A3"/>
    <w:rsid w:val="008400F8"/>
    <w:rsid w:val="008457B1"/>
    <w:rsid w:val="00846FB9"/>
    <w:rsid w:val="00847482"/>
    <w:rsid w:val="00850D3D"/>
    <w:rsid w:val="00851CAB"/>
    <w:rsid w:val="0085494C"/>
    <w:rsid w:val="008551AB"/>
    <w:rsid w:val="0085587E"/>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C27"/>
    <w:rsid w:val="00884168"/>
    <w:rsid w:val="00887A6B"/>
    <w:rsid w:val="00887F3A"/>
    <w:rsid w:val="00890594"/>
    <w:rsid w:val="00890B4F"/>
    <w:rsid w:val="00891F7B"/>
    <w:rsid w:val="008939C8"/>
    <w:rsid w:val="00894E06"/>
    <w:rsid w:val="00895280"/>
    <w:rsid w:val="0089735F"/>
    <w:rsid w:val="008A29FE"/>
    <w:rsid w:val="008A369C"/>
    <w:rsid w:val="008A556F"/>
    <w:rsid w:val="008A7D04"/>
    <w:rsid w:val="008B08D6"/>
    <w:rsid w:val="008B3F44"/>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4611"/>
    <w:rsid w:val="008F4BC8"/>
    <w:rsid w:val="008F5D43"/>
    <w:rsid w:val="00902065"/>
    <w:rsid w:val="0090361F"/>
    <w:rsid w:val="009054A4"/>
    <w:rsid w:val="00906A1B"/>
    <w:rsid w:val="00906AC5"/>
    <w:rsid w:val="0091130E"/>
    <w:rsid w:val="00913042"/>
    <w:rsid w:val="009130AC"/>
    <w:rsid w:val="00913AF5"/>
    <w:rsid w:val="00914133"/>
    <w:rsid w:val="00914C58"/>
    <w:rsid w:val="00915D5F"/>
    <w:rsid w:val="0091719A"/>
    <w:rsid w:val="009217A3"/>
    <w:rsid w:val="0092425A"/>
    <w:rsid w:val="009248C7"/>
    <w:rsid w:val="009257AC"/>
    <w:rsid w:val="00930C90"/>
    <w:rsid w:val="00932054"/>
    <w:rsid w:val="00932DCB"/>
    <w:rsid w:val="009332F6"/>
    <w:rsid w:val="009348A6"/>
    <w:rsid w:val="009350E5"/>
    <w:rsid w:val="00935287"/>
    <w:rsid w:val="0093788E"/>
    <w:rsid w:val="00937D59"/>
    <w:rsid w:val="00940EB7"/>
    <w:rsid w:val="00944E59"/>
    <w:rsid w:val="00946911"/>
    <w:rsid w:val="00946FDA"/>
    <w:rsid w:val="00947F73"/>
    <w:rsid w:val="00952B7E"/>
    <w:rsid w:val="00952D34"/>
    <w:rsid w:val="00953525"/>
    <w:rsid w:val="0095372F"/>
    <w:rsid w:val="00954A4D"/>
    <w:rsid w:val="00963310"/>
    <w:rsid w:val="009645B6"/>
    <w:rsid w:val="00965EDD"/>
    <w:rsid w:val="00967830"/>
    <w:rsid w:val="00973A1E"/>
    <w:rsid w:val="00973BF2"/>
    <w:rsid w:val="009770AD"/>
    <w:rsid w:val="00980A29"/>
    <w:rsid w:val="009824F2"/>
    <w:rsid w:val="00983F09"/>
    <w:rsid w:val="00984D86"/>
    <w:rsid w:val="009861E2"/>
    <w:rsid w:val="00986D28"/>
    <w:rsid w:val="00987D0E"/>
    <w:rsid w:val="00987FB3"/>
    <w:rsid w:val="00990E5E"/>
    <w:rsid w:val="009923C3"/>
    <w:rsid w:val="00994AE4"/>
    <w:rsid w:val="00996F51"/>
    <w:rsid w:val="009A306C"/>
    <w:rsid w:val="009A6DFD"/>
    <w:rsid w:val="009A7F41"/>
    <w:rsid w:val="009B17D8"/>
    <w:rsid w:val="009B1DFB"/>
    <w:rsid w:val="009B2A55"/>
    <w:rsid w:val="009B2BF9"/>
    <w:rsid w:val="009B45F2"/>
    <w:rsid w:val="009B6046"/>
    <w:rsid w:val="009B6C76"/>
    <w:rsid w:val="009B750F"/>
    <w:rsid w:val="009C1320"/>
    <w:rsid w:val="009C13BF"/>
    <w:rsid w:val="009C1C4E"/>
    <w:rsid w:val="009C499F"/>
    <w:rsid w:val="009C59C0"/>
    <w:rsid w:val="009C5A27"/>
    <w:rsid w:val="009D48B2"/>
    <w:rsid w:val="009D5477"/>
    <w:rsid w:val="009E0287"/>
    <w:rsid w:val="009E54FB"/>
    <w:rsid w:val="009F00AF"/>
    <w:rsid w:val="009F13B5"/>
    <w:rsid w:val="009F27AC"/>
    <w:rsid w:val="009F4246"/>
    <w:rsid w:val="009F4575"/>
    <w:rsid w:val="009F4847"/>
    <w:rsid w:val="009F7D0D"/>
    <w:rsid w:val="009F7EC7"/>
    <w:rsid w:val="00A0012E"/>
    <w:rsid w:val="00A014F9"/>
    <w:rsid w:val="00A01C2B"/>
    <w:rsid w:val="00A024C2"/>
    <w:rsid w:val="00A02C32"/>
    <w:rsid w:val="00A0748E"/>
    <w:rsid w:val="00A109E9"/>
    <w:rsid w:val="00A10FEF"/>
    <w:rsid w:val="00A1169A"/>
    <w:rsid w:val="00A13ABB"/>
    <w:rsid w:val="00A156A8"/>
    <w:rsid w:val="00A15B40"/>
    <w:rsid w:val="00A17685"/>
    <w:rsid w:val="00A22717"/>
    <w:rsid w:val="00A22755"/>
    <w:rsid w:val="00A23C43"/>
    <w:rsid w:val="00A269E0"/>
    <w:rsid w:val="00A349EF"/>
    <w:rsid w:val="00A349F1"/>
    <w:rsid w:val="00A37197"/>
    <w:rsid w:val="00A3776F"/>
    <w:rsid w:val="00A414A6"/>
    <w:rsid w:val="00A418B9"/>
    <w:rsid w:val="00A42E07"/>
    <w:rsid w:val="00A440C1"/>
    <w:rsid w:val="00A44DAA"/>
    <w:rsid w:val="00A52B95"/>
    <w:rsid w:val="00A53589"/>
    <w:rsid w:val="00A54A38"/>
    <w:rsid w:val="00A54CF2"/>
    <w:rsid w:val="00A60146"/>
    <w:rsid w:val="00A60E0E"/>
    <w:rsid w:val="00A60FF9"/>
    <w:rsid w:val="00A61A17"/>
    <w:rsid w:val="00A634C4"/>
    <w:rsid w:val="00A6428A"/>
    <w:rsid w:val="00A6433B"/>
    <w:rsid w:val="00A66DA1"/>
    <w:rsid w:val="00A6720E"/>
    <w:rsid w:val="00A71C1D"/>
    <w:rsid w:val="00A72C09"/>
    <w:rsid w:val="00A74664"/>
    <w:rsid w:val="00A759DF"/>
    <w:rsid w:val="00A75D32"/>
    <w:rsid w:val="00A76812"/>
    <w:rsid w:val="00A80155"/>
    <w:rsid w:val="00A82233"/>
    <w:rsid w:val="00A8239C"/>
    <w:rsid w:val="00A847E9"/>
    <w:rsid w:val="00A86483"/>
    <w:rsid w:val="00A876DA"/>
    <w:rsid w:val="00A9077F"/>
    <w:rsid w:val="00A91924"/>
    <w:rsid w:val="00A9195B"/>
    <w:rsid w:val="00A94181"/>
    <w:rsid w:val="00A94625"/>
    <w:rsid w:val="00A95966"/>
    <w:rsid w:val="00A95FA6"/>
    <w:rsid w:val="00A976BA"/>
    <w:rsid w:val="00A976C3"/>
    <w:rsid w:val="00AA0A43"/>
    <w:rsid w:val="00AA15A0"/>
    <w:rsid w:val="00AA1DC9"/>
    <w:rsid w:val="00AA2343"/>
    <w:rsid w:val="00AB148C"/>
    <w:rsid w:val="00AB2B3E"/>
    <w:rsid w:val="00AB2E73"/>
    <w:rsid w:val="00AB3C41"/>
    <w:rsid w:val="00AB5662"/>
    <w:rsid w:val="00AB7FE7"/>
    <w:rsid w:val="00AC180A"/>
    <w:rsid w:val="00AD22AA"/>
    <w:rsid w:val="00AD2391"/>
    <w:rsid w:val="00AD42EC"/>
    <w:rsid w:val="00AD6DD2"/>
    <w:rsid w:val="00AD706D"/>
    <w:rsid w:val="00AD7C69"/>
    <w:rsid w:val="00AE00A1"/>
    <w:rsid w:val="00AE23A9"/>
    <w:rsid w:val="00AE2689"/>
    <w:rsid w:val="00AE2CBF"/>
    <w:rsid w:val="00AE2CE5"/>
    <w:rsid w:val="00AE57E9"/>
    <w:rsid w:val="00AE6733"/>
    <w:rsid w:val="00AE7A4E"/>
    <w:rsid w:val="00AE7BA5"/>
    <w:rsid w:val="00AF2E9D"/>
    <w:rsid w:val="00AF32C2"/>
    <w:rsid w:val="00AF41D6"/>
    <w:rsid w:val="00AF44EC"/>
    <w:rsid w:val="00AF5CEB"/>
    <w:rsid w:val="00AF6257"/>
    <w:rsid w:val="00B02373"/>
    <w:rsid w:val="00B04F60"/>
    <w:rsid w:val="00B05171"/>
    <w:rsid w:val="00B05D2D"/>
    <w:rsid w:val="00B11954"/>
    <w:rsid w:val="00B11BE5"/>
    <w:rsid w:val="00B11F0C"/>
    <w:rsid w:val="00B13301"/>
    <w:rsid w:val="00B13A3D"/>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336E"/>
    <w:rsid w:val="00B33A0E"/>
    <w:rsid w:val="00B34787"/>
    <w:rsid w:val="00B34D17"/>
    <w:rsid w:val="00B3556E"/>
    <w:rsid w:val="00B40A20"/>
    <w:rsid w:val="00B44582"/>
    <w:rsid w:val="00B44F51"/>
    <w:rsid w:val="00B5099A"/>
    <w:rsid w:val="00B50D7D"/>
    <w:rsid w:val="00B51761"/>
    <w:rsid w:val="00B52086"/>
    <w:rsid w:val="00B5224E"/>
    <w:rsid w:val="00B5244D"/>
    <w:rsid w:val="00B5363B"/>
    <w:rsid w:val="00B543F9"/>
    <w:rsid w:val="00B57A49"/>
    <w:rsid w:val="00B60536"/>
    <w:rsid w:val="00B619F4"/>
    <w:rsid w:val="00B63937"/>
    <w:rsid w:val="00B641C8"/>
    <w:rsid w:val="00B647C2"/>
    <w:rsid w:val="00B64A97"/>
    <w:rsid w:val="00B65779"/>
    <w:rsid w:val="00B67DCF"/>
    <w:rsid w:val="00B71BBD"/>
    <w:rsid w:val="00B745EC"/>
    <w:rsid w:val="00B746C6"/>
    <w:rsid w:val="00B75DC6"/>
    <w:rsid w:val="00B828F9"/>
    <w:rsid w:val="00B82E8B"/>
    <w:rsid w:val="00B85757"/>
    <w:rsid w:val="00B85986"/>
    <w:rsid w:val="00B935EB"/>
    <w:rsid w:val="00B946E2"/>
    <w:rsid w:val="00B97F90"/>
    <w:rsid w:val="00BA1AFC"/>
    <w:rsid w:val="00BA2006"/>
    <w:rsid w:val="00BA44EC"/>
    <w:rsid w:val="00BA4A05"/>
    <w:rsid w:val="00BA4ABC"/>
    <w:rsid w:val="00BA6A2B"/>
    <w:rsid w:val="00BA6EA3"/>
    <w:rsid w:val="00BB275C"/>
    <w:rsid w:val="00BB4E97"/>
    <w:rsid w:val="00BB5B57"/>
    <w:rsid w:val="00BB64E5"/>
    <w:rsid w:val="00BB675C"/>
    <w:rsid w:val="00BB7178"/>
    <w:rsid w:val="00BC14A8"/>
    <w:rsid w:val="00BC181E"/>
    <w:rsid w:val="00BC2011"/>
    <w:rsid w:val="00BC2319"/>
    <w:rsid w:val="00BC409C"/>
    <w:rsid w:val="00BD0926"/>
    <w:rsid w:val="00BD1C7B"/>
    <w:rsid w:val="00BD3D88"/>
    <w:rsid w:val="00BD547C"/>
    <w:rsid w:val="00BD679D"/>
    <w:rsid w:val="00BE3287"/>
    <w:rsid w:val="00BE585B"/>
    <w:rsid w:val="00BF094E"/>
    <w:rsid w:val="00BF0EE9"/>
    <w:rsid w:val="00BF1D58"/>
    <w:rsid w:val="00BF2A79"/>
    <w:rsid w:val="00BF4129"/>
    <w:rsid w:val="00BF5DBB"/>
    <w:rsid w:val="00C01462"/>
    <w:rsid w:val="00C02291"/>
    <w:rsid w:val="00C025E3"/>
    <w:rsid w:val="00C030D6"/>
    <w:rsid w:val="00C03412"/>
    <w:rsid w:val="00C05FA1"/>
    <w:rsid w:val="00C06A23"/>
    <w:rsid w:val="00C14222"/>
    <w:rsid w:val="00C15C02"/>
    <w:rsid w:val="00C200EB"/>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A8C"/>
    <w:rsid w:val="00C5624D"/>
    <w:rsid w:val="00C579A9"/>
    <w:rsid w:val="00C6220E"/>
    <w:rsid w:val="00C62B77"/>
    <w:rsid w:val="00C6508E"/>
    <w:rsid w:val="00C675C8"/>
    <w:rsid w:val="00C67741"/>
    <w:rsid w:val="00C71319"/>
    <w:rsid w:val="00C7236B"/>
    <w:rsid w:val="00C73594"/>
    <w:rsid w:val="00C753D2"/>
    <w:rsid w:val="00C75AC5"/>
    <w:rsid w:val="00C76617"/>
    <w:rsid w:val="00C76E63"/>
    <w:rsid w:val="00C773C4"/>
    <w:rsid w:val="00C81EA3"/>
    <w:rsid w:val="00C82EBF"/>
    <w:rsid w:val="00C84194"/>
    <w:rsid w:val="00C906B9"/>
    <w:rsid w:val="00C90FF0"/>
    <w:rsid w:val="00C912C7"/>
    <w:rsid w:val="00C9294D"/>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42FE"/>
    <w:rsid w:val="00CC48A6"/>
    <w:rsid w:val="00CC56C7"/>
    <w:rsid w:val="00CC62D5"/>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2EFC"/>
    <w:rsid w:val="00CF42A3"/>
    <w:rsid w:val="00CF73B6"/>
    <w:rsid w:val="00D01432"/>
    <w:rsid w:val="00D01B9E"/>
    <w:rsid w:val="00D01F0A"/>
    <w:rsid w:val="00D03253"/>
    <w:rsid w:val="00D04493"/>
    <w:rsid w:val="00D0742F"/>
    <w:rsid w:val="00D10EC6"/>
    <w:rsid w:val="00D1165A"/>
    <w:rsid w:val="00D138B1"/>
    <w:rsid w:val="00D17D7C"/>
    <w:rsid w:val="00D20953"/>
    <w:rsid w:val="00D21697"/>
    <w:rsid w:val="00D22480"/>
    <w:rsid w:val="00D2531D"/>
    <w:rsid w:val="00D26C5F"/>
    <w:rsid w:val="00D30521"/>
    <w:rsid w:val="00D30E97"/>
    <w:rsid w:val="00D31BDA"/>
    <w:rsid w:val="00D3266C"/>
    <w:rsid w:val="00D33CE8"/>
    <w:rsid w:val="00D33D40"/>
    <w:rsid w:val="00D345B8"/>
    <w:rsid w:val="00D3580B"/>
    <w:rsid w:val="00D37B09"/>
    <w:rsid w:val="00D41E21"/>
    <w:rsid w:val="00D5129D"/>
    <w:rsid w:val="00D5324F"/>
    <w:rsid w:val="00D53E12"/>
    <w:rsid w:val="00D55F38"/>
    <w:rsid w:val="00D57CF1"/>
    <w:rsid w:val="00D6018F"/>
    <w:rsid w:val="00D63AA3"/>
    <w:rsid w:val="00D63ADD"/>
    <w:rsid w:val="00D665C0"/>
    <w:rsid w:val="00D701C6"/>
    <w:rsid w:val="00D70492"/>
    <w:rsid w:val="00D737D6"/>
    <w:rsid w:val="00D7419A"/>
    <w:rsid w:val="00D7558D"/>
    <w:rsid w:val="00D767D2"/>
    <w:rsid w:val="00D775B7"/>
    <w:rsid w:val="00D8012D"/>
    <w:rsid w:val="00D80A02"/>
    <w:rsid w:val="00D81712"/>
    <w:rsid w:val="00D81B11"/>
    <w:rsid w:val="00D81ED8"/>
    <w:rsid w:val="00D82735"/>
    <w:rsid w:val="00D8280E"/>
    <w:rsid w:val="00D82B42"/>
    <w:rsid w:val="00D8311E"/>
    <w:rsid w:val="00D8398C"/>
    <w:rsid w:val="00D91BBC"/>
    <w:rsid w:val="00D92AD1"/>
    <w:rsid w:val="00D9347F"/>
    <w:rsid w:val="00D93715"/>
    <w:rsid w:val="00D941F0"/>
    <w:rsid w:val="00D95EED"/>
    <w:rsid w:val="00D97F1B"/>
    <w:rsid w:val="00DA00BD"/>
    <w:rsid w:val="00DA09B6"/>
    <w:rsid w:val="00DA0C92"/>
    <w:rsid w:val="00DA183C"/>
    <w:rsid w:val="00DA2503"/>
    <w:rsid w:val="00DA5875"/>
    <w:rsid w:val="00DA6E32"/>
    <w:rsid w:val="00DA7212"/>
    <w:rsid w:val="00DB2273"/>
    <w:rsid w:val="00DB28A5"/>
    <w:rsid w:val="00DB582B"/>
    <w:rsid w:val="00DB786F"/>
    <w:rsid w:val="00DC0606"/>
    <w:rsid w:val="00DC09A7"/>
    <w:rsid w:val="00DC1A24"/>
    <w:rsid w:val="00DC4ED1"/>
    <w:rsid w:val="00DC61E6"/>
    <w:rsid w:val="00DD1685"/>
    <w:rsid w:val="00DD1816"/>
    <w:rsid w:val="00DD3738"/>
    <w:rsid w:val="00DD54A9"/>
    <w:rsid w:val="00DD55A7"/>
    <w:rsid w:val="00DD7365"/>
    <w:rsid w:val="00DE1CE2"/>
    <w:rsid w:val="00DE33B0"/>
    <w:rsid w:val="00DE7314"/>
    <w:rsid w:val="00DF00FC"/>
    <w:rsid w:val="00DF053F"/>
    <w:rsid w:val="00DF1A8F"/>
    <w:rsid w:val="00DF1EEA"/>
    <w:rsid w:val="00DF4423"/>
    <w:rsid w:val="00DF4BAB"/>
    <w:rsid w:val="00DF50D4"/>
    <w:rsid w:val="00E00F2D"/>
    <w:rsid w:val="00E01524"/>
    <w:rsid w:val="00E0220A"/>
    <w:rsid w:val="00E028EC"/>
    <w:rsid w:val="00E0372F"/>
    <w:rsid w:val="00E10C69"/>
    <w:rsid w:val="00E14379"/>
    <w:rsid w:val="00E14E5D"/>
    <w:rsid w:val="00E15AB4"/>
    <w:rsid w:val="00E161AB"/>
    <w:rsid w:val="00E165C6"/>
    <w:rsid w:val="00E2007F"/>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4108E"/>
    <w:rsid w:val="00E41838"/>
    <w:rsid w:val="00E440E2"/>
    <w:rsid w:val="00E45B44"/>
    <w:rsid w:val="00E462E6"/>
    <w:rsid w:val="00E51BEB"/>
    <w:rsid w:val="00E5292E"/>
    <w:rsid w:val="00E5420B"/>
    <w:rsid w:val="00E547A6"/>
    <w:rsid w:val="00E5559E"/>
    <w:rsid w:val="00E556ED"/>
    <w:rsid w:val="00E55EB5"/>
    <w:rsid w:val="00E56439"/>
    <w:rsid w:val="00E56C71"/>
    <w:rsid w:val="00E606B6"/>
    <w:rsid w:val="00E60C2B"/>
    <w:rsid w:val="00E63085"/>
    <w:rsid w:val="00E6442C"/>
    <w:rsid w:val="00E66000"/>
    <w:rsid w:val="00E66293"/>
    <w:rsid w:val="00E66D38"/>
    <w:rsid w:val="00E72BC7"/>
    <w:rsid w:val="00E734C8"/>
    <w:rsid w:val="00E73639"/>
    <w:rsid w:val="00E7379F"/>
    <w:rsid w:val="00E74256"/>
    <w:rsid w:val="00E76887"/>
    <w:rsid w:val="00E8041F"/>
    <w:rsid w:val="00E8231D"/>
    <w:rsid w:val="00E82C45"/>
    <w:rsid w:val="00E83727"/>
    <w:rsid w:val="00E8511B"/>
    <w:rsid w:val="00E8516F"/>
    <w:rsid w:val="00E85C1A"/>
    <w:rsid w:val="00E85FF7"/>
    <w:rsid w:val="00E87A82"/>
    <w:rsid w:val="00E91E2A"/>
    <w:rsid w:val="00E91E7D"/>
    <w:rsid w:val="00E92C2F"/>
    <w:rsid w:val="00EA0883"/>
    <w:rsid w:val="00EA27F1"/>
    <w:rsid w:val="00EA45C5"/>
    <w:rsid w:val="00EA476F"/>
    <w:rsid w:val="00EA52A5"/>
    <w:rsid w:val="00EA6C55"/>
    <w:rsid w:val="00EB22B4"/>
    <w:rsid w:val="00EB3129"/>
    <w:rsid w:val="00EB3DE1"/>
    <w:rsid w:val="00EB64D7"/>
    <w:rsid w:val="00EC061D"/>
    <w:rsid w:val="00EC3AB1"/>
    <w:rsid w:val="00EC6677"/>
    <w:rsid w:val="00EC67B9"/>
    <w:rsid w:val="00EC7B1D"/>
    <w:rsid w:val="00ED167E"/>
    <w:rsid w:val="00ED18F0"/>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215E4"/>
    <w:rsid w:val="00F236F8"/>
    <w:rsid w:val="00F24E60"/>
    <w:rsid w:val="00F2519C"/>
    <w:rsid w:val="00F2558F"/>
    <w:rsid w:val="00F3015F"/>
    <w:rsid w:val="00F33626"/>
    <w:rsid w:val="00F34483"/>
    <w:rsid w:val="00F3489B"/>
    <w:rsid w:val="00F36F91"/>
    <w:rsid w:val="00F372C5"/>
    <w:rsid w:val="00F37575"/>
    <w:rsid w:val="00F3762B"/>
    <w:rsid w:val="00F43966"/>
    <w:rsid w:val="00F44C23"/>
    <w:rsid w:val="00F45F91"/>
    <w:rsid w:val="00F46518"/>
    <w:rsid w:val="00F46957"/>
    <w:rsid w:val="00F46986"/>
    <w:rsid w:val="00F506A9"/>
    <w:rsid w:val="00F5108B"/>
    <w:rsid w:val="00F52031"/>
    <w:rsid w:val="00F53225"/>
    <w:rsid w:val="00F534F8"/>
    <w:rsid w:val="00F5518E"/>
    <w:rsid w:val="00F55C59"/>
    <w:rsid w:val="00F56149"/>
    <w:rsid w:val="00F570FD"/>
    <w:rsid w:val="00F603F1"/>
    <w:rsid w:val="00F61A49"/>
    <w:rsid w:val="00F61E69"/>
    <w:rsid w:val="00F67A55"/>
    <w:rsid w:val="00F706A4"/>
    <w:rsid w:val="00F71B09"/>
    <w:rsid w:val="00F77B87"/>
    <w:rsid w:val="00F82B44"/>
    <w:rsid w:val="00F83042"/>
    <w:rsid w:val="00F83380"/>
    <w:rsid w:val="00F84DCF"/>
    <w:rsid w:val="00F8609B"/>
    <w:rsid w:val="00F864CC"/>
    <w:rsid w:val="00F86E2A"/>
    <w:rsid w:val="00F87536"/>
    <w:rsid w:val="00FA31AD"/>
    <w:rsid w:val="00FA3FAA"/>
    <w:rsid w:val="00FA46C4"/>
    <w:rsid w:val="00FA4A08"/>
    <w:rsid w:val="00FA4BC7"/>
    <w:rsid w:val="00FA5D74"/>
    <w:rsid w:val="00FA6AC9"/>
    <w:rsid w:val="00FA6D2B"/>
    <w:rsid w:val="00FA6F96"/>
    <w:rsid w:val="00FA72BC"/>
    <w:rsid w:val="00FB6690"/>
    <w:rsid w:val="00FB72B6"/>
    <w:rsid w:val="00FB74F8"/>
    <w:rsid w:val="00FB7595"/>
    <w:rsid w:val="00FB7ECB"/>
    <w:rsid w:val="00FC1C13"/>
    <w:rsid w:val="00FC6B4F"/>
    <w:rsid w:val="00FC7078"/>
    <w:rsid w:val="00FD05AA"/>
    <w:rsid w:val="00FD0A57"/>
    <w:rsid w:val="00FD3469"/>
    <w:rsid w:val="00FD37D6"/>
    <w:rsid w:val="00FD4FA3"/>
    <w:rsid w:val="00FD63BE"/>
    <w:rsid w:val="00FD7094"/>
    <w:rsid w:val="00FE2A93"/>
    <w:rsid w:val="00FE4A57"/>
    <w:rsid w:val="00FE56CF"/>
    <w:rsid w:val="00FE6A00"/>
    <w:rsid w:val="00FF1C87"/>
    <w:rsid w:val="00FF2D6E"/>
    <w:rsid w:val="00FF33F4"/>
    <w:rsid w:val="00FF34FB"/>
    <w:rsid w:val="00FF45F0"/>
    <w:rsid w:val="00FF4FE6"/>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nline.ucpress.edu/elementa/article/9/1/000119/116257/Relative-flux-measurements-of-biogenic-and-natura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10754</Words>
  <Characters>61301</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7</cp:revision>
  <cp:lastPrinted>2023-01-02T16:34:00Z</cp:lastPrinted>
  <dcterms:created xsi:type="dcterms:W3CDTF">2023-03-21T05:07:00Z</dcterms:created>
  <dcterms:modified xsi:type="dcterms:W3CDTF">2023-03-21T05:26:00Z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