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7AA3" w14:textId="77777777" w:rsidR="00346A04" w:rsidRDefault="00346A04" w:rsidP="00346A04">
      <w:pPr>
        <w:rPr>
          <w:rFonts w:ascii="Times" w:hAnsi="Times"/>
        </w:rPr>
      </w:pPr>
      <w:r>
        <w:rPr>
          <w:rFonts w:ascii="Times" w:hAnsi="Times"/>
        </w:rPr>
        <w:t xml:space="preserve">Figure xx (solid lines) shows the prior GEOS-Chem – TROPOMI difference with respect to albedo, season, and latitude for the filtered data. We find no bias with respect to albedo or season and an </w:t>
      </w:r>
      <w:proofErr w:type="spellStart"/>
      <w:r>
        <w:rPr>
          <w:rFonts w:ascii="Times" w:hAnsi="Times"/>
        </w:rPr>
        <w:t>aseasonal</w:t>
      </w:r>
      <w:proofErr w:type="spellEnd"/>
      <w:r>
        <w:rPr>
          <w:rFonts w:ascii="Times" w:hAnsi="Times"/>
        </w:rPr>
        <w:t xml:space="preserve"> latitudinal bias.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459C8EB7" w14:textId="77777777" w:rsidR="00346A04" w:rsidRDefault="00346A04" w:rsidP="00346A04">
      <w:pPr>
        <w:rPr>
          <w:rFonts w:ascii="Times" w:hAnsi="Times"/>
        </w:rPr>
      </w:pPr>
    </w:p>
    <w:p w14:paraId="221BD19B" w14:textId="77777777" w:rsidR="00346A04" w:rsidRPr="00863BE8" w:rsidRDefault="00000000" w:rsidP="00346A04">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2044F9F5" w14:textId="77777777" w:rsidR="00346A04" w:rsidRDefault="00346A04" w:rsidP="00346A04">
      <w:pPr>
        <w:rPr>
          <w:rFonts w:ascii="Times" w:hAnsi="Times"/>
        </w:rPr>
      </w:pPr>
    </w:p>
    <w:p w14:paraId="1135ECE5" w14:textId="77777777" w:rsidR="00346A04" w:rsidRDefault="00346A04" w:rsidP="00346A04">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Pr>
          <w:rFonts w:ascii="Times" w:hAnsi="Times"/>
        </w:rPr>
        <w:t>We find good agreement between the resulting prior GEOS-Chem output and the observations (R = 0.77).</w:t>
      </w:r>
    </w:p>
    <w:p w14:paraId="2CC4F024" w14:textId="3061691C" w:rsidR="00706960" w:rsidRDefault="00706960"/>
    <w:p w14:paraId="240A2639" w14:textId="34692463" w:rsidR="00F966BF" w:rsidRDefault="00F966BF"/>
    <w:p w14:paraId="40A5AEF9" w14:textId="0048CA9B" w:rsidR="00F966BF" w:rsidRDefault="00F966BF">
      <w:pPr>
        <w:rPr>
          <w:rFonts w:ascii="Times" w:hAnsi="Times"/>
        </w:rPr>
      </w:pPr>
      <w:r>
        <w:rPr>
          <w:rFonts w:ascii="Times" w:hAnsi="Times"/>
        </w:rPr>
        <w:t>We also conduct a suite of sensitivity tests to provide additional constraints on the error of the optimized emissions, which are summarized in section 2.6.</w:t>
      </w:r>
    </w:p>
    <w:p w14:paraId="03914320" w14:textId="76C8D98C" w:rsidR="00863794" w:rsidRDefault="00863794">
      <w:pPr>
        <w:rPr>
          <w:rFonts w:ascii="Times" w:hAnsi="Times"/>
        </w:rPr>
      </w:pPr>
    </w:p>
    <w:p w14:paraId="124EBD8B" w14:textId="71CA3D8F" w:rsidR="00863794" w:rsidRDefault="00863794">
      <w:pPr>
        <w:rPr>
          <w:rFonts w:ascii="Times" w:hAnsi="Times"/>
        </w:rPr>
      </w:pPr>
    </w:p>
    <w:p w14:paraId="38B95329" w14:textId="77777777" w:rsidR="00863794" w:rsidRDefault="00863794" w:rsidP="00863794">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38B81A58" w14:textId="77777777" w:rsidR="00863794" w:rsidRDefault="00863794" w:rsidP="00863794">
      <w:pPr>
        <w:rPr>
          <w:rFonts w:ascii="Times" w:eastAsiaTheme="minorEastAsia" w:hAnsi="Times"/>
          <w:bCs/>
          <w:iCs/>
        </w:rPr>
      </w:pPr>
      <w:proofErr w:type="spellStart"/>
      <w:r>
        <w:rPr>
          <w:rFonts w:ascii="Times" w:eastAsiaTheme="minorEastAsia" w:hAnsi="Times"/>
          <w:bCs/>
          <w:iCs/>
        </w:rPr>
        <w:t>Houweling</w:t>
      </w:r>
      <w:proofErr w:type="spellEnd"/>
      <w:r>
        <w:rPr>
          <w:rFonts w:ascii="Times" w:eastAsiaTheme="minorEastAsia" w:hAnsi="Times"/>
          <w:bCs/>
          <w:iCs/>
        </w:rPr>
        <w:t xml:space="preserve"> et al. (2017):</w:t>
      </w:r>
    </w:p>
    <w:p w14:paraId="09D782A1" w14:textId="77777777" w:rsidR="00863794" w:rsidRPr="00D81B11" w:rsidRDefault="00863794" w:rsidP="00863794">
      <w:pPr>
        <w:ind w:left="720"/>
      </w:pPr>
      <w:r>
        <w:t>“</w:t>
      </w:r>
      <w:r w:rsidRPr="00D81B11">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t>Usually</w:t>
      </w:r>
      <w:proofErr w:type="gramEnd"/>
      <w:r w:rsidRPr="00D81B11">
        <w:t xml:space="preserve"> the uncertainty of the mean is calculated using a lower bound representing the contribution of purely systematic error. An alternative approach, referred to </w:t>
      </w:r>
      <w:proofErr w:type="gramStart"/>
      <w:r w:rsidRPr="00D81B11">
        <w:t>as ”error</w:t>
      </w:r>
      <w:proofErr w:type="gramEnd"/>
      <w:r w:rsidRPr="00D81B11">
        <w:t xml:space="preserve"> inflation”, is to increase the error of individually assimilated retrievals such that the uncertainty of a mean of surrounding retrievals does not drop below this minimum level (</w:t>
      </w:r>
      <w:proofErr w:type="spellStart"/>
      <w:r w:rsidRPr="00D81B11">
        <w:t>Chevallier</w:t>
      </w:r>
      <w:proofErr w:type="spellEnd"/>
      <w:r w:rsidRPr="00D81B11">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t>Chevallier</w:t>
      </w:r>
      <w:proofErr w:type="spellEnd"/>
      <w:r w:rsidRPr="00D81B11">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2BBB1A1B" w14:textId="77777777" w:rsidR="00863794" w:rsidRDefault="00863794" w:rsidP="00863794">
      <w:pPr>
        <w:rPr>
          <w:rFonts w:ascii="Times" w:eastAsiaTheme="minorEastAsia" w:hAnsi="Times"/>
          <w:b/>
          <w:bCs/>
        </w:rPr>
      </w:pPr>
    </w:p>
    <w:p w14:paraId="43E53974" w14:textId="77777777" w:rsidR="00863794" w:rsidRPr="0042686C" w:rsidRDefault="00863794" w:rsidP="00863794">
      <w:r>
        <w:t>“Observational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w:t>
      </w:r>
      <w:proofErr w:type="gramStart"/>
      <w:r>
        <w:t>2 ,</w:t>
      </w:r>
      <w:proofErr w:type="gramEnd"/>
      <w:r>
        <w:t xml:space="preserve"> corresponding to the 0.25 quantile of the overall error distribution. The resulting observing system errors average 9 ppb (range: 8–29 ppb) and mainly reflect instrument noise. The </w:t>
      </w:r>
      <w:proofErr w:type="gramStart"/>
      <w:r>
        <w:t>9 ppb</w:t>
      </w:r>
      <w:proofErr w:type="gramEnd"/>
      <w:r>
        <w:t xml:space="preserve"> estimate is in line with and slightly smaller than observational error estimates for previous methane inversions using data from TROPOMI (e.g., 11 ppb; Zhang et al., 2020) and </w:t>
      </w:r>
      <w:r>
        <w:lastRenderedPageBreak/>
        <w:t xml:space="preserve">GOSAT (e.g., 13 ppb; </w:t>
      </w:r>
      <w:proofErr w:type="spellStart"/>
      <w:r>
        <w:t>Maasakkers</w:t>
      </w:r>
      <w:proofErr w:type="spellEnd"/>
      <w:r>
        <w:t xml:space="preserve"> et al., 2019); it is therefore an appropriate representation for our OSSE analyses. Note that any systematic measurement errors (</w:t>
      </w:r>
      <w:proofErr w:type="spellStart"/>
      <w:r>
        <w:t>Lorente</w:t>
      </w:r>
      <w:proofErr w:type="spellEnd"/>
      <w:r>
        <w:t xml:space="preserve"> et al., 2021) are inherently not accounted for in our framework and would need separate correction.” (Yu et al. 2021)</w:t>
      </w:r>
    </w:p>
    <w:p w14:paraId="76A87C66" w14:textId="6F4B2EE8" w:rsidR="00863794" w:rsidRDefault="00863794"/>
    <w:p w14:paraId="47131E48" w14:textId="77777777" w:rsidR="00D13D61" w:rsidRDefault="00D13D61" w:rsidP="00D13D61">
      <w:r>
        <w:rPr>
          <w:rFonts w:ascii="Times" w:hAnsi="Times"/>
        </w:rPr>
        <w:t>“</w:t>
      </w:r>
      <w:r>
        <w:t xml:space="preserve">This reflects a tendency for SF inversions to overcorrect large sources while </w:t>
      </w:r>
      <w:proofErr w:type="spellStart"/>
      <w:r>
        <w:t>undercorrecting</w:t>
      </w:r>
      <w:proofErr w:type="spellEnd"/>
      <w:r>
        <w:t xml:space="preserve"> small sources (along with the fact that the satellite data themselves are less sensitive to small sources).” (Yu et al. 2021)</w:t>
      </w:r>
    </w:p>
    <w:p w14:paraId="437D7AEF" w14:textId="77777777" w:rsidR="00D13D61" w:rsidRDefault="00D13D61" w:rsidP="00D13D61">
      <w:r>
        <w:sym w:font="Wingdings" w:char="F0E0"/>
      </w:r>
      <w:r>
        <w:t xml:space="preserve"> ask Daniel about this</w:t>
      </w:r>
    </w:p>
    <w:p w14:paraId="3FE2074E" w14:textId="77777777" w:rsidR="00D13D61" w:rsidRDefault="00D13D61" w:rsidP="00D13D61"/>
    <w:p w14:paraId="5D3F0510" w14:textId="77777777" w:rsidR="00D13D61" w:rsidRDefault="00D13D61" w:rsidP="00D13D61">
      <w:r>
        <w:t xml:space="preserve">“The U-SF inversion has DOFS = 382, with derived posterior error reductions that reflect the TROPOMI spatial sampling density for this month (Fig. 7). However, this computed error reduction </w:t>
      </w:r>
      <w:proofErr w:type="spellStart"/>
      <w:r>
        <w:t>ρest</w:t>
      </w:r>
      <w:proofErr w:type="spellEnd"/>
      <w:r>
        <w:t xml:space="preserve"> (derived via gradient-based randomization) has no meaningful spatial correlation with the actual emission improvement </w:t>
      </w:r>
      <w:proofErr w:type="spellStart"/>
      <w:r>
        <w:t>ρtrue</w:t>
      </w:r>
      <w:proofErr w:type="spellEnd"/>
      <w:r>
        <w:t xml:space="preserve"> (R = 0.07). This reflects</w:t>
      </w:r>
      <w:r w:rsidRPr="0042686C">
        <w:t xml:space="preserve"> </w:t>
      </w:r>
      <w:r>
        <w:t xml:space="preserve">the fact that the posterior error reductions and DOFS contain no information on where the prior emissions are </w:t>
      </w:r>
      <w:proofErr w:type="gramStart"/>
      <w:r>
        <w:t>actually in</w:t>
      </w:r>
      <w:proofErr w:type="gramEnd"/>
      <w:r>
        <w:t xml:space="preserve">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55B22CD3" w14:textId="77777777" w:rsidR="00D13D61" w:rsidRDefault="00D13D61" w:rsidP="00D13D61">
      <w:r>
        <w:sym w:font="Wingdings" w:char="F0E0"/>
      </w:r>
      <w:r>
        <w:t xml:space="preserve"> ask Daniel about this</w:t>
      </w:r>
    </w:p>
    <w:p w14:paraId="2F6E77B7" w14:textId="77777777" w:rsidR="00D13D61" w:rsidRDefault="00D13D61" w:rsidP="00D13D61"/>
    <w:p w14:paraId="3BF371E3" w14:textId="77777777" w:rsidR="00D13D61" w:rsidRDefault="00D13D61" w:rsidP="00D13D61">
      <w:r>
        <w:t>Often see better performance for small sources than large sources, since prior errors are probably more appropriate for small sources than for large sources (can cite Yu et al. to explain why Permian estimates may be too low)</w:t>
      </w:r>
    </w:p>
    <w:p w14:paraId="32537743" w14:textId="6183C703" w:rsidR="00D13D61" w:rsidRDefault="00D13D61"/>
    <w:p w14:paraId="1776960F" w14:textId="3B677A5E" w:rsidR="007A0EEE" w:rsidRDefault="007A0EEE"/>
    <w:p w14:paraId="0BCE357A" w14:textId="0BF2B7EE" w:rsidR="007A0EEE" w:rsidRDefault="007A0EEE">
      <w:pPr>
        <w:rPr>
          <w:rFonts w:ascii="Times" w:hAnsi="Times"/>
        </w:rPr>
      </w:pPr>
      <w:r>
        <w:rPr>
          <w:rFonts w:ascii="Times" w:hAnsi="Times"/>
        </w:rPr>
        <w:t>We optimize 3653 grid cells and obtain 558 DOFS in CONUS, with smaller total corrected areas in Mexico (462 grid cells and 88 DOFS) and Canada (380 grid cells and 56 DOFS).</w:t>
      </w:r>
    </w:p>
    <w:p w14:paraId="7986EC6A" w14:textId="48289F3C" w:rsidR="00061184" w:rsidRDefault="00061184">
      <w:pPr>
        <w:rPr>
          <w:rFonts w:ascii="Times" w:hAnsi="Times"/>
        </w:rPr>
      </w:pPr>
    </w:p>
    <w:p w14:paraId="76A22CBF" w14:textId="77777777" w:rsidR="00061184" w:rsidRDefault="00061184" w:rsidP="00061184">
      <w:pPr>
        <w:rPr>
          <w:rFonts w:ascii="Times" w:hAnsi="Times"/>
        </w:rPr>
      </w:pPr>
      <w:r>
        <w:rPr>
          <w:rFonts w:ascii="Times" w:hAnsi="Times"/>
        </w:rPr>
        <w:t>All modelled pathways that limit global warming to 1.5</w:t>
      </w:r>
      <w:r>
        <w:t>°</w:t>
      </w:r>
      <w:r>
        <w:rPr>
          <w:rFonts w:ascii="Times" w:hAnsi="Times"/>
        </w:rPr>
        <w:t>C require deep reductions in methane emissions (IPCC). Yet, global methane concentrations have tripled from pre-industrial concentrations and are increasing at an increasing rate (</w:t>
      </w:r>
      <w:proofErr w:type="spellStart"/>
      <w:r>
        <w:rPr>
          <w:rFonts w:ascii="Times" w:hAnsi="Times"/>
        </w:rPr>
        <w:t>Dlugokencky</w:t>
      </w:r>
      <w:proofErr w:type="spellEnd"/>
      <w:r>
        <w:rPr>
          <w:rFonts w:ascii="Times" w:hAnsi="Times"/>
        </w:rPr>
        <w:t xml:space="preserve">). Methane is emitted by a range of sectors, including the fossil fuel industry, livestock, waste management, and wetlands, the main biogenic source. Canada, the United States, and Mexico report their total estimated anthropogenic methane emissions to the United Nations Framework Convention on Climate Change (UNFCCC) using methods defined by the International Panel on Climate Change (IPCC). These “bottom-up” approaches combine activity data (e.g., number of natural gas pipelines) with emission factors (e.g., the leakage rate per pipeline) to estimate total emissions. However, significant uncertainties exist in both the spatial and temporal variability of emission factors, leading to large uncertainties in total and sectoral methane emission estimates. Satellite observations of atmospheric methane concentrations can improve bottom-up estimates with increasing sectoral accuracy through high-resolution inverse analyses (Streets et al. 2013, Jacob et al. 2016). We evaluate gridded versions of the national inventories of Canada, the United </w:t>
      </w:r>
      <w:r>
        <w:rPr>
          <w:rFonts w:ascii="Times" w:hAnsi="Times"/>
        </w:rPr>
        <w:lastRenderedPageBreak/>
        <w:t xml:space="preserve">States, and Mexico for 2019 using observations of column methane concentrations from the </w:t>
      </w:r>
      <w:proofErr w:type="spellStart"/>
      <w:r>
        <w:rPr>
          <w:rFonts w:ascii="Times" w:hAnsi="Times"/>
        </w:rPr>
        <w:t>TROPOspheric</w:t>
      </w:r>
      <w:proofErr w:type="spellEnd"/>
      <w:r>
        <w:rPr>
          <w:rFonts w:ascii="Times" w:hAnsi="Times"/>
        </w:rPr>
        <w:t xml:space="preserve"> Monitoring Instrument (TROPOMI) aboard the Sentinel-5 Precursor. We estimate methane emissions at </w:t>
      </w:r>
      <w:r>
        <w:t>0.25</w:t>
      </w:r>
      <w:r>
        <w:rPr>
          <w:rFonts w:ascii="d" w:hAnsi="d"/>
        </w:rPr>
        <w:t>° ⨉ 0.3125°</w:t>
      </w:r>
      <w:r>
        <w:t xml:space="preserve"> resolution, allowing for improved hotspot identification and source attribution.</w:t>
      </w:r>
    </w:p>
    <w:p w14:paraId="59719D08" w14:textId="77777777" w:rsidR="00061184" w:rsidRDefault="00061184"/>
    <w:sectPr w:rsidR="00061184"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04"/>
    <w:rsid w:val="00061184"/>
    <w:rsid w:val="00346A04"/>
    <w:rsid w:val="00522565"/>
    <w:rsid w:val="00706960"/>
    <w:rsid w:val="007A0EEE"/>
    <w:rsid w:val="00863794"/>
    <w:rsid w:val="009A6DFD"/>
    <w:rsid w:val="00A95FA6"/>
    <w:rsid w:val="00D13D61"/>
    <w:rsid w:val="00F372C5"/>
    <w:rsid w:val="00F9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FE731"/>
  <w14:defaultImageDpi w14:val="32767"/>
  <w15:chartTrackingRefBased/>
  <w15:docId w15:val="{D3373B10-EFCA-F34E-BBB8-2088F21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6A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5</cp:revision>
  <dcterms:created xsi:type="dcterms:W3CDTF">2022-07-21T00:12:00Z</dcterms:created>
  <dcterms:modified xsi:type="dcterms:W3CDTF">2022-10-02T16:37:00Z</dcterms:modified>
</cp:coreProperties>
</file>