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072EB7E"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w:t>
      </w:r>
      <w:commentRangeStart w:id="0"/>
      <w:r w:rsidRPr="00152E34">
        <w:rPr>
          <w:rFonts w:ascii="Times New Roman" w:hAnsi="Times New Roman" w:cs="Times New Roman"/>
          <w:color w:val="000000" w:themeColor="text1"/>
          <w:sz w:val="22"/>
        </w:rPr>
        <w:t>Variational inverse methods</w:t>
      </w:r>
      <w:commentRangeEnd w:id="0"/>
      <w:r w:rsidR="005C76EA">
        <w:rPr>
          <w:rStyle w:val="CommentReference"/>
        </w:rPr>
        <w:commentReference w:id="0"/>
      </w:r>
      <w:r w:rsidRPr="00152E34">
        <w:rPr>
          <w:rFonts w:ascii="Times New Roman" w:hAnsi="Times New Roman" w:cs="Times New Roman"/>
          <w:color w:val="000000" w:themeColor="text1"/>
          <w:sz w:val="22"/>
        </w:rPr>
        <w:t xml:space="preserve">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w:t>
      </w:r>
      <w:proofErr w:type="gramStart"/>
      <w:r w:rsidRPr="00152E34">
        <w:rPr>
          <w:rFonts w:ascii="Times New Roman" w:hAnsi="Times New Roman" w:cs="Times New Roman"/>
          <w:color w:val="000000" w:themeColor="text1"/>
          <w:sz w:val="22"/>
        </w:rPr>
        <w:t>requires</w:t>
      </w:r>
      <w:proofErr w:type="gramEnd"/>
      <w:r w:rsidRPr="00152E34">
        <w:rPr>
          <w:rFonts w:ascii="Times New Roman" w:hAnsi="Times New Roman" w:cs="Times New Roman"/>
          <w:color w:val="000000" w:themeColor="text1"/>
          <w:sz w:val="22"/>
        </w:rPr>
        <w:t xml:space="preserve">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reduced-dimension and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commentRangeStart w:id="1"/>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commentRangeEnd w:id="1"/>
      <w:r w:rsidR="00B02451">
        <w:rPr>
          <w:rStyle w:val="CommentReference"/>
        </w:rPr>
        <w:commentReference w:id="1"/>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commentRangeStart w:id="2"/>
      <w:r w:rsidR="00064AB3">
        <w:rPr>
          <w:rFonts w:ascii="Times New Roman" w:hAnsi="Times New Roman" w:cs="Times New Roman"/>
          <w:sz w:val="22"/>
        </w:rPr>
        <w:t>data quality</w:t>
      </w:r>
      <w:r w:rsidR="007E2175">
        <w:rPr>
          <w:rFonts w:ascii="Times New Roman" w:hAnsi="Times New Roman" w:cs="Times New Roman"/>
          <w:sz w:val="22"/>
        </w:rPr>
        <w:t xml:space="preserve"> </w:t>
      </w:r>
      <w:commentRangeEnd w:id="2"/>
      <w:r w:rsidR="00F6389A">
        <w:rPr>
          <w:rStyle w:val="CommentReference"/>
        </w:rPr>
        <w:commentReference w:id="2"/>
      </w:r>
      <w:r w:rsidR="007E2175">
        <w:rPr>
          <w:rFonts w:ascii="Times New Roman" w:hAnsi="Times New Roman" w:cs="Times New Roman"/>
          <w:sz w:val="22"/>
        </w:rPr>
        <w:t xml:space="preserve">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C95E547"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649D468E"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w:t>
      </w:r>
      <w:commentRangeStart w:id="3"/>
      <w:r w:rsidR="009C7438" w:rsidRPr="008979CB">
        <w:rPr>
          <w:rFonts w:ascii="Times New Roman" w:eastAsiaTheme="minorEastAsia" w:hAnsi="Times New Roman" w:cs="Times New Roman"/>
          <w:color w:val="000000" w:themeColor="text1"/>
          <w:sz w:val="22"/>
        </w:rPr>
        <w:t xml:space="preserve">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commentRangeEnd w:id="3"/>
      <w:r w:rsidR="000750AC">
        <w:rPr>
          <w:rStyle w:val="CommentReference"/>
        </w:rPr>
        <w:commentReference w:id="3"/>
      </w:r>
      <w:r w:rsidR="009C7438" w:rsidRPr="008979CB">
        <w:rPr>
          <w:rFonts w:ascii="Times New Roman" w:eastAsiaTheme="minorEastAsia" w:hAnsi="Times New Roman" w:cs="Times New Roman"/>
          <w:color w:val="000000" w:themeColor="text1"/>
          <w:sz w:val="22"/>
        </w:rPr>
        <w:t>.</w:t>
      </w:r>
    </w:p>
    <w:p w14:paraId="394BCE52" w14:textId="77777777" w:rsidR="003D2597" w:rsidRDefault="003D2597" w:rsidP="0053318B">
      <w:pPr>
        <w:rPr>
          <w:rFonts w:ascii="Times New Roman" w:hAnsi="Times New Roman" w:cs="Times New Roman"/>
          <w:sz w:val="22"/>
        </w:rPr>
      </w:pPr>
    </w:p>
    <w:p w14:paraId="70A1E0C4" w14:textId="5C07C3C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B2BE8B3"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1A3C49"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54AA5EA6"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1A3C49"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1A3C49"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336A92C"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xml:space="preserve">. </w:t>
      </w:r>
      <w:commentRangeStart w:id="4"/>
      <w:r w:rsidR="00DD62B4">
        <w:rPr>
          <w:rFonts w:ascii="Times New Roman" w:hAnsi="Times New Roman" w:cs="Times New Roman"/>
          <w:sz w:val="22"/>
        </w:rPr>
        <w:t>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w:commentRangeEnd w:id="4"/>
        <m:r>
          <m:rPr>
            <m:sty m:val="p"/>
          </m:rPr>
          <w:rPr>
            <w:rStyle w:val="CommentReference"/>
          </w:rPr>
          <w:commentReference w:id="4"/>
        </m:r>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commentRangeStart w:id="5"/>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w:commentRangeEnd w:id="5"/>
        <m:r>
          <m:rPr>
            <m:sty m:val="p"/>
          </m:rPr>
          <w:rPr>
            <w:rStyle w:val="CommentReference"/>
          </w:rPr>
          <w:commentReference w:id="5"/>
        </m:r>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1A3C4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1A3C49"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1A3C49"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4D13D276"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commentRangeStart w:id="6"/>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w:t>
      </w:r>
      <w:commentRangeEnd w:id="6"/>
      <w:r w:rsidR="00AF5020">
        <w:rPr>
          <w:rStyle w:val="CommentReference"/>
        </w:rPr>
        <w:commentReference w:id="6"/>
      </w:r>
      <w:r w:rsidR="000A0152">
        <w:rPr>
          <w:rFonts w:ascii="Times New Roman" w:eastAsiaTheme="minorEastAsia" w:hAnsi="Times New Roman" w:cs="Times New Roman"/>
          <w:sz w:val="22"/>
        </w:rPr>
        <w:t xml:space="preserve">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1A3C4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5B0442B"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7777777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5EDE1DDB" w14:textId="27D495A8" w:rsidR="00872704" w:rsidRPr="00C32DA2" w:rsidRDefault="0089452B" w:rsidP="002178BA">
      <w:pPr>
        <w:rPr>
          <w:rFonts w:ascii="Times New Roman" w:eastAsiaTheme="minorEastAsia" w:hAnsi="Times New Roman" w:cs="Times New Roman"/>
          <w:i/>
          <w:sz w:val="22"/>
        </w:rPr>
      </w:pPr>
      <w:r>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emissions</w:t>
      </w:r>
      <w:r w:rsidR="00F53A86">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Q</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r w:rsidR="00E51367" w:rsidRPr="00F53A86">
        <w:rPr>
          <w:rFonts w:ascii="Times New Roman" w:eastAsiaTheme="minorEastAsia" w:hAnsi="Times New Roman" w:cs="Times New Roman"/>
          <w:color w:val="000000" w:themeColor="text1"/>
          <w:sz w:val="22"/>
        </w:rPr>
        <w:t xml:space="preserve">produce local </w:t>
      </w:r>
      <w:r w:rsidR="0048071C" w:rsidRPr="00F53A86">
        <w:rPr>
          <w:rFonts w:ascii="Times New Roman" w:eastAsiaTheme="minorEastAsia" w:hAnsi="Times New Roman" w:cs="Times New Roman"/>
          <w:color w:val="000000" w:themeColor="text1"/>
          <w:sz w:val="22"/>
        </w:rPr>
        <w:t xml:space="preserve">column </w:t>
      </w:r>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enhancements </w:t>
      </w:r>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xml:space="preserve">, both assumed constant over the </w:t>
      </w:r>
      <w:r>
        <w:rPr>
          <w:rFonts w:ascii="Times New Roman" w:eastAsiaTheme="minorEastAsia" w:hAnsi="Times New Roman" w:cs="Times New Roman"/>
          <w:sz w:val="22"/>
        </w:rPr>
        <w:lastRenderedPageBreak/>
        <w:t>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B480F04" w:rsidR="00EA75EE" w:rsidRPr="008C390F" w:rsidRDefault="001A3C49"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=2</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A</m:t>
                  </m:r>
                  <m:r>
                    <w:rPr>
                      <w:rFonts w:ascii="Cambria Math" w:eastAsiaTheme="minorEastAsia" w:hAnsi="Cambria Math" w:cs="Times New Roman"/>
                      <w:sz w:val="22"/>
                    </w:rPr>
                    <m:t>g</m:t>
                  </m:r>
                </m:num>
                <m:den>
                  <m:r>
                    <w:rPr>
                      <w:rFonts w:ascii="Cambria Math" w:eastAsiaTheme="minorEastAsia" w:hAnsi="Cambria Math" w:cs="Times New Roman"/>
                      <w:sz w:val="22"/>
                    </w:rPr>
                    <m:t>UWp</m:t>
                  </m:r>
                </m:den>
              </m:f>
              <m:sSub>
                <m:sSubPr>
                  <m:ctrlPr>
                    <w:rPr>
                      <w:rFonts w:ascii="Cambria Math" w:eastAsiaTheme="minorEastAsia" w:hAnsi="Cambria Math" w:cs="Times New Roman"/>
                      <w:i/>
                      <w:sz w:val="22"/>
                    </w:rPr>
                  </m:ctrlPr>
                </m:sSubPr>
                <m:e>
                  <m:r>
                    <w:rPr>
                      <w:rFonts w:ascii="Cambria Math" w:eastAsiaTheme="minorEastAsia" w:hAnsi="Cambria Math" w:cs="Times New Roman"/>
                      <w:sz w:val="22"/>
                    </w:rPr>
                    <m:t>Q</m:t>
                  </m:r>
                </m:e>
                <m:sub>
                  <m:r>
                    <m:rPr>
                      <m:sty m:val="p"/>
                    </m:rPr>
                    <w:rPr>
                      <w:rFonts w:ascii="Cambria Math" w:eastAsiaTheme="minorEastAsia" w:hAnsi="Cambria Math" w:cs="Times New Roman"/>
                      <w:sz w:val="22"/>
                    </w:rPr>
                    <m:t>C</m:t>
                  </m:r>
                  <m:sSub>
                    <m:sSubPr>
                      <m:ctrlPr>
                        <w:rPr>
                          <w:rFonts w:ascii="Cambria Math" w:eastAsiaTheme="minorEastAsia" w:hAnsi="Cambria Math" w:cs="Times New Roman"/>
                          <w:iCs/>
                          <w:sz w:val="22"/>
                        </w:rPr>
                      </m:ctrlPr>
                    </m:sSubPr>
                    <m:e>
                      <m:r>
                        <m:rPr>
                          <m:sty m:val="p"/>
                        </m:rPr>
                        <w:rPr>
                          <w:rFonts w:ascii="Cambria Math" w:eastAsiaTheme="minorEastAsia" w:hAnsi="Cambria Math" w:cs="Times New Roman"/>
                          <w:sz w:val="22"/>
                        </w:rPr>
                        <m:t>H</m:t>
                      </m:r>
                    </m:e>
                    <m:sub>
                      <m:r>
                        <m:rPr>
                          <m:sty m:val="p"/>
                        </m:rPr>
                        <w:rPr>
                          <w:rFonts w:ascii="Cambria Math" w:eastAsiaTheme="minorEastAsia" w:hAnsi="Cambria Math" w:cs="Times New Roman"/>
                          <w:sz w:val="22"/>
                        </w:rPr>
                        <m:t>4</m:t>
                      </m:r>
                    </m:sub>
                  </m:sSub>
                </m:sub>
              </m:sSub>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599D5E6"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w:r w:rsidR="00F53A86">
        <w:rPr>
          <w:rFonts w:ascii="Times New Roman" w:eastAsiaTheme="minorEastAsia" w:hAnsi="Times New Roman" w:cs="Times New Roman"/>
          <w:sz w:val="22"/>
        </w:rPr>
        <w:t xml:space="preserve">the 2 represents the perturbation applied,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r w:rsidR="007A57B5">
        <w:rPr>
          <w:rFonts w:ascii="Times New Roman" w:eastAsiaTheme="minorEastAsia" w:hAnsi="Times New Roman" w:cs="Times New Roman"/>
          <w:sz w:val="22"/>
        </w:rPr>
        <w:t>cell</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F53A86" w:rsidRPr="00F53A86">
        <w:rPr>
          <w:rFonts w:ascii="Times New Roman" w:eastAsiaTheme="minorEastAsia" w:hAnsi="Times New Roman" w:cs="Times New Roman"/>
          <w:i/>
          <w:iCs/>
          <w:sz w:val="22"/>
        </w:rPr>
        <w:t>A</w:t>
      </w:r>
      <w:r w:rsidR="00F53A86">
        <w:rPr>
          <w:rFonts w:ascii="Times New Roman" w:eastAsiaTheme="minorEastAsia" w:hAnsi="Times New Roman" w:cs="Times New Roman"/>
          <w:sz w:val="22"/>
        </w:rPr>
        <w:t xml:space="preserve"> is the area of the grid cell,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commentRangeStart w:id="7"/>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t>
      </w:r>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inner to outer ring.</w:t>
      </w:r>
      <w:commentRangeEnd w:id="7"/>
      <w:r w:rsidR="00040933">
        <w:rPr>
          <w:rStyle w:val="CommentReference"/>
        </w:rPr>
        <w:commentReference w:id="7"/>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C2AFDF6"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33DD001D"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 xml:space="preserve">(Section 2.3)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1A3C49"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68C1EEFC"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w:t>
      </w:r>
      <w:commentRangeStart w:id="8"/>
      <w:r w:rsidR="00F304D1" w:rsidRPr="007E07B6">
        <w:rPr>
          <w:rFonts w:ascii="Times New Roman" w:eastAsiaTheme="minorEastAsia" w:hAnsi="Times New Roman" w:cs="Times New Roman"/>
          <w:color w:val="000000" w:themeColor="text1"/>
          <w:sz w:val="22"/>
        </w:rPr>
        <w:t>as</w:t>
      </w:r>
      <w:r w:rsidR="00FC4945" w:rsidRPr="007E07B6">
        <w:rPr>
          <w:rFonts w:ascii="Times New Roman" w:eastAsiaTheme="minorEastAsia" w:hAnsi="Times New Roman" w:cs="Times New Roman"/>
          <w:color w:val="000000" w:themeColor="text1"/>
          <w:sz w:val="22"/>
        </w:rPr>
        <w:t xml:space="preserve"> and loses </w:t>
      </w:r>
      <w:commentRangeEnd w:id="8"/>
      <w:r w:rsidR="008273A0">
        <w:rPr>
          <w:rStyle w:val="CommentReference"/>
        </w:rPr>
        <w:commentReference w:id="8"/>
      </w:r>
      <w:r w:rsidR="00FC4945" w:rsidRPr="007E07B6">
        <w:rPr>
          <w:rFonts w:ascii="Times New Roman" w:eastAsiaTheme="minorEastAsia" w:hAnsi="Times New Roman" w:cs="Times New Roman"/>
          <w:color w:val="000000" w:themeColor="text1"/>
          <w:sz w:val="22"/>
        </w:rPr>
        <w:t>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299E8716"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w:t>
      </w:r>
      <w:r w:rsidR="0020565B">
        <w:rPr>
          <w:rFonts w:ascii="Times New Roman" w:hAnsi="Times New Roman" w:cs="Times New Roman"/>
          <w:color w:val="000000" w:themeColor="text1"/>
          <w:sz w:val="22"/>
        </w:rPr>
        <w:lastRenderedPageBreak/>
        <w:t>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1A3C49"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A9803E"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information content results in overfit</w:t>
      </w:r>
      <w:r w:rsidR="00EA5F19">
        <w:rPr>
          <w:rFonts w:ascii="Times New Roman" w:eastAsiaTheme="minorEastAsia" w:hAnsi="Times New Roman" w:cs="Times New Roman"/>
          <w:color w:val="000000" w:themeColor="text1"/>
          <w:sz w:val="22"/>
        </w:rPr>
        <w:t>, which we ignore</w:t>
      </w:r>
      <w:r w:rsidR="00E21BAB" w:rsidRPr="00EA5F19">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in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41EF3116"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calculations","type":"article-journal"},"uris":["http://www.mendeley.com/documents/?uuid=23406917-afe2-4317-bfe9-e2d83fb7930f"]}],"mendeley":{"formattedCitation":"(R. J. Parker et al. 2015; R. Parker et al. 2011)","manualFormatting":"(Parker et al. 2015; Parker et al. 2011)","plainTextFormattedCitation":"(R. J. Parker et al. 2015; R. Parker et al. 2011)","previouslyFormattedCitation":"(R. J. Parker et al. 2015; R. Parker et al. 2011)"},"properties":{"noteIndex":0},"schema":"https://github.com/citation-style-language/schema/raw/master/csl-citation.json"}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 Parker et al. 2011)</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0B1C2751"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w:t>
      </w:r>
      <w:r w:rsidR="00886634">
        <w:rPr>
          <w:rFonts w:ascii="Times New Roman" w:eastAsiaTheme="minorEastAsia" w:hAnsi="Times New Roman" w:cs="Times New Roman"/>
          <w:sz w:val="22"/>
        </w:rPr>
        <w:t>s</w:t>
      </w:r>
      <w:r w:rsidR="00560545">
        <w:rPr>
          <w:rFonts w:ascii="Times New Roman" w:eastAsiaTheme="minorEastAsia"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r w:rsidR="00886634">
        <w:rPr>
          <w:rFonts w:ascii="Times New Roman" w:eastAsiaTheme="minorEastAsia" w:hAnsi="Times New Roman" w:cs="Times New Roman"/>
          <w:sz w:val="22"/>
        </w:rPr>
        <w:t>bottom</w:t>
      </w:r>
      <w:r w:rsidR="002F70D8">
        <w:rPr>
          <w:rFonts w:ascii="Times New Roman" w:eastAsiaTheme="minorEastAsia" w:hAnsi="Times New Roman" w:cs="Times New Roman"/>
          <w:sz w:val="22"/>
        </w:rPr>
        <w:t xml:space="preserve"> left panel) and the observation density (</w:t>
      </w:r>
      <w:r w:rsidR="00886634">
        <w:rPr>
          <w:rFonts w:ascii="Times New Roman" w:eastAsiaTheme="minorEastAsia" w:hAnsi="Times New Roman" w:cs="Times New Roman"/>
          <w:sz w:val="22"/>
        </w:rPr>
        <w:t xml:space="preserve">bottom </w:t>
      </w:r>
      <w:r w:rsidR="002F70D8">
        <w:rPr>
          <w:rFonts w:ascii="Times New Roman" w:eastAsiaTheme="minorEastAsia" w:hAnsi="Times New Roman" w:cs="Times New Roman"/>
          <w:sz w:val="22"/>
        </w:rPr>
        <w:t xml:space="preserve">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0D525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7A3B09AA"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r w:rsidR="00EA5F19">
        <w:rPr>
          <w:rFonts w:ascii="Times New Roman" w:eastAsiaTheme="minorEastAsia" w:hAnsi="Times New Roman" w:cs="Times New Roman"/>
          <w:color w:val="000000" w:themeColor="text1"/>
          <w:sz w:val="22"/>
        </w:rPr>
        <w:t>a factor of 4</w:t>
      </w:r>
      <w:r>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w:t>
      </w:r>
      <w:r w:rsidR="00896DDE" w:rsidRPr="003C70A4">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follow</w:t>
      </w:r>
      <w:r w:rsidR="00AF5892">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w:t>
      </w:r>
      <w:r w:rsidR="00AA70B2" w:rsidRPr="003C70A4">
        <w:rPr>
          <w:rFonts w:ascii="Times New Roman" w:eastAsiaTheme="minorEastAsia" w:hAnsi="Times New Roman" w:cs="Times New Roman"/>
          <w:color w:val="000000" w:themeColor="text1"/>
          <w:sz w:val="22"/>
        </w:rPr>
        <w:lastRenderedPageBreak/>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w:t>
      </w:r>
      <w:commentRangeStart w:id="9"/>
      <w:r w:rsidR="0050613B" w:rsidRPr="003C70A4">
        <w:rPr>
          <w:rFonts w:ascii="Times New Roman" w:eastAsiaTheme="minorEastAsia" w:hAnsi="Times New Roman" w:cs="Times New Roman"/>
          <w:color w:val="000000" w:themeColor="text1"/>
          <w:sz w:val="22"/>
        </w:rPr>
        <w:t xml:space="preserve">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commentRangeEnd w:id="9"/>
      <w:r w:rsidR="00CD4D3B">
        <w:rPr>
          <w:rStyle w:val="CommentReference"/>
        </w:rPr>
        <w:commentReference w:id="9"/>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8D54803"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w:t>
      </w:r>
      <w:r w:rsidR="00AF5892">
        <w:rPr>
          <w:rFonts w:ascii="Times New Roman" w:eastAsiaTheme="minorEastAsia" w:hAnsi="Times New Roman" w:cs="Times New Roman"/>
          <w:color w:val="000000" w:themeColor="text1"/>
          <w:sz w:val="22"/>
        </w:rPr>
        <w:t>defining</w:t>
      </w:r>
      <w:r>
        <w:rPr>
          <w:rFonts w:ascii="Times New Roman" w:eastAsiaTheme="minorEastAsia" w:hAnsi="Times New Roman" w:cs="Times New Roman"/>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1148416E"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9616CD">
        <w:rPr>
          <w:rFonts w:ascii="Times New Roman" w:eastAsiaTheme="minorEastAsia" w:hAnsi="Times New Roman" w:cs="Times New Roman"/>
          <w:color w:val="000000" w:themeColor="text1"/>
          <w:sz w:val="22"/>
        </w:rPr>
        <w:t>.</w:t>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ED0F97" w:rsidR="005C7815" w:rsidRPr="00662FD2" w:rsidRDefault="004E5717" w:rsidP="00A6735B">
      <w:pPr>
        <w:rPr>
          <w:rFonts w:ascii="Times New Roman" w:eastAsiaTheme="minorEastAsia" w:hAnsi="Times New Roman" w:cs="Times New Roman"/>
          <w:color w:val="000000" w:themeColor="text1"/>
          <w:sz w:val="22"/>
        </w:rPr>
      </w:pPr>
      <w:commentRangeStart w:id="10"/>
      <w:r w:rsidRPr="00662FD2">
        <w:rPr>
          <w:rFonts w:ascii="Times New Roman" w:eastAsiaTheme="minorEastAsia" w:hAnsi="Times New Roman" w:cs="Times New Roman"/>
          <w:color w:val="000000" w:themeColor="text1"/>
          <w:sz w:val="22"/>
        </w:rPr>
        <w:lastRenderedPageBreak/>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commentRangeEnd w:id="10"/>
      <w:r w:rsidR="00B05A4C">
        <w:rPr>
          <w:rStyle w:val="CommentReference"/>
        </w:rPr>
        <w:commentReference w:id="10"/>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subjected to the 0.01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threshold.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5F7EFE46"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4F51846E"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w:t>
      </w:r>
      <w:r w:rsidR="00CB129F">
        <w:rPr>
          <w:rFonts w:ascii="Times" w:hAnsi="Times"/>
          <w:sz w:val="22"/>
          <w:szCs w:val="22"/>
        </w:rPr>
        <w:lastRenderedPageBreak/>
        <w:t xml:space="preserve">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w:t>
      </w:r>
      <w:commentRangeStart w:id="11"/>
      <w:r w:rsidRPr="001C4211">
        <w:rPr>
          <w:rFonts w:ascii="Times" w:hAnsi="Times"/>
          <w:sz w:val="22"/>
          <w:szCs w:val="22"/>
        </w:rPr>
        <w:t>elsewhere</w:t>
      </w:r>
      <w:commentRangeEnd w:id="11"/>
      <w:r w:rsidR="00CD4D3B">
        <w:rPr>
          <w:rStyle w:val="CommentReference"/>
        </w:rPr>
        <w:commentReference w:id="11"/>
      </w:r>
      <w:r w:rsidRPr="001C4211">
        <w:rPr>
          <w:rFonts w:ascii="Times" w:hAnsi="Times"/>
          <w:sz w:val="22"/>
          <w:szCs w:val="22"/>
        </w:rPr>
        <w:t xml:space="preserve">. </w:t>
      </w:r>
    </w:p>
    <w:p w14:paraId="64994E74" w14:textId="77777777" w:rsidR="001C4211" w:rsidRPr="001C4211" w:rsidRDefault="001C4211" w:rsidP="001C4211">
      <w:pPr>
        <w:rPr>
          <w:rFonts w:ascii="Times" w:hAnsi="Times"/>
          <w:sz w:val="22"/>
          <w:szCs w:val="22"/>
        </w:rPr>
      </w:pPr>
    </w:p>
    <w:p w14:paraId="4E06C3E0" w14:textId="306618D5"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instrument. However, the methane retrieval has only a ~3% retrieval success rat</w:t>
      </w:r>
      <w:r w:rsidR="002174D8">
        <w:rPr>
          <w:rFonts w:ascii="Times" w:hAnsi="Times"/>
          <w:sz w:val="22"/>
          <w:szCs w:val="22"/>
        </w:rPr>
        <w:t>e</w:t>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HON.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F77DD1A" w14:textId="41FE73FB" w:rsidR="00F53A86" w:rsidRPr="00F53A86" w:rsidRDefault="00EC1A4E" w:rsidP="00F53A8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F53A86" w:rsidRPr="00F53A86">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F53A86" w:rsidRPr="00F53A86">
        <w:rPr>
          <w:rFonts w:ascii="Times New Roman" w:hAnsi="Times New Roman" w:cs="Times New Roman"/>
          <w:i/>
          <w:iCs/>
          <w:noProof/>
          <w:sz w:val="22"/>
        </w:rPr>
        <w:t>Atmospheric Chemistry and Physics</w:t>
      </w:r>
      <w:r w:rsidR="00F53A86" w:rsidRPr="00F53A86">
        <w:rPr>
          <w:rFonts w:ascii="Times New Roman" w:hAnsi="Times New Roman" w:cs="Times New Roman"/>
          <w:noProof/>
          <w:sz w:val="22"/>
        </w:rPr>
        <w:t>. https://doi.org/10.5194/acp-15-113-2015.</w:t>
      </w:r>
    </w:p>
    <w:p w14:paraId="0469EFD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https://doi.org/10.1002/jgrd.50480.</w:t>
      </w:r>
    </w:p>
    <w:p w14:paraId="6F23945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https://doi.org/10.1029/2009JD012287.</w:t>
      </w:r>
    </w:p>
    <w:p w14:paraId="42FF1AD6"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F53A86">
        <w:rPr>
          <w:rFonts w:ascii="Times New Roman" w:hAnsi="Times New Roman" w:cs="Times New Roman"/>
          <w:i/>
          <w:iCs/>
          <w:noProof/>
          <w:sz w:val="22"/>
        </w:rPr>
        <w:t>Geoscientific Model Development Discussions</w:t>
      </w:r>
      <w:r w:rsidRPr="00F53A86">
        <w:rPr>
          <w:rFonts w:ascii="Times New Roman" w:hAnsi="Times New Roman" w:cs="Times New Roman"/>
          <w:noProof/>
          <w:sz w:val="22"/>
        </w:rPr>
        <w:t xml:space="preserve"> 10: 2141–56. https://doi.org/10.5194/gmd-2016-224.</w:t>
      </w:r>
    </w:p>
    <w:p w14:paraId="4FB54B0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137 (658): 1340–56. https://doi.org/10.1002/qj.837.</w:t>
      </w:r>
    </w:p>
    <w:p w14:paraId="790B0EDF"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144 (711): 365–90. https://doi.org/10.1002/qj.3209.</w:t>
      </w:r>
    </w:p>
    <w:p w14:paraId="384672F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Brasseur, Guy P., and Daniel J. Jacob. 2017. </w:t>
      </w:r>
      <w:r w:rsidRPr="00F53A86">
        <w:rPr>
          <w:rFonts w:ascii="Times New Roman" w:hAnsi="Times New Roman" w:cs="Times New Roman"/>
          <w:i/>
          <w:iCs/>
          <w:noProof/>
          <w:sz w:val="22"/>
        </w:rPr>
        <w:t>Modeling of Atmospheric Chemistry</w:t>
      </w:r>
      <w:r w:rsidRPr="00F53A86">
        <w:rPr>
          <w:rFonts w:ascii="Times New Roman" w:hAnsi="Times New Roman" w:cs="Times New Roman"/>
          <w:noProof/>
          <w:sz w:val="22"/>
        </w:rPr>
        <w:t>. Cambridge University Press.</w:t>
      </w:r>
    </w:p>
    <w:p w14:paraId="01B5C54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Evensen, Geir. 2009. </w:t>
      </w:r>
      <w:r w:rsidRPr="00F53A86">
        <w:rPr>
          <w:rFonts w:ascii="Times New Roman" w:hAnsi="Times New Roman" w:cs="Times New Roman"/>
          <w:i/>
          <w:iCs/>
          <w:noProof/>
          <w:sz w:val="22"/>
        </w:rPr>
        <w:t>Data Assimilation: The Ensemble Kalman Filter</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Data Assimilation (Second Edition): The Ensemble Kalman Filter</w:t>
      </w:r>
      <w:r w:rsidRPr="00F53A86">
        <w:rPr>
          <w:rFonts w:ascii="Times New Roman" w:hAnsi="Times New Roman" w:cs="Times New Roman"/>
          <w:noProof/>
          <w:sz w:val="22"/>
        </w:rPr>
        <w:t>. https://doi.org/10.1007/978-3-642-03711-5.</w:t>
      </w:r>
    </w:p>
    <w:p w14:paraId="355EE4B4"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Henze, D. K., A. Hakami, and J. H. Seinfeld. 2007. “Development of the Adjoint of GEOS-Chem.” </w:t>
      </w:r>
      <w:r w:rsidRPr="00F53A86">
        <w:rPr>
          <w:rFonts w:ascii="Times New Roman" w:hAnsi="Times New Roman" w:cs="Times New Roman"/>
          <w:i/>
          <w:iCs/>
          <w:noProof/>
          <w:sz w:val="22"/>
        </w:rPr>
        <w:t>Atmospheric Chemistry and Physics Discussions</w:t>
      </w:r>
      <w:r w:rsidRPr="00F53A86">
        <w:rPr>
          <w:rFonts w:ascii="Times New Roman" w:hAnsi="Times New Roman" w:cs="Times New Roman"/>
          <w:noProof/>
          <w:sz w:val="22"/>
        </w:rPr>
        <w:t xml:space="preserve"> 7 (9): 2413–33. https://doi.org/10.5194/acpd-6-10591-2006.</w:t>
      </w:r>
    </w:p>
    <w:p w14:paraId="14789D0B"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https://doi.org/10.5194/acp-14-3991-2014.</w:t>
      </w:r>
    </w:p>
    <w:p w14:paraId="722D7CB2"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xml:space="preserve"> 45 (8): 3682–89. https://doi.org/10.1002/2018gl077259.</w:t>
      </w:r>
    </w:p>
    <w:p w14:paraId="5615A05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16 (22): 14371–96. https://doi.org/10.5194/acp-16-14371-2016.</w:t>
      </w:r>
    </w:p>
    <w:p w14:paraId="16B5F89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F53A86">
        <w:rPr>
          <w:rFonts w:ascii="Times New Roman" w:hAnsi="Times New Roman" w:cs="Times New Roman"/>
          <w:i/>
          <w:iCs/>
          <w:noProof/>
          <w:sz w:val="22"/>
        </w:rPr>
        <w:t xml:space="preserve">Atmospheric Chemistry </w:t>
      </w:r>
      <w:r w:rsidRPr="00F53A86">
        <w:rPr>
          <w:rFonts w:ascii="Times New Roman" w:hAnsi="Times New Roman" w:cs="Times New Roman"/>
          <w:i/>
          <w:iCs/>
          <w:noProof/>
          <w:sz w:val="22"/>
        </w:rPr>
        <w:lastRenderedPageBreak/>
        <w:t>and Physics Discussions</w:t>
      </w:r>
      <w:r w:rsidRPr="00F53A86">
        <w:rPr>
          <w:rFonts w:ascii="Times New Roman" w:hAnsi="Times New Roman" w:cs="Times New Roman"/>
          <w:noProof/>
          <w:sz w:val="22"/>
        </w:rPr>
        <w:t>, no. January: 1–36. https://doi.org/10.5194/acp-2018-1365.</w:t>
      </w:r>
    </w:p>
    <w:p w14:paraId="5E0F56E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https://doi.org/10.5194/acp-19-7859-2019.</w:t>
      </w:r>
    </w:p>
    <w:p w14:paraId="0D86D5A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https://doi.org/10.1002/2013JD019760.</w:t>
      </w:r>
    </w:p>
    <w:p w14:paraId="08BE7448"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F53A86">
        <w:rPr>
          <w:rFonts w:ascii="Times New Roman" w:hAnsi="Times New Roman" w:cs="Times New Roman"/>
          <w:i/>
          <w:iCs/>
          <w:noProof/>
          <w:sz w:val="22"/>
        </w:rPr>
        <w:t>Atmospheric Measurement Techniques</w:t>
      </w:r>
      <w:r w:rsidRPr="00F53A86">
        <w:rPr>
          <w:rFonts w:ascii="Times New Roman" w:hAnsi="Times New Roman" w:cs="Times New Roman"/>
          <w:noProof/>
          <w:sz w:val="22"/>
        </w:rPr>
        <w:t>. https://doi.org/10.5194/amt-8-4785-2015.</w:t>
      </w:r>
    </w:p>
    <w:p w14:paraId="0D7FAC2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https://doi.org/10.1029/2011GL047871.</w:t>
      </w:r>
    </w:p>
    <w:p w14:paraId="75FB036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Rodgers, Clive D. 2000. </w:t>
      </w:r>
      <w:r w:rsidRPr="00F53A86">
        <w:rPr>
          <w:rFonts w:ascii="Times New Roman" w:hAnsi="Times New Roman" w:cs="Times New Roman"/>
          <w:i/>
          <w:iCs/>
          <w:noProof/>
          <w:sz w:val="22"/>
        </w:rPr>
        <w:t>Inverse Methods for Atmospheric Sounding: Theory and Practice</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World Scientific Publishing Co.Pte.Ltd.</w:t>
      </w:r>
    </w:p>
    <w:p w14:paraId="39BEF7C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F53A86">
        <w:rPr>
          <w:rFonts w:ascii="Times New Roman" w:hAnsi="Times New Roman" w:cs="Times New Roman"/>
          <w:i/>
          <w:iCs/>
          <w:noProof/>
          <w:sz w:val="22"/>
        </w:rPr>
        <w:t>Earth System Science Data Discussions</w:t>
      </w:r>
      <w:r w:rsidRPr="00F53A86">
        <w:rPr>
          <w:rFonts w:ascii="Times New Roman" w:hAnsi="Times New Roman" w:cs="Times New Roman"/>
          <w:noProof/>
          <w:sz w:val="22"/>
        </w:rPr>
        <w:t>. https://doi.org/10.5194/essd-2019-128.</w:t>
      </w:r>
    </w:p>
    <w:p w14:paraId="6E33D03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F53A86">
        <w:rPr>
          <w:rFonts w:ascii="Times New Roman" w:hAnsi="Times New Roman" w:cs="Times New Roman"/>
          <w:i/>
          <w:iCs/>
          <w:noProof/>
          <w:sz w:val="22"/>
        </w:rPr>
        <w:t>SIAM Journal on Scientific Computing</w:t>
      </w:r>
      <w:r w:rsidRPr="00F53A86">
        <w:rPr>
          <w:rFonts w:ascii="Times New Roman" w:hAnsi="Times New Roman" w:cs="Times New Roman"/>
          <w:noProof/>
          <w:sz w:val="22"/>
        </w:rPr>
        <w:t xml:space="preserve"> 37 (6): 2451–87.</w:t>
      </w:r>
    </w:p>
    <w:p w14:paraId="54C8197C"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F53A86">
        <w:rPr>
          <w:rFonts w:ascii="Times New Roman" w:hAnsi="Times New Roman" w:cs="Times New Roman"/>
          <w:i/>
          <w:iCs/>
          <w:noProof/>
          <w:sz w:val="22"/>
        </w:rPr>
        <w:t>Atmospheric Environment</w:t>
      </w:r>
      <w:r w:rsidRPr="00F53A86">
        <w:rPr>
          <w:rFonts w:ascii="Times New Roman" w:hAnsi="Times New Roman" w:cs="Times New Roman"/>
          <w:noProof/>
          <w:sz w:val="22"/>
        </w:rPr>
        <w:t>. https://doi.org/10.1016/j.atmosenv.2013.05.051.</w:t>
      </w:r>
    </w:p>
    <w:p w14:paraId="1B8690C7"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and D. J. Jacob. 2015. “Balancing Aggregation and Smoothing Errors in Inverse Models.”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7039–48. https://doi.org/10.5194/acp-15-7039-2015.</w:t>
      </w:r>
    </w:p>
    <w:p w14:paraId="146CD6E5"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7049–69. https://doi.org/10.5194/acp-15-7049-2015.</w:t>
      </w:r>
    </w:p>
    <w:p w14:paraId="2E7CD64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F53A86">
        <w:rPr>
          <w:rFonts w:ascii="Times New Roman" w:hAnsi="Times New Roman" w:cs="Times New Roman"/>
          <w:i/>
          <w:iCs/>
          <w:noProof/>
          <w:sz w:val="22"/>
        </w:rPr>
        <w:t>Remote Sensing of Environment</w:t>
      </w:r>
      <w:r w:rsidRPr="00F53A86">
        <w:rPr>
          <w:rFonts w:ascii="Times New Roman" w:hAnsi="Times New Roman" w:cs="Times New Roman"/>
          <w:noProof/>
          <w:sz w:val="22"/>
        </w:rPr>
        <w:t>. https://doi.org/10.1016/j.rse.2011.09.027.</w:t>
      </w:r>
    </w:p>
    <w:p w14:paraId="063609E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F53A86">
        <w:rPr>
          <w:rFonts w:ascii="Times New Roman" w:hAnsi="Times New Roman" w:cs="Times New Roman"/>
          <w:i/>
          <w:iCs/>
          <w:noProof/>
          <w:sz w:val="22"/>
        </w:rPr>
        <w:t>J. Geophys. Res. Atmos. Res.</w:t>
      </w:r>
      <w:r w:rsidRPr="00F53A86">
        <w:rPr>
          <w:rFonts w:ascii="Times New Roman" w:hAnsi="Times New Roman" w:cs="Times New Roman"/>
          <w:noProof/>
          <w:sz w:val="22"/>
        </w:rPr>
        <w:t>, 7741–56. https://doi.org/10.1002/2014JD021551.Received.</w:t>
      </w:r>
    </w:p>
    <w:p w14:paraId="1050D770" w14:textId="6227037D" w:rsidR="00ED6D7B" w:rsidRPr="00ED6D7B" w:rsidRDefault="00EC1A4E" w:rsidP="00F53A8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arpelli, Tia" w:date="2020-10-05T13:11:00Z" w:initials="ST">
    <w:p w14:paraId="293E82B6" w14:textId="77777777" w:rsidR="001A3C49" w:rsidRDefault="001A3C49">
      <w:pPr>
        <w:pStyle w:val="CommentText"/>
      </w:pPr>
      <w:r>
        <w:rPr>
          <w:rStyle w:val="CommentReference"/>
        </w:rPr>
        <w:annotationRef/>
      </w:r>
      <w:r>
        <w:t>I don't exactly know what this means… I'm assuming you expect your reader to know this, but just in case it's helpful I'm letting you know that I don't</w:t>
      </w:r>
      <w:r>
        <w:sym w:font="Wingdings" w:char="F04A"/>
      </w:r>
      <w:r>
        <w:t xml:space="preserve"> </w:t>
      </w:r>
    </w:p>
    <w:p w14:paraId="736A14CE" w14:textId="77777777" w:rsidR="001A3C49" w:rsidRDefault="001A3C49">
      <w:pPr>
        <w:pStyle w:val="CommentText"/>
      </w:pPr>
    </w:p>
    <w:p w14:paraId="3D655E5B" w14:textId="13589D7F" w:rsidR="001A3C49" w:rsidRDefault="001A3C49">
      <w:pPr>
        <w:pStyle w:val="CommentText"/>
      </w:pPr>
      <w:r>
        <w:t>I see that you define it in the introduction, so I guess ignore this. Is there a reason why you use "variational" in one place and "numerical (variational)" in another?</w:t>
      </w:r>
    </w:p>
  </w:comment>
  <w:comment w:id="1" w:author="Scarpelli, Tia" w:date="2020-10-05T13:35:00Z" w:initials="ST">
    <w:p w14:paraId="539CE7B2" w14:textId="7F0ACA61" w:rsidR="001A3C49" w:rsidRDefault="001A3C49">
      <w:pPr>
        <w:pStyle w:val="CommentText"/>
      </w:pPr>
      <w:r>
        <w:rPr>
          <w:rStyle w:val="CommentReference"/>
        </w:rPr>
        <w:annotationRef/>
      </w:r>
      <w:r>
        <w:t>I noticed that you make an effort not to mention methane until the end of the introduction - do you know of other atmospheric systems that have applied similar methods to what you describe? Since most of the sources you cite are methane specific (right?) it may be helpful to provide some citations for non-methane inverse analyses of satellite observations. Totally not necessary, it was just something that I was curious about while reading.</w:t>
      </w:r>
    </w:p>
  </w:comment>
  <w:comment w:id="2" w:author="Scarpelli, Tia" w:date="2020-10-05T13:24:00Z" w:initials="ST">
    <w:p w14:paraId="32A4F7C5" w14:textId="153468D2" w:rsidR="001A3C49" w:rsidRDefault="001A3C49">
      <w:pPr>
        <w:pStyle w:val="CommentText"/>
      </w:pPr>
      <w:r>
        <w:rPr>
          <w:rStyle w:val="CommentReference"/>
        </w:rPr>
        <w:annotationRef/>
      </w:r>
      <w:r>
        <w:t>Are there any examples you can provide of this, like having a "(e.g. …)" - not necessary to add, I was just curious what kind of data quality issues you're referring to (unless we don't even know this).</w:t>
      </w:r>
    </w:p>
  </w:comment>
  <w:comment w:id="3" w:author="Scarpelli, Tia" w:date="2020-10-05T13:49:00Z" w:initials="ST">
    <w:p w14:paraId="4BA9E202" w14:textId="5D91B6E5" w:rsidR="001A3C49" w:rsidRDefault="001A3C49">
      <w:pPr>
        <w:pStyle w:val="CommentText"/>
      </w:pPr>
      <w:r>
        <w:rPr>
          <w:rStyle w:val="CommentReference"/>
        </w:rPr>
        <w:annotationRef/>
      </w:r>
      <w:r>
        <w:t>Just letting you know that I don't quite understand "directions" here - but that's probably me just being unfamiliar with linear algebra/math terminology and not the wording.</w:t>
      </w:r>
    </w:p>
  </w:comment>
  <w:comment w:id="4" w:author="Scarpelli, Tia" w:date="2020-10-05T15:39:00Z" w:initials="ST">
    <w:p w14:paraId="2F96ACFF" w14:textId="20234E23" w:rsidR="001A3C49" w:rsidRDefault="001A3C49">
      <w:pPr>
        <w:pStyle w:val="CommentText"/>
      </w:pPr>
      <w:r>
        <w:rPr>
          <w:rStyle w:val="CommentReference"/>
        </w:rPr>
        <w:annotationRef/>
      </w:r>
      <w:r>
        <w:t>X This is supposed to be the opposite (n x k vs k x n) of the Figure?</w:t>
      </w:r>
    </w:p>
  </w:comment>
  <w:comment w:id="5" w:author="Scarpelli, Tia" w:date="2020-10-05T15:41:00Z" w:initials="ST">
    <w:p w14:paraId="52BEA24F" w14:textId="1E79AF0F" w:rsidR="001A3C49" w:rsidRDefault="001A3C49">
      <w:pPr>
        <w:pStyle w:val="CommentText"/>
      </w:pPr>
      <w:r>
        <w:rPr>
          <w:rStyle w:val="CommentReference"/>
        </w:rPr>
        <w:annotationRef/>
      </w:r>
      <w:r>
        <w:t>Does this apply both to the discrete and non-discrete examples? I'm assuming it really only applies for non-discrete based on the figure.</w:t>
      </w:r>
    </w:p>
  </w:comment>
  <w:comment w:id="6" w:author="Scarpelli, Tia" w:date="2020-10-05T15:56:00Z" w:initials="ST">
    <w:p w14:paraId="46F7F509" w14:textId="0923C883" w:rsidR="001A3C49" w:rsidRDefault="001A3C49">
      <w:pPr>
        <w:pStyle w:val="CommentText"/>
      </w:pPr>
      <w:r>
        <w:rPr>
          <w:rStyle w:val="CommentReference"/>
        </w:rPr>
        <w:annotationRef/>
      </w:r>
      <w:r>
        <w:t>is this referring to the averaging kernel matrix?</w:t>
      </w:r>
    </w:p>
  </w:comment>
  <w:comment w:id="7" w:author="Scarpelli, Tia" w:date="2020-10-05T16:06:00Z" w:initials="ST">
    <w:p w14:paraId="12038FE9" w14:textId="5CEE72BC" w:rsidR="001A3C49" w:rsidRDefault="001A3C49">
      <w:pPr>
        <w:pStyle w:val="CommentText"/>
      </w:pPr>
      <w:r>
        <w:rPr>
          <w:rStyle w:val="CommentReference"/>
        </w:rPr>
        <w:annotationRef/>
      </w:r>
      <w:r w:rsidR="00F07049">
        <w:t xml:space="preserve">X </w:t>
      </w:r>
      <w:r>
        <w:t xml:space="preserve">Is this arbitrary or is it based on something? If there is reasoning behind </w:t>
      </w:r>
      <w:proofErr w:type="gramStart"/>
      <w:r>
        <w:t>it</w:t>
      </w:r>
      <w:proofErr w:type="gramEnd"/>
      <w:r>
        <w:t xml:space="preserve"> you may want to note that.</w:t>
      </w:r>
    </w:p>
  </w:comment>
  <w:comment w:id="8" w:author="Scarpelli, Tia" w:date="2020-10-05T16:21:00Z" w:initials="ST">
    <w:p w14:paraId="4AF5C800" w14:textId="5111B540" w:rsidR="001A3C49" w:rsidRDefault="001A3C49">
      <w:pPr>
        <w:pStyle w:val="CommentText"/>
      </w:pPr>
      <w:r>
        <w:rPr>
          <w:rStyle w:val="CommentReference"/>
        </w:rPr>
        <w:annotationRef/>
      </w:r>
      <w:r w:rsidR="007F7DC7">
        <w:t xml:space="preserve">X </w:t>
      </w:r>
      <w:r>
        <w:t>typo?</w:t>
      </w:r>
    </w:p>
  </w:comment>
  <w:comment w:id="9" w:author="Scarpelli, Tia" w:date="2020-10-05T16:45:00Z" w:initials="ST">
    <w:p w14:paraId="054850AE" w14:textId="1330BC7B" w:rsidR="001A3C49" w:rsidRDefault="001A3C49">
      <w:pPr>
        <w:pStyle w:val="CommentText"/>
      </w:pPr>
      <w:r>
        <w:rPr>
          <w:rStyle w:val="CommentReference"/>
        </w:rPr>
        <w:annotationRef/>
      </w:r>
      <w:r>
        <w:t>Do you have an idea whether the conclusions drawn for all three methods are the same at the national scale for the three countries you show? I'm not sure what regional scale refers to here, so maybe that's what you're already saying.</w:t>
      </w:r>
    </w:p>
  </w:comment>
  <w:comment w:id="10" w:author="Scarpelli, Tia" w:date="2020-10-05T16:40:00Z" w:initials="ST">
    <w:p w14:paraId="6ED751BB" w14:textId="23A9FF63" w:rsidR="001A3C49" w:rsidRDefault="001A3C49">
      <w:pPr>
        <w:pStyle w:val="CommentText"/>
      </w:pPr>
      <w:r>
        <w:rPr>
          <w:rStyle w:val="CommentReference"/>
        </w:rPr>
        <w:annotationRef/>
      </w:r>
      <w:r>
        <w:t>If it's not too much trouble, you may want to add "Native Resolution" to the x axes of the top row of Figure 5. It may help prevent confusion between plot titles and axis labels.</w:t>
      </w:r>
    </w:p>
  </w:comment>
  <w:comment w:id="11" w:author="Scarpelli, Tia" w:date="2020-10-05T16:50:00Z" w:initials="ST">
    <w:p w14:paraId="2DF7EF68" w14:textId="4AF77D05" w:rsidR="001A3C49" w:rsidRDefault="001A3C49">
      <w:pPr>
        <w:pStyle w:val="CommentText"/>
      </w:pPr>
      <w:r>
        <w:rPr>
          <w:rStyle w:val="CommentReference"/>
        </w:rPr>
        <w:annotationRef/>
      </w:r>
      <w:r>
        <w:t xml:space="preserve">Do you intentionally not say one method is "better" than the other? I feel like a reader may want to know this, at least knowing when one method may win out over the other method.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655E5B" w15:done="0"/>
  <w15:commentEx w15:paraId="539CE7B2" w15:done="0"/>
  <w15:commentEx w15:paraId="32A4F7C5" w15:done="0"/>
  <w15:commentEx w15:paraId="4BA9E202" w15:done="0"/>
  <w15:commentEx w15:paraId="2F96ACFF" w15:done="0"/>
  <w15:commentEx w15:paraId="52BEA24F" w15:done="0"/>
  <w15:commentEx w15:paraId="46F7F509" w15:done="0"/>
  <w15:commentEx w15:paraId="12038FE9" w15:done="0"/>
  <w15:commentEx w15:paraId="4AF5C800" w15:done="0"/>
  <w15:commentEx w15:paraId="054850AE" w15:done="0"/>
  <w15:commentEx w15:paraId="6ED751BB" w15:done="0"/>
  <w15:commentEx w15:paraId="2DF7EF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655E5B" w16cid:durableId="23259A0B"/>
  <w16cid:commentId w16cid:paraId="539CE7B2" w16cid:durableId="23259FA4"/>
  <w16cid:commentId w16cid:paraId="32A4F7C5" w16cid:durableId="23259CF1"/>
  <w16cid:commentId w16cid:paraId="4BA9E202" w16cid:durableId="2325A2CF"/>
  <w16cid:commentId w16cid:paraId="2F96ACFF" w16cid:durableId="2325BC9C"/>
  <w16cid:commentId w16cid:paraId="52BEA24F" w16cid:durableId="2325BD2D"/>
  <w16cid:commentId w16cid:paraId="46F7F509" w16cid:durableId="2325C0C4"/>
  <w16cid:commentId w16cid:paraId="12038FE9" w16cid:durableId="2325C2F7"/>
  <w16cid:commentId w16cid:paraId="4AF5C800" w16cid:durableId="2325C68F"/>
  <w16cid:commentId w16cid:paraId="054850AE" w16cid:durableId="2325CC45"/>
  <w16cid:commentId w16cid:paraId="6ED751BB" w16cid:durableId="2325CAEC"/>
  <w16cid:commentId w16cid:paraId="2DF7EF68" w16cid:durableId="2325C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12161" w14:textId="77777777" w:rsidR="002F48A3" w:rsidRDefault="002F48A3" w:rsidP="00605262">
      <w:r>
        <w:separator/>
      </w:r>
    </w:p>
  </w:endnote>
  <w:endnote w:type="continuationSeparator" w:id="0">
    <w:p w14:paraId="5B56EF12" w14:textId="77777777" w:rsidR="002F48A3" w:rsidRDefault="002F48A3"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0F0CF" w14:textId="77777777" w:rsidR="002F48A3" w:rsidRDefault="002F48A3" w:rsidP="00605262">
      <w:r>
        <w:separator/>
      </w:r>
    </w:p>
  </w:footnote>
  <w:footnote w:type="continuationSeparator" w:id="0">
    <w:p w14:paraId="76941203" w14:textId="77777777" w:rsidR="002F48A3" w:rsidRDefault="002F48A3"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arpelli, Tia">
    <w15:presenceInfo w15:providerId="AD" w15:userId="S::tscarpelli@g.harvard.edu::2197ef1e-e028-418c-a4d6-5dc0ea7f1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933"/>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50AC"/>
    <w:rsid w:val="00077235"/>
    <w:rsid w:val="000772FB"/>
    <w:rsid w:val="00081673"/>
    <w:rsid w:val="00083001"/>
    <w:rsid w:val="00084641"/>
    <w:rsid w:val="000855B6"/>
    <w:rsid w:val="00092BEE"/>
    <w:rsid w:val="00093327"/>
    <w:rsid w:val="000942CB"/>
    <w:rsid w:val="00094BBD"/>
    <w:rsid w:val="00095B25"/>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3C49"/>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E534A"/>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48A3"/>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6204"/>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6EA"/>
    <w:rsid w:val="005C7815"/>
    <w:rsid w:val="005D0083"/>
    <w:rsid w:val="005D19E0"/>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7F7DC7"/>
    <w:rsid w:val="00802D34"/>
    <w:rsid w:val="00803709"/>
    <w:rsid w:val="008139FA"/>
    <w:rsid w:val="0081615D"/>
    <w:rsid w:val="00820C20"/>
    <w:rsid w:val="00823386"/>
    <w:rsid w:val="00824E2F"/>
    <w:rsid w:val="0082555C"/>
    <w:rsid w:val="008273A0"/>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091"/>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16CD"/>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D66BE"/>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648D"/>
    <w:rsid w:val="00AE7406"/>
    <w:rsid w:val="00AF0147"/>
    <w:rsid w:val="00AF0CB6"/>
    <w:rsid w:val="00AF1A17"/>
    <w:rsid w:val="00AF34F1"/>
    <w:rsid w:val="00AF370B"/>
    <w:rsid w:val="00AF5020"/>
    <w:rsid w:val="00AF5892"/>
    <w:rsid w:val="00AF755C"/>
    <w:rsid w:val="00B012CE"/>
    <w:rsid w:val="00B014CC"/>
    <w:rsid w:val="00B01983"/>
    <w:rsid w:val="00B02451"/>
    <w:rsid w:val="00B03C3A"/>
    <w:rsid w:val="00B03C90"/>
    <w:rsid w:val="00B05179"/>
    <w:rsid w:val="00B0569A"/>
    <w:rsid w:val="00B05A4C"/>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4D3B"/>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66C0F"/>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937"/>
    <w:rsid w:val="00DB294B"/>
    <w:rsid w:val="00DB3E3A"/>
    <w:rsid w:val="00DC1F36"/>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81E21"/>
    <w:rsid w:val="00E82332"/>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6F3"/>
    <w:rsid w:val="00EF2DBA"/>
    <w:rsid w:val="00EF435C"/>
    <w:rsid w:val="00EF4BF4"/>
    <w:rsid w:val="00EF4CCA"/>
    <w:rsid w:val="00F047A6"/>
    <w:rsid w:val="00F05740"/>
    <w:rsid w:val="00F07049"/>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89A"/>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26CB9C9-E8D3-0A44-B2A8-DA75D0D7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26871</Words>
  <Characters>153171</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2020-10-08T02:51:00Z</dcterms:created>
  <dcterms:modified xsi:type="dcterms:W3CDTF">2020-10-08T02:51:00Z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