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77777777"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Satellite Data</w:t>
      </w:r>
      <w:commentRangeStart w:id="0"/>
      <w:commentRangeStart w:id="1"/>
      <w:r w:rsidR="00E65B31" w:rsidRPr="00123ED7">
        <w:rPr>
          <w:rFonts w:ascii="Times New Roman" w:hAnsi="Times New Roman" w:cs="Times New Roman"/>
          <w:sz w:val="22"/>
        </w:rPr>
        <w:tab/>
      </w:r>
      <w:commentRangeEnd w:id="0"/>
      <w:r w:rsidR="00E65B31">
        <w:rPr>
          <w:rStyle w:val="CommentReference"/>
        </w:rPr>
        <w:commentReference w:id="0"/>
      </w:r>
      <w:commentRangeEnd w:id="1"/>
      <w:r w:rsidR="00E65B31">
        <w:rPr>
          <w:rStyle w:val="CommentReference"/>
        </w:rPr>
        <w:commentReference w:id="1"/>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r w:rsidR="004646FA">
        <w:rPr>
          <w:rFonts w:ascii="Times New Roman" w:hAnsi="Times New Roman" w:cs="Times New Roman"/>
          <w:sz w:val="22"/>
        </w:rPr>
        <w:t>s</w:t>
      </w:r>
      <w:r w:rsidRPr="00123ED7">
        <w:rPr>
          <w:rFonts w:ascii="Times New Roman" w:hAnsi="Times New Roman" w:cs="Times New Roman"/>
          <w:sz w:val="22"/>
        </w:rPr>
        <w:t xml:space="preserv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4EF84C7"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analysis used to infer emissions from observed atmospheric concentrations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A47035">
        <w:rPr>
          <w:rFonts w:ascii="Times New Roman" w:hAnsi="Times New Roman" w:cs="Times New Roman"/>
          <w:sz w:val="22"/>
        </w:rPr>
        <w:t>Qu</w:t>
      </w:r>
      <w:r w:rsidR="00B31FC9">
        <w:rPr>
          <w:rFonts w:ascii="Times New Roman" w:hAnsi="Times New Roman" w:cs="Times New Roman"/>
          <w:sz w:val="22"/>
        </w:rPr>
        <w:t>antify</w:t>
      </w:r>
      <w:r w:rsidR="00A47035">
        <w:rPr>
          <w:rFonts w:ascii="Times New Roman" w:hAnsi="Times New Roman" w:cs="Times New Roman"/>
          <w:sz w:val="22"/>
        </w:rPr>
        <w:t>ing</w:t>
      </w:r>
      <w:r w:rsidR="00B31FC9">
        <w:rPr>
          <w:rFonts w:ascii="Times New Roman" w:hAnsi="Times New Roman" w:cs="Times New Roman"/>
          <w:sz w:val="22"/>
        </w:rPr>
        <w:t xml:space="preserve"> emissions at high resolution 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EB381E">
        <w:rPr>
          <w:rFonts w:ascii="Times New Roman" w:hAnsi="Times New Roman" w:cs="Times New Roman"/>
          <w:sz w:val="22"/>
        </w:rPr>
        <w:t xml:space="preserve">is </w:t>
      </w:r>
      <w:r w:rsidR="00A858FE">
        <w:rPr>
          <w:rFonts w:ascii="Times New Roman" w:hAnsi="Times New Roman" w:cs="Times New Roman"/>
          <w:sz w:val="22"/>
        </w:rPr>
        <w:t>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the </w:t>
      </w:r>
      <w:r w:rsidR="007E2175">
        <w:rPr>
          <w:rFonts w:ascii="Times New Roman" w:hAnsi="Times New Roman" w:cs="Times New Roman"/>
          <w:sz w:val="22"/>
        </w:rPr>
        <w:t>coverage, density, and errors of the observations in ways that are difficult to quantify and that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data with full error characterization</w:t>
      </w:r>
      <w:r w:rsidR="00776D82">
        <w:rPr>
          <w:rFonts w:ascii="Times New Roman" w:hAnsi="Times New Roman" w:cs="Times New Roman"/>
          <w:sz w:val="22"/>
        </w:rPr>
        <w:t xml:space="preserve"> that maximizes the information content of the observations while reducing computational </w:t>
      </w:r>
      <w:commentRangeStart w:id="2"/>
      <w:r w:rsidR="00776D82">
        <w:rPr>
          <w:rFonts w:ascii="Times New Roman" w:hAnsi="Times New Roman" w:cs="Times New Roman"/>
          <w:sz w:val="22"/>
        </w:rPr>
        <w:t>cost</w:t>
      </w:r>
      <w:commentRangeEnd w:id="2"/>
      <w:r w:rsidR="00776D82">
        <w:rPr>
          <w:rStyle w:val="CommentReference"/>
        </w:rPr>
        <w:commentReference w:id="2"/>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3CBE3EA8" w:rsidR="00B31FC9" w:rsidRDefault="00776D82" w:rsidP="00864E39">
      <w:pPr>
        <w:rPr>
          <w:rFonts w:ascii="Times New Roman" w:hAnsi="Times New Roman" w:cs="Times New Roman"/>
          <w:sz w:val="22"/>
        </w:rPr>
      </w:pPr>
      <w:r>
        <w:rPr>
          <w:rFonts w:ascii="Times New Roman" w:hAnsi="Times New Roman" w:cs="Times New Roman"/>
          <w:sz w:val="22"/>
        </w:rPr>
        <w:t>The</w:t>
      </w:r>
      <w:r w:rsidR="00651DBF">
        <w:rPr>
          <w:rFonts w:ascii="Times New Roman" w:hAnsi="Times New Roman" w:cs="Times New Roman"/>
          <w:sz w:val="22"/>
        </w:rPr>
        <w:t xml:space="preserve"> standard inversion </w:t>
      </w:r>
      <w:r>
        <w:rPr>
          <w:rFonts w:ascii="Times New Roman" w:hAnsi="Times New Roman" w:cs="Times New Roman"/>
          <w:sz w:val="22"/>
        </w:rPr>
        <w:t xml:space="preserve">procedure </w:t>
      </w:r>
      <w:r w:rsidR="00B31FC9">
        <w:rPr>
          <w:rFonts w:ascii="Times New Roman" w:hAnsi="Times New Roman" w:cs="Times New Roman"/>
          <w:sz w:val="22"/>
        </w:rPr>
        <w:t>infer</w:t>
      </w:r>
      <w:r w:rsidR="00651DBF">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sidR="00651DBF">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error</w:t>
      </w:r>
      <w:r>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3"/>
      <w:r w:rsidR="00A47035" w:rsidRPr="00FF3655">
        <w:rPr>
          <w:rStyle w:val="CommentReference"/>
          <w:color w:val="FF0000"/>
        </w:rPr>
        <w:commentReference w:id="3"/>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Pr>
          <w:rFonts w:ascii="Times New Roman" w:hAnsi="Times New Roman" w:cs="Times New Roman"/>
          <w:sz w:val="22"/>
        </w:rPr>
        <w:t>these approaches</w:t>
      </w:r>
      <w:r w:rsidR="00B31FC9">
        <w:rPr>
          <w:rFonts w:ascii="Times New Roman" w:hAnsi="Times New Roman" w:cs="Times New Roman"/>
          <w:sz w:val="22"/>
        </w:rPr>
        <w:t xml:space="preserve"> are computationally expensive and </w:t>
      </w:r>
      <w:r w:rsidR="00A47035">
        <w:rPr>
          <w:rFonts w:ascii="Times New Roman" w:hAnsi="Times New Roman" w:cs="Times New Roman"/>
          <w:sz w:val="22"/>
        </w:rPr>
        <w:t xml:space="preserve">approximate </w:t>
      </w:r>
      <w:r w:rsidR="00B31FC9">
        <w:rPr>
          <w:rFonts w:ascii="Times New Roman" w:hAnsi="Times New Roman" w:cs="Times New Roman"/>
          <w:sz w:val="22"/>
        </w:rPr>
        <w:t>the error</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78A87DC5"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8D3328">
        <w:rPr>
          <w:rFonts w:ascii="Times New Roman" w:hAnsi="Times New Roman" w:cs="Times New Roman"/>
          <w:sz w:val="22"/>
        </w:rPr>
        <w:t>components</w:t>
      </w:r>
      <w:r w:rsidR="00844ACF">
        <w:rPr>
          <w:rFonts w:ascii="Times New Roman" w:hAnsi="Times New Roman" w:cs="Times New Roman"/>
          <w:sz w:val="22"/>
        </w:rPr>
        <w:t xml:space="preserve"> (such as the grid boxes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FE28F59"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Pr>
          <w:rFonts w:ascii="Times New Roman" w:hAnsi="Times New Roman" w:cs="Times New Roman"/>
          <w:sz w:val="22"/>
        </w:rPr>
        <w:t xml:space="preserve">, 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 which provided 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B86BD3">
        <w:rPr>
          <w:rFonts w:ascii="Times New Roman" w:hAnsi="Times New Roman" w:cs="Times New Roman"/>
          <w:sz w:val="22"/>
        </w:rPr>
        <w:t>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r w:rsidR="00D07087">
        <w:rPr>
          <w:rFonts w:ascii="Times New Roman" w:hAnsi="Times New Roman" w:cs="Times New Roman"/>
          <w:sz w:val="22"/>
        </w:rPr>
        <w:t>transform</w:t>
      </w:r>
      <w:r w:rsidR="00B86BD3">
        <w:rPr>
          <w:rFonts w:ascii="Times New Roman" w:hAnsi="Times New Roman" w:cs="Times New Roman"/>
          <w:sz w:val="22"/>
        </w:rPr>
        <w:t>ed</w:t>
      </w:r>
      <w:r w:rsidR="006E454D">
        <w:rPr>
          <w:rFonts w:ascii="Times New Roman" w:hAnsi="Times New Roman" w:cs="Times New Roman"/>
          <w:sz w:val="22"/>
        </w:rPr>
        <w:t xml:space="preserve"> the magnitude of the computation </w:t>
      </w:r>
      <w:r w:rsidR="00D07087">
        <w:rPr>
          <w:rFonts w:ascii="Times New Roman" w:hAnsi="Times New Roman" w:cs="Times New Roman"/>
          <w:sz w:val="22"/>
        </w:rPr>
        <w:t xml:space="preserve">and information content </w:t>
      </w:r>
      <w:r w:rsidR="006E454D">
        <w:rPr>
          <w:rFonts w:ascii="Times New Roman" w:hAnsi="Times New Roman" w:cs="Times New Roman"/>
          <w:sz w:val="22"/>
        </w:rPr>
        <w:t xml:space="preserve">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by orders of </w:t>
      </w:r>
      <w:r w:rsidR="00B60183">
        <w:rPr>
          <w:rFonts w:ascii="Times New Roman" w:hAnsi="Times New Roman" w:cs="Times New Roman"/>
          <w:sz w:val="22"/>
        </w:rPr>
        <w:lastRenderedPageBreak/>
        <w:t>magnitude</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27C2B2DC" w:rsidR="003D2597" w:rsidRPr="00FF3655" w:rsidRDefault="004A24A3" w:rsidP="0053318B">
      <w:pPr>
        <w:rPr>
          <w:rFonts w:ascii="Times New Roman" w:hAnsi="Times New Roman" w:cs="Times New Roman"/>
          <w:color w:val="FF0000"/>
          <w:sz w:val="22"/>
        </w:rPr>
      </w:pPr>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491219">
        <w:rPr>
          <w:rFonts w:ascii="Times New Roman" w:hAnsi="Times New Roman" w:cs="Times New Roman"/>
          <w:color w:val="FF0000"/>
          <w:sz w:val="22"/>
        </w:rPr>
        <w:t xml:space="preserve"> This paragraph has not been edited ### </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for 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Jacobian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355A2C7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commentRangeStart w:id="4"/>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and aggregates grid boxes elsewhere. The resulting reduced-dimension Jacobian matrix solves the inversion exactly on th</w:t>
      </w:r>
      <w:r w:rsidR="00D16645">
        <w:rPr>
          <w:rFonts w:ascii="Times New Roman" w:hAnsi="Times New Roman" w:cs="Times New Roman"/>
          <w:sz w:val="22"/>
        </w:rPr>
        <w:t xml:space="preserve">is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w:t>
      </w:r>
      <w:commentRangeEnd w:id="4"/>
      <w:r w:rsidR="00AA762B">
        <w:rPr>
          <w:rStyle w:val="CommentReference"/>
        </w:rPr>
        <w:commentReference w:id="4"/>
      </w:r>
      <w:r w:rsidR="007E2B4E">
        <w:rPr>
          <w:rFonts w:ascii="Times New Roman" w:hAnsi="Times New Roman" w:cs="Times New Roman"/>
          <w:sz w:val="22"/>
        </w:rPr>
        <w:t xml:space="preserve">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5"/>
      <w:commentRangeEnd w:id="5"/>
      <w:r>
        <w:rPr>
          <w:rStyle w:val="CommentReference"/>
        </w:rPr>
        <w:commentReference w:id="5"/>
      </w:r>
    </w:p>
    <w:p w14:paraId="442D56DB" w14:textId="3C75FB04"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 of Jacobian matrix construction. Following a review of the standard analytic inverse framework (Section 2.1), we describe optimal reductions in both dimension and rank for an inverse system with a known </w:t>
      </w:r>
      <w:r w:rsidR="00494ECD">
        <w:rPr>
          <w:rFonts w:ascii="Times New Roman" w:hAnsi="Times New Roman" w:cs="Times New Roman"/>
          <w:sz w:val="22"/>
        </w:rPr>
        <w:t xml:space="preserve">a known 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37304A30"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a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3F4CD7"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commentRangeStart w:id="6"/>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commentRangeEnd w:id="6"/>
      <w:r>
        <w:rPr>
          <w:rStyle w:val="CommentReference"/>
        </w:rPr>
        <w:commentReference w:id="6"/>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3F4CD7"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9AC7598"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3F4CD7"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D0A25F5"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clearly expresses the averaging kernel’s dependence on both the forward model and </w:t>
      </w:r>
      <w:r w:rsidR="007D4682">
        <w:rPr>
          <w:rFonts w:ascii="Times New Roman" w:eastAsiaTheme="minorEastAsia" w:hAnsi="Times New Roman" w:cs="Times New Roman"/>
          <w:sz w:val="22"/>
        </w:rPr>
        <w:t xml:space="preserve">both error covariance matrices. </w:t>
      </w:r>
      <w:r w:rsidR="00E93B95">
        <w:rPr>
          <w:rFonts w:ascii="Times New Roman" w:eastAsiaTheme="minorEastAsia" w:hAnsi="Times New Roman" w:cs="Times New Roman"/>
          <w:sz w:val="22"/>
        </w:rPr>
        <w:t xml:space="preserve">The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E42A3BF"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state vector components are themselves vectors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7BB09884" w:rsidR="001560BF" w:rsidRDefault="00B11F1E" w:rsidP="00D53B32">
      <w:pPr>
        <w:rPr>
          <w:rFonts w:ascii="Times New Roman" w:eastAsiaTheme="minorEastAsia" w:hAnsi="Times New Roman" w:cs="Times New Roman"/>
          <w:sz w:val="22"/>
        </w:rPr>
      </w:pPr>
      <w:commentRangeStart w:id="7"/>
      <w:r w:rsidRPr="002315A1">
        <w:rPr>
          <w:rFonts w:ascii="Times New Roman" w:hAnsi="Times New Roman" w:cs="Times New Roman"/>
          <w:color w:val="000000" w:themeColor="text1"/>
          <w:sz w:val="22"/>
        </w:rPr>
        <w:t xml:space="preserve">We would like </w:t>
      </w:r>
      <w:commentRangeEnd w:id="7"/>
      <w:r w:rsidRPr="002315A1">
        <w:rPr>
          <w:rStyle w:val="CommentReference"/>
          <w:color w:val="000000" w:themeColor="text1"/>
        </w:rPr>
        <w:commentReference w:id="7"/>
      </w:r>
      <w:r w:rsidRPr="002315A1">
        <w:rPr>
          <w:rFonts w:ascii="Times New Roman" w:hAnsi="Times New Roman" w:cs="Times New Roman"/>
          <w:color w:val="000000" w:themeColor="text1"/>
          <w:sz w:val="22"/>
        </w:rPr>
        <w:t xml:space="preserve">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3F4CD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8"/>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8"/>
      <w:r w:rsidR="004F031B">
        <w:rPr>
          <w:rStyle w:val="CommentReference"/>
        </w:rPr>
        <w:commentReference w:id="8"/>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3F4CD7"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3F4CD7"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9"/>
    <w:p w14:paraId="5549AF07" w14:textId="0E064CD1" w:rsidR="005D0083" w:rsidRPr="005D0083" w:rsidRDefault="003F4CD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9"/>
          <m:r>
            <m:rPr>
              <m:sty m:val="p"/>
            </m:rPr>
            <w:rPr>
              <w:rStyle w:val="CommentReference"/>
            </w:rPr>
            <w:commentReference w:id="9"/>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441CE512"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 We find that as additional eigenvectors are introduced, the posterior emissions oscillate, mitigating the usefulness of a convergence criterion.</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DDF735E"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commentRangeStart w:id="10"/>
      <w:r w:rsidR="00031F55" w:rsidRPr="00031F55">
        <w:rPr>
          <w:rFonts w:ascii="Times New Roman" w:eastAsiaTheme="minorEastAsia" w:hAnsi="Times New Roman" w:cs="Times New Roman"/>
          <w:sz w:val="22"/>
        </w:rPr>
        <w:t>.</w:t>
      </w:r>
      <w:commentRangeEnd w:id="10"/>
      <w:r w:rsidR="004F5CB4">
        <w:rPr>
          <w:rStyle w:val="CommentReference"/>
        </w:rPr>
        <w:commentReference w:id="10"/>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w:t>
      </w:r>
      <w:commentRangeStart w:id="11"/>
      <w:commentRangeStart w:id="12"/>
      <w:r w:rsidR="009B1616">
        <w:rPr>
          <w:rFonts w:ascii="Times New Roman" w:eastAsiaTheme="minorEastAsia" w:hAnsi="Times New Roman" w:cs="Times New Roman"/>
          <w:sz w:val="22"/>
        </w:rPr>
        <w:t xml:space="preserve">maintains resolution in areas of highest information content </w:t>
      </w:r>
      <w:commentRangeEnd w:id="11"/>
      <w:r w:rsidR="009B1616">
        <w:rPr>
          <w:rStyle w:val="CommentReference"/>
        </w:rPr>
        <w:commentReference w:id="11"/>
      </w:r>
      <w:commentRangeEnd w:id="12"/>
      <w:r w:rsidR="009B1616">
        <w:rPr>
          <w:rStyle w:val="CommentReference"/>
        </w:rPr>
        <w:commentReference w:id="12"/>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right panel of Figure 1 (Section 2.4).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 xml:space="preserve">the </w:t>
      </w:r>
      <w:commentRangeStart w:id="13"/>
      <w:commentRangeStart w:id="14"/>
      <w:r w:rsidR="0048071C">
        <w:rPr>
          <w:rFonts w:ascii="Times New Roman" w:eastAsiaTheme="minorEastAsia" w:hAnsi="Times New Roman" w:cs="Times New Roman"/>
          <w:sz w:val="22"/>
        </w:rPr>
        <w:t xml:space="preserve">lower left panel of Figure </w:t>
      </w:r>
      <w:commentRangeEnd w:id="13"/>
      <w:r w:rsidR="0048071C">
        <w:rPr>
          <w:rStyle w:val="CommentReference"/>
        </w:rPr>
        <w:commentReference w:id="13"/>
      </w:r>
      <w:commentRangeEnd w:id="14"/>
      <w:r w:rsidR="0048071C">
        <w:rPr>
          <w:rStyle w:val="CommentReference"/>
        </w:rPr>
        <w:commentReference w:id="14"/>
      </w:r>
      <w:r w:rsidR="0048071C">
        <w:rPr>
          <w:rFonts w:ascii="Times New Roman" w:eastAsiaTheme="minorEastAsia" w:hAnsi="Times New Roman" w:cs="Times New Roman"/>
          <w:sz w:val="22"/>
        </w:rPr>
        <w:t xml:space="preserve">1 </w:t>
      </w:r>
      <w:r w:rsidR="002162E2">
        <w:rPr>
          <w:rFonts w:ascii="Times New Roman" w:eastAsiaTheme="minorEastAsia" w:hAnsi="Times New Roman" w:cs="Times New Roman"/>
          <w:sz w:val="22"/>
        </w:rPr>
        <w:t>(Section 2.5).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t>
      </w:r>
      <w:commentRangeStart w:id="15"/>
      <w:commentRangeStart w:id="16"/>
      <w:r w:rsidR="0048071C">
        <w:rPr>
          <w:rFonts w:ascii="Times New Roman" w:eastAsiaTheme="minorEastAsia" w:hAnsi="Times New Roman" w:cs="Times New Roman"/>
          <w:sz w:val="22"/>
        </w:rPr>
        <w:t xml:space="preserve">We use these improved estimates </w:t>
      </w:r>
      <w:commentRangeEnd w:id="15"/>
      <w:r w:rsidR="0048071C">
        <w:rPr>
          <w:rStyle w:val="CommentReference"/>
        </w:rPr>
        <w:commentReference w:id="15"/>
      </w:r>
      <w:commentRangeEnd w:id="16"/>
      <w:r w:rsidR="0048071C">
        <w:rPr>
          <w:rStyle w:val="CommentReference"/>
        </w:rPr>
        <w:commentReference w:id="16"/>
      </w:r>
      <w:r w:rsidR="0048071C">
        <w:rPr>
          <w:rFonts w:ascii="Times New Roman" w:eastAsiaTheme="minorEastAsia" w:hAnsi="Times New Roman" w:cs="Times New Roman"/>
          <w:sz w:val="22"/>
        </w:rPr>
        <w:t>to calculate a final Jacobian matrix update.</w:t>
      </w:r>
    </w:p>
    <w:p w14:paraId="400323AB" w14:textId="0E8E5313" w:rsidR="002162E2" w:rsidRDefault="002162E2" w:rsidP="002178BA">
      <w:pPr>
        <w:rPr>
          <w:rFonts w:ascii="Times New Roman" w:eastAsiaTheme="minorEastAsia" w:hAnsi="Times New Roman" w:cs="Times New Roman"/>
          <w:sz w:val="22"/>
        </w:rPr>
      </w:pPr>
    </w:p>
    <w:p w14:paraId="5EDE1DDB" w14:textId="4211C418"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17"/>
      <w:r w:rsidR="00C350EE" w:rsidRPr="00FF3655">
        <w:rPr>
          <w:rFonts w:ascii="Times New Roman" w:eastAsiaTheme="minorEastAsia" w:hAnsi="Times New Roman" w:cs="Times New Roman"/>
          <w:color w:val="FF0000"/>
          <w:sz w:val="22"/>
        </w:rPr>
        <w:t>ppb</w:t>
      </w:r>
      <w:commentRangeEnd w:id="17"/>
      <w:r w:rsidR="002315A1">
        <w:rPr>
          <w:rStyle w:val="CommentReference"/>
        </w:rPr>
        <w:commentReference w:id="17"/>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3F4CD7"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7584289B"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16255C43"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errors associated with the Jacobian matrix estimate.</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42832838" w14:textId="47E139FD" w:rsidR="00F61781" w:rsidRDefault="00F61781" w:rsidP="007367C6">
      <w:pPr>
        <w:rPr>
          <w:rFonts w:ascii="Times New Roman" w:hAnsi="Times New Roman" w:cs="Times New Roman"/>
          <w:color w:val="FF0000"/>
          <w:sz w:val="22"/>
        </w:rPr>
      </w:pPr>
      <w:r>
        <w:rPr>
          <w:rFonts w:ascii="Times New Roman" w:hAnsi="Times New Roman" w:cs="Times New Roman"/>
          <w:color w:val="FF0000"/>
          <w:sz w:val="22"/>
        </w:rPr>
        <w:t>### These paragraphs have been edited, but I am rewriting them with the updated method ###</w:t>
      </w:r>
    </w:p>
    <w:p w14:paraId="68A81ACD" w14:textId="77777777" w:rsidR="00F61781" w:rsidRDefault="00F61781" w:rsidP="007367C6">
      <w:pPr>
        <w:rPr>
          <w:rFonts w:ascii="Times New Roman" w:hAnsi="Times New Roman" w:cs="Times New Roman"/>
          <w:color w:val="FF0000"/>
          <w:sz w:val="22"/>
        </w:rPr>
      </w:pPr>
    </w:p>
    <w:p w14:paraId="6E1F2BA4" w14:textId="2C1CD1C4" w:rsidR="007367C6" w:rsidRPr="00E74B72" w:rsidRDefault="007367C6" w:rsidP="007367C6">
      <w:pPr>
        <w:rPr>
          <w:rFonts w:ascii="epsilon" w:eastAsiaTheme="minorEastAsia" w:hAnsi="epsilon" w:cs="Times New Roman"/>
          <w:color w:val="FF0000"/>
          <w:sz w:val="22"/>
        </w:rPr>
      </w:pPr>
      <w:r w:rsidRPr="00E74B72">
        <w:rPr>
          <w:rFonts w:ascii="Times New Roman" w:hAnsi="Times New Roman" w:cs="Times New Roman"/>
          <w:color w:val="FF0000"/>
          <w:sz w:val="22"/>
        </w:rPr>
        <w:t xml:space="preserve">In an inverse system with a known native-resolution Jacobian matrix </w:t>
      </w:r>
      <w:r w:rsidRPr="00E74B72">
        <w:rPr>
          <w:rFonts w:ascii="Times New Roman" w:hAnsi="Times New Roman" w:cs="Times New Roman"/>
          <w:b/>
          <w:color w:val="FF0000"/>
          <w:sz w:val="22"/>
        </w:rPr>
        <w:t>K</w:t>
      </w:r>
      <w:r w:rsidRPr="00E74B72">
        <w:rPr>
          <w:rFonts w:ascii="Times New Roman" w:hAnsi="Times New Roman" w:cs="Times New Roman"/>
          <w:color w:val="FF0000"/>
          <w:sz w:val="22"/>
        </w:rPr>
        <w:t xml:space="preserve">, a multiscale grid can be constructed that maintains the native state vector resolution where the information content, as given by the diagonal elements of the corresponding averaging kernel </w:t>
      </w:r>
      <w:r w:rsidRPr="00E74B72">
        <w:rPr>
          <w:rFonts w:ascii="Times New Roman" w:hAnsi="Times New Roman" w:cs="Times New Roman"/>
          <w:b/>
          <w:color w:val="FF0000"/>
          <w:sz w:val="22"/>
        </w:rPr>
        <w:t>A</w:t>
      </w:r>
      <w:r w:rsidRPr="00E74B72">
        <w:rPr>
          <w:rFonts w:ascii="Times New Roman" w:hAnsi="Times New Roman" w:cs="Times New Roman"/>
          <w:color w:val="FF0000"/>
          <w:sz w:val="22"/>
        </w:rPr>
        <w:t xml:space="preserve">, is highest </w:t>
      </w:r>
      <w:commentRangeStart w:id="18"/>
      <w:commentRangeStart w:id="19"/>
      <w:r w:rsidRPr="00E74B72">
        <w:rPr>
          <w:rFonts w:ascii="Times New Roman" w:hAnsi="Times New Roman" w:cs="Times New Roman"/>
          <w:color w:val="FF0000"/>
          <w:sz w:val="22"/>
        </w:rPr>
        <w:t>and aggregates together grid cells elsewhere</w:t>
      </w:r>
      <w:commentRangeEnd w:id="18"/>
      <w:r w:rsidRPr="00E74B72">
        <w:rPr>
          <w:rStyle w:val="CommentReference"/>
          <w:color w:val="FF0000"/>
        </w:rPr>
        <w:commentReference w:id="18"/>
      </w:r>
      <w:commentRangeEnd w:id="19"/>
      <w:r w:rsidR="00FF3655" w:rsidRPr="00E74B72">
        <w:rPr>
          <w:rStyle w:val="CommentReference"/>
          <w:color w:val="FF0000"/>
        </w:rPr>
        <w:commentReference w:id="19"/>
      </w:r>
      <w:r w:rsidRPr="00E74B72">
        <w:rPr>
          <w:rFonts w:ascii="Times New Roman" w:hAnsi="Times New Roman" w:cs="Times New Roman"/>
          <w:color w:val="FF0000"/>
          <w:sz w:val="22"/>
        </w:rPr>
        <w:t xml:space="preserve">. An example of such a grid is shown by the upper right panel of Figure 1. Grid cells can be aggregated </w:t>
      </w:r>
      <w:commentRangeStart w:id="20"/>
      <w:commentRangeStart w:id="21"/>
      <w:r w:rsidRPr="00E74B72">
        <w:rPr>
          <w:rFonts w:ascii="Times New Roman" w:hAnsi="Times New Roman" w:cs="Times New Roman"/>
          <w:color w:val="FF0000"/>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20"/>
      <w:r w:rsidRPr="00E74B72">
        <w:rPr>
          <w:rStyle w:val="CommentReference"/>
          <w:color w:val="FF0000"/>
        </w:rPr>
        <w:commentReference w:id="20"/>
      </w:r>
      <w:commentRangeEnd w:id="21"/>
      <w:r w:rsidR="00FF3655" w:rsidRPr="00E74B72">
        <w:rPr>
          <w:rStyle w:val="CommentReference"/>
          <w:color w:val="FF0000"/>
        </w:rPr>
        <w:commentReference w:id="21"/>
      </w:r>
      <w:r w:rsidRPr="00E74B72">
        <w:rPr>
          <w:rFonts w:ascii="Times New Roman" w:hAnsi="Times New Roman" w:cs="Times New Roman"/>
          <w:color w:val="FF0000"/>
          <w:sz w:val="22"/>
        </w:rPr>
        <w:t xml:space="preserve"> A reduced-dimension Jacobian matrix </w:t>
      </w:r>
      <m:oMath>
        <m:sSub>
          <m:sSubPr>
            <m:ctrlPr>
              <w:rPr>
                <w:rFonts w:ascii="Cambria Math" w:hAnsi="Cambria Math" w:cs="Times New Roman"/>
                <w:b/>
                <w:color w:val="FF0000"/>
                <w:sz w:val="22"/>
              </w:rPr>
            </m:ctrlPr>
          </m:sSubPr>
          <m:e>
            <m:r>
              <m:rPr>
                <m:sty m:val="b"/>
              </m:rPr>
              <w:rPr>
                <w:rFonts w:ascii="Cambria Math" w:hAnsi="Cambria Math" w:cs="Times New Roman"/>
                <w:color w:val="FF0000"/>
                <w:sz w:val="22"/>
              </w:rPr>
              <m:t>K</m:t>
            </m:r>
          </m:e>
          <m:sub>
            <m:r>
              <m:rPr>
                <m:sty m:val="p"/>
              </m:rPr>
              <w:rPr>
                <w:rFonts w:ascii="Cambria Math" w:eastAsiaTheme="minorEastAsia" w:hAnsi="Cambria Math" w:cs="Times New Roman"/>
                <w:color w:val="FF0000"/>
                <w:sz w:val="22"/>
              </w:rPr>
              <m:t>mg</m:t>
            </m:r>
            <m:ctrlPr>
              <w:rPr>
                <w:rFonts w:ascii="Cambria Math" w:hAnsi="Cambria Math" w:cs="Times New Roman"/>
                <w:i/>
                <w:color w:val="FF0000"/>
                <w:sz w:val="22"/>
              </w:rPr>
            </m:ctrlPr>
          </m:sub>
        </m:sSub>
      </m:oMath>
      <w:r w:rsidRPr="00E74B72">
        <w:rPr>
          <w:rFonts w:ascii="Times New Roman" w:eastAsiaTheme="minorEastAsia" w:hAnsi="Times New Roman" w:cs="Times New Roman"/>
          <w:color w:val="FF0000"/>
          <w:sz w:val="22"/>
        </w:rPr>
        <w:t xml:space="preserve"> </w:t>
      </w:r>
      <w:r w:rsidRPr="00E74B72">
        <w:rPr>
          <w:rFonts w:ascii="Times New Roman" w:hAnsi="Times New Roman" w:cs="Times New Roman"/>
          <w:color w:val="FF0000"/>
          <w:sz w:val="22"/>
        </w:rPr>
        <w:t>can then be constructed on the multiscale grid by running the forward model for perturbations of each grid element.</w:t>
      </w:r>
    </w:p>
    <w:p w14:paraId="4C332492" w14:textId="7822AA9A" w:rsidR="00D66952" w:rsidRPr="00E74B72" w:rsidRDefault="00D66952" w:rsidP="00786BB7">
      <w:pPr>
        <w:rPr>
          <w:rFonts w:ascii="Times New Roman" w:hAnsi="Times New Roman" w:cs="Times New Roman"/>
          <w:b/>
          <w:color w:val="FF0000"/>
          <w:sz w:val="22"/>
        </w:rPr>
      </w:pPr>
    </w:p>
    <w:p w14:paraId="2F32F074" w14:textId="1E0DA128" w:rsidR="00F94D82" w:rsidRPr="00E74B72" w:rsidRDefault="00F94D82" w:rsidP="00F94D82">
      <w:pPr>
        <w:rPr>
          <w:rFonts w:ascii="Times New Roman" w:eastAsiaTheme="minorEastAsia" w:hAnsi="Times New Roman" w:cs="Times New Roman"/>
          <w:color w:val="FF0000"/>
          <w:sz w:val="22"/>
        </w:rPr>
      </w:pPr>
      <w:r w:rsidRPr="00E74B72">
        <w:rPr>
          <w:rFonts w:ascii="Times New Roman" w:hAnsi="Times New Roman" w:cs="Times New Roman"/>
          <w:color w:val="FF0000"/>
          <w:sz w:val="22"/>
        </w:rPr>
        <w:t xml:space="preserve">Here we use the same approach beginning with our initial estimate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K</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in a </w:t>
      </w:r>
      <w:r w:rsidR="00313F9F" w:rsidRPr="00E74B72">
        <w:rPr>
          <w:rFonts w:ascii="Times New Roman" w:hAnsi="Times New Roman" w:cs="Times New Roman"/>
          <w:color w:val="FF0000"/>
          <w:sz w:val="22"/>
        </w:rPr>
        <w:t>two-step update</w:t>
      </w:r>
      <w:r w:rsidRPr="00E74B72">
        <w:rPr>
          <w:rFonts w:ascii="Times New Roman" w:hAnsi="Times New Roman" w:cs="Times New Roman"/>
          <w:color w:val="FF0000"/>
          <w:sz w:val="22"/>
        </w:rPr>
        <w:t xml:space="preserve"> process</w:t>
      </w:r>
      <w:r w:rsidR="00313F9F" w:rsidRPr="00E74B72">
        <w:rPr>
          <w:rFonts w:ascii="Times New Roman" w:hAnsi="Times New Roman" w:cs="Times New Roman"/>
          <w:color w:val="FF0000"/>
          <w:sz w:val="22"/>
        </w:rPr>
        <w:t xml:space="preserve"> that iteratively improves </w:t>
      </w:r>
      <w:r w:rsidR="00F05740" w:rsidRPr="00E74B72">
        <w:rPr>
          <w:rFonts w:ascii="Times New Roman" w:hAnsi="Times New Roman" w:cs="Times New Roman"/>
          <w:color w:val="FF0000"/>
          <w:sz w:val="22"/>
        </w:rPr>
        <w:t>an initial</w:t>
      </w:r>
      <w:r w:rsidR="00313F9F" w:rsidRPr="00E74B72">
        <w:rPr>
          <w:rFonts w:ascii="Times New Roman" w:hAnsi="Times New Roman" w:cs="Times New Roman"/>
          <w:color w:val="FF0000"/>
          <w:sz w:val="22"/>
        </w:rPr>
        <w:t xml:space="preserve"> estimate of the inverse system’s information content. </w:t>
      </w:r>
      <w:r w:rsidR="00A8489C" w:rsidRPr="00E74B72">
        <w:rPr>
          <w:rFonts w:ascii="Times New Roman" w:eastAsiaTheme="minorEastAsia" w:hAnsi="Times New Roman" w:cs="Times New Roman"/>
          <w:color w:val="FF0000"/>
          <w:sz w:val="22"/>
        </w:rPr>
        <w:t>We</w:t>
      </w:r>
      <w:r w:rsidR="00ED6D4A" w:rsidRPr="00E74B72">
        <w:rPr>
          <w:rFonts w:ascii="Times New Roman" w:eastAsiaTheme="minorEastAsia" w:hAnsi="Times New Roman" w:cs="Times New Roman"/>
          <w:color w:val="FF0000"/>
          <w:sz w:val="22"/>
        </w:rPr>
        <w:t xml:space="preserve"> construct a</w:t>
      </w:r>
      <w:r w:rsidR="003E6ECC" w:rsidRPr="00E74B72">
        <w:rPr>
          <w:rFonts w:ascii="Times New Roman" w:eastAsiaTheme="minorEastAsia" w:hAnsi="Times New Roman" w:cs="Times New Roman"/>
          <w:color w:val="FF0000"/>
          <w:sz w:val="22"/>
        </w:rPr>
        <w:t>n initial</w:t>
      </w:r>
      <w:r w:rsidR="00ED6D4A" w:rsidRPr="00E74B72">
        <w:rPr>
          <w:rFonts w:ascii="Times New Roman" w:eastAsiaTheme="minorEastAsia" w:hAnsi="Times New Roman" w:cs="Times New Roman"/>
          <w:color w:val="FF0000"/>
          <w:sz w:val="22"/>
        </w:rPr>
        <w:t xml:space="preserve"> multiscale grid</w:t>
      </w:r>
      <w:r w:rsidR="00462F96" w:rsidRPr="00E74B72">
        <w:rPr>
          <w:rFonts w:ascii="Times New Roman" w:eastAsiaTheme="minorEastAsia" w:hAnsi="Times New Roman" w:cs="Times New Roman"/>
          <w:color w:val="FF0000"/>
          <w:sz w:val="22"/>
        </w:rPr>
        <w:t xml:space="preserve"> </w:t>
      </w:r>
      <w:r w:rsidR="00FF3655" w:rsidRPr="00E74B72">
        <w:rPr>
          <w:rFonts w:ascii="Times New Roman" w:eastAsiaTheme="minorEastAsia" w:hAnsi="Times New Roman" w:cs="Times New Roman"/>
          <w:color w:val="FF0000"/>
          <w:sz w:val="22"/>
        </w:rPr>
        <w:t xml:space="preserve">using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A</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00FF3655" w:rsidRPr="00E74B72">
        <w:rPr>
          <w:rFonts w:ascii="Times New Roman" w:eastAsiaTheme="minorEastAsia" w:hAnsi="Times New Roman" w:cs="Times New Roman"/>
          <w:color w:val="FF0000"/>
          <w:sz w:val="22"/>
        </w:rPr>
        <w:t xml:space="preserve"> </w:t>
      </w:r>
      <w:r w:rsidR="00BA0C88" w:rsidRPr="00E74B72">
        <w:rPr>
          <w:rFonts w:ascii="Times New Roman" w:eastAsiaTheme="minorEastAsia" w:hAnsi="Times New Roman" w:cs="Times New Roman"/>
          <w:color w:val="FF0000"/>
          <w:sz w:val="22"/>
        </w:rPr>
        <w:t xml:space="preserve">and </w:t>
      </w:r>
      <w:r w:rsidR="00FF3655" w:rsidRPr="00E74B72">
        <w:rPr>
          <w:rFonts w:ascii="Times New Roman" w:eastAsiaTheme="minorEastAsia" w:hAnsi="Times New Roman" w:cs="Times New Roman"/>
          <w:color w:val="FF0000"/>
          <w:sz w:val="22"/>
        </w:rPr>
        <w:t xml:space="preserve">generate </w:t>
      </w:r>
      <w:r w:rsidR="00BA0C88" w:rsidRPr="00E74B72">
        <w:rPr>
          <w:rFonts w:ascii="Times New Roman" w:eastAsiaTheme="minorEastAsia" w:hAnsi="Times New Roman" w:cs="Times New Roman"/>
          <w:color w:val="FF0000"/>
          <w:sz w:val="22"/>
        </w:rPr>
        <w:t xml:space="preserve">the associated </w:t>
      </w:r>
      <w:r w:rsidR="00EF435C" w:rsidRPr="00E74B72">
        <w:rPr>
          <w:rFonts w:ascii="Times New Roman" w:hAnsi="Times New Roman" w:cs="Times New Roman"/>
          <w:color w:val="FF0000"/>
          <w:sz w:val="22"/>
        </w:rPr>
        <w:t>reduced-dimension Jacobian</w:t>
      </w:r>
      <w:r w:rsidR="003E6ECC"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00396D56" w:rsidRPr="00E74B72">
        <w:rPr>
          <w:rFonts w:ascii="Times New Roman" w:eastAsiaTheme="minorEastAsia" w:hAnsi="Times New Roman" w:cs="Times New Roman"/>
          <w:color w:val="FF0000"/>
          <w:sz w:val="22"/>
        </w:rPr>
        <w:t xml:space="preserve"> by running the forward model </w:t>
      </w:r>
      <w:r w:rsidR="00403605" w:rsidRPr="00E74B72">
        <w:rPr>
          <w:rFonts w:ascii="Times New Roman" w:eastAsiaTheme="minorEastAsia" w:hAnsi="Times New Roman" w:cs="Times New Roman"/>
          <w:color w:val="FF0000"/>
          <w:sz w:val="22"/>
        </w:rPr>
        <w:t>for each element of the grid. This</w:t>
      </w:r>
      <w:r w:rsidR="00EF435C" w:rsidRPr="00E74B72">
        <w:rPr>
          <w:rFonts w:ascii="Times New Roman" w:eastAsiaTheme="minorEastAsia" w:hAnsi="Times New Roman" w:cs="Times New Roman"/>
          <w:color w:val="FF0000"/>
          <w:sz w:val="22"/>
        </w:rPr>
        <w:t xml:space="preserve"> introduc</w:t>
      </w:r>
      <w:r w:rsidR="00403605" w:rsidRPr="00E74B72">
        <w:rPr>
          <w:rFonts w:ascii="Times New Roman" w:eastAsiaTheme="minorEastAsia" w:hAnsi="Times New Roman" w:cs="Times New Roman"/>
          <w:color w:val="FF0000"/>
          <w:sz w:val="22"/>
        </w:rPr>
        <w:t>es</w:t>
      </w:r>
      <w:r w:rsidR="00EF435C" w:rsidRPr="00E74B72">
        <w:rPr>
          <w:rFonts w:ascii="Times New Roman" w:eastAsiaTheme="minorEastAsia" w:hAnsi="Times New Roman" w:cs="Times New Roman"/>
          <w:color w:val="FF0000"/>
          <w:sz w:val="22"/>
        </w:rPr>
        <w:t xml:space="preserve"> information content from the forward model to the inverse system</w:t>
      </w:r>
      <w:r w:rsidRPr="00E74B72">
        <w:rPr>
          <w:rFonts w:ascii="Times New Roman" w:eastAsiaTheme="minorEastAsia" w:hAnsi="Times New Roman" w:cs="Times New Roman"/>
          <w:color w:val="FF0000"/>
          <w:sz w:val="22"/>
        </w:rPr>
        <w:t xml:space="preserve">. </w:t>
      </w:r>
      <w:commentRangeStart w:id="22"/>
      <w:commentRangeStart w:id="23"/>
      <w:r w:rsidRPr="00E74B72">
        <w:rPr>
          <w:rFonts w:ascii="Times New Roman" w:eastAsiaTheme="minorEastAsia" w:hAnsi="Times New Roman" w:cs="Times New Roman"/>
          <w:color w:val="FF0000"/>
          <w:sz w:val="22"/>
        </w:rPr>
        <w:t>We then disaggregate the clusters with highest information content and update the reduced-dimension Jacobian</w:t>
      </w:r>
      <w:commentRangeEnd w:id="22"/>
      <w:r w:rsidRPr="00E74B72">
        <w:rPr>
          <w:rStyle w:val="CommentReference"/>
          <w:color w:val="FF0000"/>
        </w:rPr>
        <w:commentReference w:id="22"/>
      </w:r>
      <w:commentRangeEnd w:id="23"/>
      <w:r w:rsidR="00FF3655" w:rsidRPr="00E74B72">
        <w:rPr>
          <w:rStyle w:val="CommentReference"/>
          <w:color w:val="FF0000"/>
        </w:rPr>
        <w:commentReference w:id="23"/>
      </w:r>
      <w:r w:rsidRPr="00E74B72">
        <w:rPr>
          <w:rFonts w:ascii="Times New Roman" w:eastAsiaTheme="minorEastAsia" w:hAnsi="Times New Roman" w:cs="Times New Roman"/>
          <w:color w:val="FF0000"/>
          <w:sz w:val="22"/>
        </w:rPr>
        <w:t xml:space="preserve">, generating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Alternatively, w</w:t>
      </w:r>
      <w:r w:rsidRPr="00E74B72">
        <w:rPr>
          <w:rFonts w:ascii="Times New Roman" w:hAnsi="Times New Roman" w:cs="Times New Roman"/>
          <w:color w:val="FF0000"/>
          <w:sz w:val="22"/>
        </w:rPr>
        <w:t xml:space="preserve">e could </w:t>
      </w:r>
      <w:proofErr w:type="spellStart"/>
      <w:r w:rsidRPr="00E74B72">
        <w:rPr>
          <w:rFonts w:ascii="Times New Roman" w:hAnsi="Times New Roman" w:cs="Times New Roman"/>
          <w:color w:val="FF0000"/>
          <w:sz w:val="22"/>
        </w:rPr>
        <w:t>regrid</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b/>
          <w:color w:val="FF0000"/>
          <w:sz w:val="22"/>
        </w:rPr>
        <w:t xml:space="preserve"> </w:t>
      </w:r>
      <w:r w:rsidRPr="00E74B72">
        <w:rPr>
          <w:rFonts w:ascii="Times New Roman" w:hAnsi="Times New Roman" w:cs="Times New Roman"/>
          <w:color w:val="FF0000"/>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and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(1)</m:t>
            </m:r>
          </m:sup>
        </m:sSup>
      </m:oMath>
      <w:r w:rsidRPr="00E74B72">
        <w:rPr>
          <w:rFonts w:ascii="Times New Roman" w:eastAsiaTheme="minorEastAsia" w:hAnsi="Times New Roman" w:cs="Times New Roman"/>
          <w:color w:val="FF0000"/>
          <w:sz w:val="22"/>
        </w:rPr>
        <w:t xml:space="preserve"> is sufficiently large.</w:t>
      </w:r>
      <w:r w:rsidRPr="00E74B72">
        <w:rPr>
          <w:rFonts w:ascii="Times New Roman" w:hAnsi="Times New Roman" w:cs="Times New Roman"/>
          <w:color w:val="FF0000"/>
          <w:sz w:val="22"/>
        </w:rPr>
        <w:t xml:space="preserve"> </w:t>
      </w:r>
      <w:commentRangeStart w:id="24"/>
      <w:commentRangeStart w:id="25"/>
      <w:r w:rsidRPr="00E74B72">
        <w:rPr>
          <w:rFonts w:ascii="Times New Roman" w:hAnsi="Times New Roman" w:cs="Times New Roman"/>
          <w:color w:val="FF0000"/>
          <w:sz w:val="22"/>
        </w:rPr>
        <w:t xml:space="preserve">However, </w:t>
      </w:r>
      <w:proofErr w:type="spellStart"/>
      <w:r w:rsidRPr="00E74B72">
        <w:rPr>
          <w:rFonts w:ascii="Times New Roman" w:hAnsi="Times New Roman" w:cs="Times New Roman"/>
          <w:color w:val="FF0000"/>
          <w:sz w:val="22"/>
        </w:rPr>
        <w:t>regridding</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hAnsi="Times New Roman" w:cs="Times New Roman"/>
          <w:color w:val="FF0000"/>
          <w:sz w:val="22"/>
        </w:rPr>
        <w:t xml:space="preserve"> requires the introduction of additional information regarding the distribution of sensitivities.</w:t>
      </w:r>
      <w:commentRangeEnd w:id="24"/>
      <w:r w:rsidRPr="00E74B72">
        <w:rPr>
          <w:rStyle w:val="CommentReference"/>
          <w:color w:val="FF0000"/>
        </w:rPr>
        <w:commentReference w:id="24"/>
      </w:r>
      <w:commentRangeEnd w:id="25"/>
      <w:r w:rsidR="00FF3655" w:rsidRPr="00E74B72">
        <w:rPr>
          <w:rStyle w:val="CommentReference"/>
          <w:color w:val="FF0000"/>
        </w:rPr>
        <w:commentReference w:id="25"/>
      </w:r>
    </w:p>
    <w:p w14:paraId="1C8EA306" w14:textId="246A7968" w:rsidR="00EF435C" w:rsidRPr="00E74B72" w:rsidRDefault="00EF435C" w:rsidP="00786BB7">
      <w:pPr>
        <w:rPr>
          <w:rFonts w:ascii="Times New Roman" w:eastAsiaTheme="minorEastAsia" w:hAnsi="Times New Roman" w:cs="Times New Roman"/>
          <w:color w:val="FF0000"/>
          <w:sz w:val="22"/>
        </w:rPr>
      </w:pPr>
    </w:p>
    <w:p w14:paraId="542BDDEC" w14:textId="77777777" w:rsidR="00FF3655" w:rsidRPr="00E74B72" w:rsidRDefault="00FF3655" w:rsidP="00FF3655">
      <w:pPr>
        <w:rPr>
          <w:rFonts w:ascii="Times New Roman" w:eastAsiaTheme="minorEastAsia" w:hAnsi="Times New Roman" w:cs="Times New Roman"/>
          <w:color w:val="FF0000"/>
          <w:sz w:val="22"/>
        </w:rPr>
      </w:pPr>
      <w:r w:rsidRPr="00E74B72">
        <w:rPr>
          <w:rFonts w:ascii="Times New Roman" w:eastAsiaTheme="minorEastAsia" w:hAnsi="Times New Roman" w:cs="Times New Roman"/>
          <w:color w:val="FF0000"/>
          <w:sz w:val="22"/>
        </w:rPr>
        <w:t xml:space="preserve">The information content associated with both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color w:val="FF0000"/>
          <w:sz w:val="22"/>
        </w:rPr>
        <w:t xml:space="preserve"> and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includes contributions from prior emissions estimates, the observations, and the forward model. As a result, there is rapid convergence and we find that there is no need for further iteration. </w:t>
      </w:r>
      <w:r w:rsidRPr="00E74B72">
        <w:rPr>
          <w:rFonts w:ascii="Times New Roman" w:hAnsi="Times New Roman" w:cs="Times New Roman"/>
          <w:color w:val="FF0000"/>
          <w:sz w:val="22"/>
        </w:rPr>
        <w:t xml:space="preserve">We therefore take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as our Jacobian matrix. T</w:t>
      </w:r>
      <w:r w:rsidRPr="00E74B72">
        <w:rPr>
          <w:rFonts w:ascii="Times New Roman" w:hAnsi="Times New Roman" w:cs="Times New Roman"/>
          <w:color w:val="FF0000"/>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color w:val="FF0000"/>
                <w:sz w:val="22"/>
              </w:rPr>
            </m:ctrlPr>
          </m:sSupPr>
          <m:e>
            <m:r>
              <m:rPr>
                <m:sty m:val="b"/>
              </m:rPr>
              <w:rPr>
                <w:rFonts w:ascii="Cambria Math" w:eastAsiaTheme="minorEastAsia" w:hAnsi="Cambria Math" w:cs="Times New Roman"/>
                <w:color w:val="FF0000"/>
                <w:sz w:val="22"/>
              </w:rPr>
              <m:t>Γ</m:t>
            </m:r>
          </m:e>
          <m:sup>
            <m:r>
              <m:rPr>
                <m:sty m:val="b"/>
              </m:rPr>
              <w:rPr>
                <w:rFonts w:ascii="Cambria Math" w:eastAsiaTheme="minorEastAsia" w:hAnsi="Cambria Math" w:cs="Times New Roman"/>
                <w:color w:val="FF0000"/>
                <w:sz w:val="22"/>
              </w:rPr>
              <m:t>*</m:t>
            </m:r>
          </m:sup>
        </m:sSup>
      </m:oMath>
      <w:r w:rsidRPr="00E74B72">
        <w:rPr>
          <w:rFonts w:ascii="Times New Roman" w:eastAsiaTheme="minorEastAsia" w:hAnsi="Times New Roman" w:cs="Times New Roman"/>
          <w:b/>
          <w:color w:val="FF0000"/>
          <w:sz w:val="22"/>
        </w:rPr>
        <w:t xml:space="preserve"> </w:t>
      </w:r>
      <w:r w:rsidRPr="00E74B72">
        <w:rPr>
          <w:rFonts w:ascii="Times New Roman" w:eastAsiaTheme="minorEastAsia" w:hAnsi="Times New Roman" w:cs="Times New Roman"/>
          <w:color w:val="FF0000"/>
          <w:sz w:val="22"/>
        </w:rPr>
        <w:t xml:space="preserve">(equation 8) corresponding to the dimension reducing transformation </w:t>
      </w:r>
      <m:oMath>
        <m:r>
          <m:rPr>
            <m:sty m:val="b"/>
          </m:rPr>
          <w:rPr>
            <w:rFonts w:ascii="Cambria Math" w:eastAsiaTheme="minorEastAsia" w:hAnsi="Cambria Math" w:cs="Times New Roman"/>
            <w:color w:val="FF0000"/>
            <w:sz w:val="22"/>
          </w:rPr>
          <m:t>Γ</m:t>
        </m:r>
      </m:oMath>
      <w:r w:rsidRPr="00E74B72">
        <w:rPr>
          <w:rFonts w:ascii="Times New Roman" w:eastAsiaTheme="minorEastAsia" w:hAnsi="Times New Roman" w:cs="Times New Roman"/>
          <w:color w:val="FF0000"/>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lastRenderedPageBreak/>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55C5EBF2"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w:t>
      </w:r>
      <w:commentRangeStart w:id="26"/>
      <w:commentRangeStart w:id="27"/>
      <w:r>
        <w:rPr>
          <w:rFonts w:ascii="Times New Roman" w:hAnsi="Times New Roman" w:cs="Times New Roman"/>
          <w:sz w:val="22"/>
        </w:rPr>
        <w:t xml:space="preserve">constructed by calculating the linear relationship between emissions and observations for the most important patterns of information content rather than grid cells, as in all previous examples. </w:t>
      </w:r>
      <w:commentRangeEnd w:id="26"/>
      <w:r>
        <w:rPr>
          <w:rStyle w:val="CommentReference"/>
        </w:rPr>
        <w:commentReference w:id="26"/>
      </w:r>
      <w:commentRangeEnd w:id="27"/>
      <w:r w:rsidR="00452E11">
        <w:rPr>
          <w:rStyle w:val="CommentReference"/>
        </w:rPr>
        <w:commentReference w:id="27"/>
      </w:r>
      <w:r>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 xml:space="preserve">the </w:t>
      </w:r>
      <w:commentRangeStart w:id="28"/>
      <w:r w:rsidR="00E1559C">
        <w:rPr>
          <w:rFonts w:ascii="Times New Roman" w:hAnsi="Times New Roman" w:cs="Times New Roman"/>
          <w:sz w:val="22"/>
        </w:rPr>
        <w:t xml:space="preserve">columns </w:t>
      </w:r>
      <w:commentRangeEnd w:id="28"/>
      <w:r w:rsidR="00452E11">
        <w:rPr>
          <w:rStyle w:val="CommentReference"/>
        </w:rPr>
        <w:commentReference w:id="28"/>
      </w:r>
      <w:r w:rsidR="00E1559C">
        <w:rPr>
          <w:rFonts w:ascii="Times New Roman" w:hAnsi="Times New Roman" w:cs="Times New Roman"/>
          <w:sz w:val="22"/>
        </w:rPr>
        <w:t>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452E11">
        <w:rPr>
          <w:rFonts w:ascii="Times New Roman" w:hAnsi="Times New Roman" w:cs="Times New Roman"/>
          <w:sz w:val="22"/>
        </w:rPr>
        <w:t xml:space="preserve"> selected</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4C123BBB" w:rsidR="008A2BE5" w:rsidRPr="008C390F" w:rsidRDefault="003F4CD7"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3821EE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w:t>
      </w:r>
      <w:commentRangeStart w:id="29"/>
      <w:commentRangeStart w:id="30"/>
      <w:r w:rsidR="00452E11">
        <w:rPr>
          <w:rFonts w:ascii="Times New Roman" w:eastAsiaTheme="minorEastAsia" w:hAnsi="Times New Roman" w:cs="Times New Roman"/>
          <w:sz w:val="22"/>
        </w:rPr>
        <w:t>This reduced-dimension Jacobian must be transformed to the original state dimension for use in analytic inversions.</w:t>
      </w:r>
      <w:commentRangeEnd w:id="29"/>
      <w:r w:rsidR="00452E11">
        <w:rPr>
          <w:rStyle w:val="CommentReference"/>
        </w:rPr>
        <w:commentReference w:id="29"/>
      </w:r>
      <w:commentRangeEnd w:id="30"/>
      <w:r w:rsidR="00452E11">
        <w:rPr>
          <w:rStyle w:val="CommentReference"/>
        </w:rPr>
        <w:commentReference w:id="30"/>
      </w:r>
      <w:r w:rsidR="00452E1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commentRangeStart w:id="31"/>
      <w:commentRangeStart w:id="32"/>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commentRangeEnd w:id="31"/>
      <w:r w:rsidR="00452E11" w:rsidRPr="000A6280">
        <w:rPr>
          <w:rStyle w:val="CommentReference"/>
          <w:color w:val="FF0000"/>
        </w:rPr>
        <w:commentReference w:id="31"/>
      </w:r>
      <w:commentRangeEnd w:id="32"/>
      <w:r w:rsidR="00452E11" w:rsidRPr="000A6280">
        <w:rPr>
          <w:rStyle w:val="CommentReference"/>
          <w:color w:val="FF0000"/>
        </w:rPr>
        <w:commentReference w:id="32"/>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commentRangeStart w:id="33"/>
      <w:commentRangeEnd w:id="33"/>
      <w:r w:rsidR="003D0E84" w:rsidRPr="000A6280">
        <w:rPr>
          <w:rStyle w:val="CommentReference"/>
          <w:color w:val="FF0000"/>
        </w:rPr>
        <w:commentReference w:id="33"/>
      </w:r>
      <w:commentRangeStart w:id="34"/>
      <w:commentRangeEnd w:id="34"/>
      <w:r w:rsidR="003D0E84" w:rsidRPr="000A6280">
        <w:rPr>
          <w:rStyle w:val="CommentReference"/>
          <w:color w:val="FF0000"/>
        </w:rPr>
        <w:commentReference w:id="34"/>
      </w:r>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35"/>
      <w:commentRangeStart w:id="36"/>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End w:id="35"/>
      <w:r w:rsidR="00452E11">
        <w:rPr>
          <w:rStyle w:val="CommentReference"/>
        </w:rPr>
        <w:commentReference w:id="35"/>
      </w:r>
      <w:commentRangeEnd w:id="36"/>
      <w:r w:rsidR="00B012CE">
        <w:rPr>
          <w:rStyle w:val="CommentReference"/>
        </w:rPr>
        <w:commentReference w:id="36"/>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AA40923"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may underestimate the </w:t>
      </w:r>
      <w:r w:rsidR="003413AE">
        <w:rPr>
          <w:rFonts w:ascii="Times New Roman" w:eastAsiaTheme="minorEastAsia" w:hAnsi="Times New Roman" w:cs="Times New Roman"/>
          <w:sz w:val="22"/>
        </w:rPr>
        <w:t>information content</w:t>
      </w:r>
      <w:r w:rsidR="007247D9">
        <w:rPr>
          <w:rFonts w:ascii="Times New Roman" w:eastAsiaTheme="minorEastAsia" w:hAnsi="Times New Roman" w:cs="Times New Roman"/>
          <w:sz w:val="22"/>
        </w:rPr>
        <w:t xml:space="preserve"> relative to the </w:t>
      </w:r>
      <w:r w:rsidR="003413AE">
        <w:rPr>
          <w:rFonts w:ascii="Times New Roman" w:eastAsiaTheme="minorEastAsia" w:hAnsi="Times New Roman" w:cs="Times New Roman"/>
          <w:sz w:val="22"/>
        </w:rPr>
        <w:t>native-resolution</w:t>
      </w:r>
      <w:r w:rsidR="007247D9">
        <w:rPr>
          <w:rFonts w:ascii="Times New Roman" w:eastAsiaTheme="minorEastAsia" w:hAnsi="Times New Roman" w:cs="Times New Roman"/>
          <w:sz w:val="22"/>
        </w:rPr>
        <w:t xml:space="preserve"> inverse </w:t>
      </w:r>
      <w:commentRangeStart w:id="37"/>
      <w:commentRangeStart w:id="38"/>
      <w:r w:rsidR="007247D9">
        <w:rPr>
          <w:rFonts w:ascii="Times New Roman" w:eastAsiaTheme="minorEastAsia" w:hAnsi="Times New Roman" w:cs="Times New Roman"/>
          <w:sz w:val="22"/>
        </w:rPr>
        <w:t>system</w:t>
      </w:r>
      <w:r w:rsidR="003413AE">
        <w:rPr>
          <w:rFonts w:ascii="Times New Roman" w:eastAsiaTheme="minorEastAsia" w:hAnsi="Times New Roman" w:cs="Times New Roman"/>
          <w:sz w:val="22"/>
        </w:rPr>
        <w:t>,</w:t>
      </w:r>
      <w:r w:rsidR="007247D9">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it is more</w:t>
      </w:r>
      <w:r w:rsidR="007247D9">
        <w:rPr>
          <w:rFonts w:ascii="Times New Roman" w:eastAsiaTheme="minorEastAsia" w:hAnsi="Times New Roman" w:cs="Times New Roman"/>
          <w:sz w:val="22"/>
        </w:rPr>
        <w:t xml:space="preserve"> likely to accurately capture the spectrum of information content</w:t>
      </w:r>
      <w:r w:rsidR="003413AE">
        <w:rPr>
          <w:rFonts w:ascii="Times New Roman" w:eastAsiaTheme="minorEastAsia" w:hAnsi="Times New Roman" w:cs="Times New Roman"/>
          <w:sz w:val="22"/>
        </w:rPr>
        <w:t xml:space="preserve">: the introduction of </w:t>
      </w:r>
      <w:r w:rsidR="007247D9">
        <w:rPr>
          <w:rFonts w:ascii="Times New Roman" w:eastAsiaTheme="minorEastAsia" w:hAnsi="Times New Roman" w:cs="Times New Roman"/>
          <w:sz w:val="22"/>
        </w:rPr>
        <w:t xml:space="preserve">information content from the forward model is unlikely to </w:t>
      </w:r>
      <w:r w:rsidR="003413AE">
        <w:rPr>
          <w:rFonts w:ascii="Times New Roman" w:eastAsiaTheme="minorEastAsia" w:hAnsi="Times New Roman" w:cs="Times New Roman"/>
          <w:sz w:val="22"/>
        </w:rPr>
        <w:t xml:space="preserve">significantly </w:t>
      </w:r>
      <w:r w:rsidR="007247D9">
        <w:rPr>
          <w:rFonts w:ascii="Times New Roman" w:eastAsiaTheme="minorEastAsia" w:hAnsi="Times New Roman" w:cs="Times New Roman"/>
          <w:sz w:val="22"/>
        </w:rPr>
        <w:t xml:space="preserve">change the rate at which information content </w:t>
      </w:r>
      <w:r w:rsidR="003413AE">
        <w:rPr>
          <w:rFonts w:ascii="Times New Roman" w:eastAsiaTheme="minorEastAsia" w:hAnsi="Times New Roman" w:cs="Times New Roman"/>
          <w:sz w:val="22"/>
        </w:rPr>
        <w:t>accumulates</w:t>
      </w:r>
      <w:r w:rsidR="007247D9">
        <w:rPr>
          <w:rFonts w:ascii="Times New Roman" w:eastAsiaTheme="minorEastAsia" w:hAnsi="Times New Roman" w:cs="Times New Roman"/>
          <w:sz w:val="22"/>
        </w:rPr>
        <w:t xml:space="preserve"> with increasing eigenvector index.</w:t>
      </w:r>
      <w:commentRangeEnd w:id="37"/>
      <w:r w:rsidR="007247D9">
        <w:rPr>
          <w:rStyle w:val="CommentReference"/>
        </w:rPr>
        <w:commentReference w:id="37"/>
      </w:r>
      <w:commentRangeEnd w:id="38"/>
      <w:r w:rsidR="007247D9">
        <w:rPr>
          <w:rStyle w:val="CommentReference"/>
        </w:rPr>
        <w:commentReference w:id="38"/>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257E00">
        <w:rPr>
          <w:rFonts w:ascii="Times New Roman" w:eastAsiaTheme="minorEastAsia" w:hAnsi="Times New Roman" w:cs="Times New Roman"/>
          <w:sz w:val="22"/>
        </w:rPr>
        <w:t>, reflecting both the improved estimate of information content and the goal of maximizing the information content contained in the reduced-rank approximation. 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w:t>
      </w:r>
      <w:r>
        <w:rPr>
          <w:rFonts w:ascii="Times New Roman" w:eastAsiaTheme="minorEastAsia" w:hAnsi="Times New Roman" w:cs="Times New Roman"/>
          <w:sz w:val="22"/>
        </w:rPr>
        <w:lastRenderedPageBreak/>
        <w:t xml:space="preserve">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commentRangeStart w:id="39"/>
      <w:r w:rsidR="007E07B6">
        <w:rPr>
          <w:rFonts w:ascii="Times New Roman" w:eastAsiaTheme="minorEastAsia" w:hAnsi="Times New Roman" w:cs="Times New Roman"/>
          <w:color w:val="000000" w:themeColor="text1"/>
          <w:sz w:val="22"/>
        </w:rPr>
        <w:t>.</w:t>
      </w:r>
      <w:commentRangeEnd w:id="39"/>
      <w:r w:rsidR="007E07B6">
        <w:rPr>
          <w:rStyle w:val="CommentReference"/>
        </w:rPr>
        <w:commentReference w:id="39"/>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0376146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704F70" w:rsidRPr="00704F70">
        <w:rPr>
          <w:rFonts w:ascii="Times New Roman" w:hAnsi="Times New Roman" w:cs="Times New Roman"/>
          <w:color w:val="000000" w:themeColor="text1"/>
          <w:sz w:val="22"/>
        </w:rPr>
        <w:t xml:space="preserve">We use GOSAT rather than TROPOMI because the data is currently better validated </w:t>
      </w:r>
      <w:r w:rsidR="00704F70" w:rsidRPr="00704F70">
        <w:rPr>
          <w:rFonts w:ascii="Times New Roman" w:hAnsi="Times New Roman" w:cs="Times New Roman"/>
          <w:color w:val="000000" w:themeColor="text1"/>
          <w:sz w:val="22"/>
        </w:rPr>
        <w:fldChar w:fldCharType="begin" w:fldLock="1"/>
      </w:r>
      <w:r w:rsidR="00704F70" w:rsidRPr="00704F70">
        <w:rPr>
          <w:rFonts w:ascii="Times New Roman" w:hAnsi="Times New Roman" w:cs="Times New Roman"/>
          <w:color w:val="000000" w:themeColor="text1"/>
          <w:sz w:val="22"/>
        </w:rPr>
        <w: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instrText>
      </w:r>
      <w:r w:rsidR="00704F70" w:rsidRPr="00704F70">
        <w:rPr>
          <w:rFonts w:ascii="Times New Roman" w:hAnsi="Times New Roman" w:cs="Times New Roman"/>
          <w:color w:val="000000" w:themeColor="text1"/>
          <w:sz w:val="22"/>
        </w:rPr>
        <w:fldChar w:fldCharType="separate"/>
      </w:r>
      <w:r w:rsidR="00704F70" w:rsidRPr="00704F70">
        <w:rPr>
          <w:rFonts w:ascii="Times New Roman" w:hAnsi="Times New Roman" w:cs="Times New Roman"/>
          <w:noProof/>
          <w:color w:val="000000" w:themeColor="text1"/>
          <w:sz w:val="22"/>
        </w:rPr>
        <w:t>(Buchwitz et al. 2015)</w:t>
      </w:r>
      <w:r w:rsidR="00704F70" w:rsidRPr="00704F70">
        <w:rPr>
          <w:rFonts w:ascii="Times New Roman" w:hAnsi="Times New Roman" w:cs="Times New Roman"/>
          <w:color w:val="000000" w:themeColor="text1"/>
          <w:sz w:val="22"/>
        </w:rPr>
        <w:fldChar w:fldCharType="end"/>
      </w:r>
      <w:r w:rsidR="0065633A">
        <w:rPr>
          <w:rFonts w:ascii="Times New Roman" w:hAnsi="Times New Roman" w:cs="Times New Roman"/>
          <w:color w:val="000000" w:themeColor="text1"/>
          <w:sz w:val="22"/>
        </w:rPr>
        <w:t>. It also 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40"/>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40"/>
      <w:r w:rsidR="00765894">
        <w:rPr>
          <w:rStyle w:val="CommentReference"/>
        </w:rPr>
        <w:commentReference w:id="40"/>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t>
      </w:r>
      <w:r w:rsidR="008D7C13">
        <w:rPr>
          <w:rFonts w:ascii="Times New Roman" w:hAnsi="Times New Roman" w:cs="Times New Roman"/>
          <w:color w:val="000000" w:themeColor="text1"/>
          <w:sz w:val="22"/>
        </w:rPr>
        <w:t xml:space="preserve">which </w:t>
      </w:r>
      <w:r w:rsidR="006E76AE">
        <w:rPr>
          <w:rFonts w:ascii="Times New Roman" w:hAnsi="Times New Roman" w:cs="Times New Roman"/>
          <w:color w:val="000000" w:themeColor="text1"/>
          <w:sz w:val="22"/>
        </w:rPr>
        <w:t xml:space="preserve">we anticipate will have </w:t>
      </w:r>
      <w:r w:rsidR="008D7C13">
        <w:rPr>
          <w:rFonts w:ascii="Times New Roman" w:hAnsi="Times New Roman" w:cs="Times New Roman"/>
          <w:color w:val="000000" w:themeColor="text1"/>
          <w:sz w:val="22"/>
        </w:rPr>
        <w:t xml:space="preserve">higher information content than the sparse GOSAT data, </w:t>
      </w:r>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content of our GOSAT inversion</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3F4CD7"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A22379D" w:rsidR="00A82E3B" w:rsidRPr="000A6536" w:rsidRDefault="006E76AE"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All inversions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2D2EF2" w:rsidRPr="000A6536">
        <w:rPr>
          <w:rFonts w:ascii="Times New Roman" w:hAnsi="Times New Roman" w:cs="Times New Roman"/>
          <w:color w:val="000000" w:themeColor="text1"/>
          <w:sz w:val="22"/>
        </w:rPr>
        <w:t xml:space="preserve">0.5º x 0.625º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a global 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simulation for July 200</w:t>
      </w:r>
      <w:r w:rsidR="000D099C" w:rsidRPr="000A6536">
        <w:rPr>
          <w:rFonts w:ascii="Times New Roman" w:hAnsi="Times New Roman" w:cs="Times New Roman"/>
          <w:color w:val="000000" w:themeColor="text1"/>
          <w:sz w:val="22"/>
        </w:rPr>
        <w:t xml:space="preserve">9 driven by </w:t>
      </w:r>
      <w:r w:rsidR="00435870" w:rsidRPr="000A6536">
        <w:rPr>
          <w:rFonts w:ascii="Times New Roman" w:hAnsi="Times New Roman" w:cs="Times New Roman"/>
          <w:color w:val="000000" w:themeColor="text1"/>
          <w:sz w:val="22"/>
        </w:rPr>
        <w:t>prior emissions with posterior scaling factors applied</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All inversions also use the prior emissions, prior 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 excluding glint data</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r w:rsidR="000A6536" w:rsidRPr="000A6536">
        <w:rPr>
          <w:rFonts w:ascii="Times New Roman" w:hAnsi="Times New Roman" w:cs="Times New Roman"/>
          <w:color w:val="000000" w:themeColor="text1"/>
          <w:sz w:val="22"/>
        </w:rPr>
        <w:t>that</w:t>
      </w:r>
      <w:r w:rsidR="008D7C13" w:rsidRPr="000A6536">
        <w:rPr>
          <w:rFonts w:ascii="Times New Roman" w:hAnsi="Times New Roman" w:cs="Times New Roman"/>
          <w:color w:val="000000" w:themeColor="text1"/>
          <w:sz w:val="22"/>
        </w:rPr>
        <w:t xml:space="preserve"> do not matter for the sake of our comparison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native-resolution Jacobian matrix, we use it to conduct all subsequent model simulations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7777777"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in the distribution of prior methane emissions because we define prior errors relative to the prior 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w:t>
      </w:r>
      <w:r w:rsidR="001F24B6" w:rsidRPr="00773FCE">
        <w:rPr>
          <w:rFonts w:ascii="Times New Roman" w:hAnsi="Times New Roman" w:cs="Times New Roman"/>
          <w:color w:val="000000" w:themeColor="text1"/>
          <w:sz w:val="22"/>
        </w:rPr>
        <w:lastRenderedPageBreak/>
        <w:t xml:space="preserve">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35141C21" w:rsidR="00327A6C" w:rsidRPr="002315A1"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xml:space="preserve">### This paragraph has not been edited ### </w:t>
      </w:r>
      <w:r w:rsidR="00A6735B"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00A6735B"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the Jacobian on a</w:t>
      </w:r>
      <w:r w:rsidR="00A6735B"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00A6735B"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00A6735B"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00A6735B" w:rsidRPr="002315A1">
        <w:rPr>
          <w:rFonts w:ascii="Times New Roman" w:eastAsiaTheme="minorEastAsia" w:hAnsi="Times New Roman" w:cs="Times New Roman"/>
          <w:color w:val="FF0000"/>
          <w:sz w:val="22"/>
        </w:rPr>
        <w:t>following Section 2.4 with a K-</w:t>
      </w:r>
      <w:commentRangeStart w:id="41"/>
      <w:commentRangeStart w:id="42"/>
      <w:r w:rsidR="00A6735B" w:rsidRPr="002315A1">
        <w:rPr>
          <w:rFonts w:ascii="Times New Roman" w:eastAsiaTheme="minorEastAsia" w:hAnsi="Times New Roman" w:cs="Times New Roman"/>
          <w:color w:val="FF0000"/>
          <w:sz w:val="22"/>
        </w:rPr>
        <w:t>means clustering aggregation scheme.</w:t>
      </w:r>
      <w:commentRangeEnd w:id="41"/>
      <w:r w:rsidR="00A6735B" w:rsidRPr="002315A1">
        <w:rPr>
          <w:rStyle w:val="CommentReference"/>
          <w:color w:val="FF0000"/>
        </w:rPr>
        <w:commentReference w:id="41"/>
      </w:r>
      <w:commentRangeEnd w:id="42"/>
      <w:r w:rsidR="004E3F02" w:rsidRPr="002315A1">
        <w:rPr>
          <w:rStyle w:val="CommentReference"/>
          <w:color w:val="FF0000"/>
        </w:rPr>
        <w:commentReference w:id="42"/>
      </w:r>
      <w:r w:rsidR="00A6735B"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00A6735B" w:rsidRPr="002315A1">
        <w:rPr>
          <w:rFonts w:ascii="Times New Roman" w:eastAsiaTheme="minorEastAsia" w:hAnsi="Times New Roman" w:cs="Times New Roman"/>
          <w:color w:val="FF0000"/>
          <w:sz w:val="22"/>
        </w:rPr>
        <w:t xml:space="preserve">ur initial grid </w:t>
      </w:r>
      <w:commentRangeStart w:id="43"/>
      <w:commentRangeStart w:id="44"/>
      <w:r w:rsidR="00A6735B"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00A6735B"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00A6735B"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00A6735B"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00A6735B" w:rsidRPr="002315A1">
        <w:rPr>
          <w:rFonts w:ascii="Times New Roman" w:eastAsiaTheme="minorEastAsia" w:hAnsi="Times New Roman" w:cs="Times New Roman"/>
          <w:color w:val="FF0000"/>
          <w:sz w:val="22"/>
        </w:rPr>
        <w:t xml:space="preserve">. </w:t>
      </w:r>
      <w:commentRangeEnd w:id="43"/>
      <w:r w:rsidR="00A6735B" w:rsidRPr="002315A1">
        <w:rPr>
          <w:rStyle w:val="CommentReference"/>
          <w:color w:val="FF0000"/>
        </w:rPr>
        <w:commentReference w:id="43"/>
      </w:r>
      <w:commentRangeEnd w:id="44"/>
      <w:r w:rsidR="004E3F02" w:rsidRPr="002315A1">
        <w:rPr>
          <w:rStyle w:val="CommentReference"/>
          <w:color w:val="FF0000"/>
        </w:rPr>
        <w:commentReference w:id="44"/>
      </w:r>
      <w:r w:rsidR="00A6735B"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00A6735B" w:rsidRPr="002315A1">
        <w:rPr>
          <w:rFonts w:ascii="Times New Roman" w:eastAsiaTheme="minorEastAsia" w:hAnsi="Times New Roman" w:cs="Times New Roman"/>
          <w:color w:val="FF0000"/>
          <w:sz w:val="22"/>
        </w:rPr>
        <w:t xml:space="preserve">with </w:t>
      </w:r>
      <w:commentRangeStart w:id="45"/>
      <w:commentRangeStart w:id="46"/>
      <w:r w:rsidR="00A6735B" w:rsidRPr="002315A1">
        <w:rPr>
          <w:rFonts w:ascii="Times New Roman" w:eastAsiaTheme="minorEastAsia" w:hAnsi="Times New Roman" w:cs="Times New Roman"/>
          <w:color w:val="FF0000"/>
          <w:sz w:val="22"/>
        </w:rPr>
        <w:t xml:space="preserve">the largest cluster containing </w:t>
      </w:r>
      <w:commentRangeStart w:id="47"/>
      <w:r w:rsidR="005F4B86"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15</w:t>
      </w:r>
      <w:commentRangeEnd w:id="47"/>
      <w:r w:rsidR="005F4B86" w:rsidRPr="002315A1">
        <w:rPr>
          <w:rStyle w:val="CommentReference"/>
          <w:color w:val="FF0000"/>
        </w:rPr>
        <w:commentReference w:id="47"/>
      </w:r>
      <w:r w:rsidR="00A6735B"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 xml:space="preserve"> </w:t>
      </w:r>
      <w:commentRangeEnd w:id="45"/>
      <w:r w:rsidR="00A6735B" w:rsidRPr="002315A1">
        <w:rPr>
          <w:rStyle w:val="CommentReference"/>
          <w:color w:val="FF0000"/>
        </w:rPr>
        <w:commentReference w:id="45"/>
      </w:r>
      <w:commentRangeEnd w:id="46"/>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46"/>
      </w:r>
      <w:r w:rsidR="00A6735B"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00A6735B"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00A6735B" w:rsidRPr="002315A1">
        <w:rPr>
          <w:rFonts w:ascii="Times New Roman" w:eastAsiaTheme="minorEastAsia" w:hAnsi="Times New Roman" w:cs="Times New Roman"/>
          <w:color w:val="FF0000"/>
          <w:sz w:val="22"/>
        </w:rPr>
        <w:t xml:space="preserve"> information content generated by the forward model, we </w:t>
      </w:r>
      <w:commentRangeStart w:id="48"/>
      <w:r w:rsidR="00A6735B"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48"/>
      <w:r w:rsidR="00A6735B" w:rsidRPr="002315A1">
        <w:rPr>
          <w:rStyle w:val="CommentReference"/>
          <w:color w:val="FF0000"/>
        </w:rPr>
        <w:commentReference w:id="48"/>
      </w:r>
      <w:r w:rsidR="00A6735B" w:rsidRPr="002315A1">
        <w:rPr>
          <w:rFonts w:ascii="Times New Roman" w:eastAsiaTheme="minorEastAsia" w:hAnsi="Times New Roman" w:cs="Times New Roman"/>
          <w:color w:val="FF0000"/>
          <w:sz w:val="22"/>
        </w:rPr>
        <w:t xml:space="preserve">. The final multiscale grid </w:t>
      </w:r>
      <w:commentRangeStart w:id="49"/>
      <w:r w:rsidR="00A6735B"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00A6735B" w:rsidRPr="002315A1">
        <w:rPr>
          <w:rFonts w:ascii="Times New Roman" w:eastAsiaTheme="minorEastAsia" w:hAnsi="Times New Roman" w:cs="Times New Roman"/>
          <w:color w:val="FF0000"/>
          <w:sz w:val="22"/>
        </w:rPr>
        <w:t>and the corresponding multiscale Jacobian requires ~550 model runs in total.</w:t>
      </w:r>
      <w:commentRangeEnd w:id="49"/>
      <w:r w:rsidR="00A6735B" w:rsidRPr="002315A1">
        <w:rPr>
          <w:rStyle w:val="CommentReference"/>
          <w:color w:val="FF0000"/>
        </w:rPr>
        <w:commentReference w:id="49"/>
      </w:r>
    </w:p>
    <w:p w14:paraId="76583B29" w14:textId="7B145C73" w:rsidR="006A0D5A" w:rsidRDefault="006A0D5A" w:rsidP="00B274AD">
      <w:pPr>
        <w:rPr>
          <w:rFonts w:ascii="Times New Roman" w:eastAsiaTheme="minorEastAsia" w:hAnsi="Times New Roman" w:cs="Times New Roman"/>
          <w:sz w:val="22"/>
        </w:rPr>
      </w:pPr>
    </w:p>
    <w:p w14:paraId="07D75889" w14:textId="7DF923D1" w:rsidR="00A6735B" w:rsidRPr="00491219"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This paragraph has not been edited ##</w:t>
      </w:r>
      <w:proofErr w:type="gramStart"/>
      <w:r>
        <w:rPr>
          <w:rFonts w:ascii="Times New Roman" w:eastAsiaTheme="minorEastAsia" w:hAnsi="Times New Roman" w:cs="Times New Roman"/>
          <w:color w:val="FF0000"/>
          <w:sz w:val="22"/>
        </w:rPr>
        <w:t xml:space="preserve"># </w:t>
      </w:r>
      <w:r>
        <w:rPr>
          <w:rFonts w:ascii="Times New Roman" w:eastAsiaTheme="minorEastAsia" w:hAnsi="Times New Roman" w:cs="Times New Roman"/>
          <w:color w:val="FF0000"/>
          <w:sz w:val="22"/>
        </w:rPr>
        <w:t xml:space="preserve"> </w:t>
      </w:r>
      <w:r w:rsidR="00A6735B" w:rsidRPr="00491219">
        <w:rPr>
          <w:rFonts w:ascii="Times New Roman" w:eastAsiaTheme="minorEastAsia" w:hAnsi="Times New Roman" w:cs="Times New Roman"/>
          <w:color w:val="FF0000"/>
          <w:sz w:val="22"/>
        </w:rPr>
        <w:t>Figure</w:t>
      </w:r>
      <w:proofErr w:type="gramEnd"/>
      <w:r w:rsidR="00A6735B" w:rsidRPr="00491219">
        <w:rPr>
          <w:rFonts w:ascii="Times New Roman" w:eastAsiaTheme="minorEastAsia" w:hAnsi="Times New Roman" w:cs="Times New Roman"/>
          <w:color w:val="FF0000"/>
          <w:sz w:val="22"/>
        </w:rPr>
        <w:t xml:space="preserve"> </w:t>
      </w:r>
      <w:r w:rsidR="003900FA" w:rsidRPr="00491219">
        <w:rPr>
          <w:rFonts w:ascii="Times New Roman" w:eastAsiaTheme="minorEastAsia" w:hAnsi="Times New Roman" w:cs="Times New Roman"/>
          <w:color w:val="FF0000"/>
          <w:sz w:val="22"/>
        </w:rPr>
        <w:t>3</w:t>
      </w:r>
      <w:r w:rsidR="00A6735B" w:rsidRPr="00491219">
        <w:rPr>
          <w:rFonts w:ascii="Times New Roman" w:eastAsiaTheme="minorEastAsia" w:hAnsi="Times New Roman" w:cs="Times New Roman"/>
          <w:color w:val="FF0000"/>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491219">
        <w:rPr>
          <w:rFonts w:ascii="Times New Roman" w:eastAsiaTheme="minorEastAsia" w:hAnsi="Times New Roman" w:cs="Times New Roman"/>
          <w:color w:val="FF0000"/>
          <w:sz w:val="22"/>
        </w:rPr>
        <w:t xml:space="preserve">Decreasing the dimension of the state vector increases the number of observations constraining each state vector element, decreasing the observational error covariance. As a result, we scale down the </w:t>
      </w:r>
      <w:r w:rsidR="00A6735B" w:rsidRPr="00491219">
        <w:rPr>
          <w:rFonts w:ascii="Times New Roman" w:eastAsiaTheme="minorEastAsia" w:hAnsi="Times New Roman" w:cs="Times New Roman"/>
          <w:color w:val="FF0000"/>
          <w:sz w:val="22"/>
        </w:rPr>
        <w:t>regularization factor introduced in equation (10) by the ratio of the new state vector dimension (</w:t>
      </w:r>
      <w:r w:rsidR="00C515FC" w:rsidRPr="00491219">
        <w:rPr>
          <w:rFonts w:ascii="Times New Roman" w:eastAsiaTheme="minorEastAsia" w:hAnsi="Times New Roman" w:cs="Times New Roman"/>
          <w:color w:val="FF0000"/>
          <w:sz w:val="22"/>
        </w:rPr>
        <w:t>553</w:t>
      </w:r>
      <w:r w:rsidR="00A6735B" w:rsidRPr="00491219">
        <w:rPr>
          <w:rFonts w:ascii="Times New Roman" w:eastAsiaTheme="minorEastAsia" w:hAnsi="Times New Roman" w:cs="Times New Roman"/>
          <w:color w:val="FF0000"/>
          <w:sz w:val="22"/>
        </w:rPr>
        <w:t xml:space="preserve">) to the native state vector dimension (2,098). Figure </w:t>
      </w:r>
      <w:r w:rsidR="003900FA" w:rsidRPr="00491219">
        <w:rPr>
          <w:rFonts w:ascii="Times New Roman" w:eastAsiaTheme="minorEastAsia" w:hAnsi="Times New Roman" w:cs="Times New Roman"/>
          <w:color w:val="FF0000"/>
          <w:sz w:val="22"/>
        </w:rPr>
        <w:t>4</w:t>
      </w:r>
      <w:r w:rsidR="00A6735B" w:rsidRPr="00491219">
        <w:rPr>
          <w:rFonts w:ascii="Times New Roman" w:eastAsiaTheme="minorEastAsia" w:hAnsi="Times New Roman" w:cs="Times New Roman"/>
          <w:color w:val="FF0000"/>
          <w:sz w:val="22"/>
        </w:rPr>
        <w:t xml:space="preserve">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491219">
        <w:rPr>
          <w:rFonts w:ascii="Times New Roman" w:eastAsiaTheme="minorEastAsia" w:hAnsi="Times New Roman" w:cs="Times New Roman"/>
          <w:color w:val="FF0000"/>
          <w:sz w:val="22"/>
        </w:rPr>
        <w:t>only 98</w:t>
      </w:r>
      <w:r w:rsidR="00A6735B" w:rsidRPr="00491219">
        <w:rPr>
          <w:rFonts w:ascii="Times New Roman" w:eastAsiaTheme="minorEastAsia" w:hAnsi="Times New Roman" w:cs="Times New Roman"/>
          <w:color w:val="FF0000"/>
          <w:sz w:val="22"/>
        </w:rPr>
        <w:t xml:space="preserve"> DOFS compared to the native resolution 216 DOFS</w:t>
      </w:r>
      <w:r w:rsidR="0024571D" w:rsidRPr="00491219">
        <w:rPr>
          <w:rFonts w:ascii="Times New Roman" w:eastAsiaTheme="minorEastAsia" w:hAnsi="Times New Roman" w:cs="Times New Roman"/>
          <w:color w:val="FF0000"/>
          <w:sz w:val="22"/>
        </w:rPr>
        <w:t>.</w:t>
      </w:r>
      <w:r w:rsidR="00A6735B" w:rsidRPr="00491219">
        <w:rPr>
          <w:rFonts w:ascii="Times New Roman" w:eastAsiaTheme="minorEastAsia" w:hAnsi="Times New Roman" w:cs="Times New Roman"/>
          <w:color w:val="FF0000"/>
          <w:sz w:val="22"/>
        </w:rPr>
        <w:t xml:space="preserve"> </w:t>
      </w:r>
      <w:r w:rsidR="0056670B" w:rsidRPr="00491219">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491219">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491219">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38A20CB5"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 </w:t>
      </w:r>
      <w:r w:rsidR="00E37463">
        <w:rPr>
          <w:rFonts w:ascii="Times New Roman" w:eastAsiaTheme="minorEastAsia" w:hAnsi="Times New Roman" w:cs="Times New Roman"/>
          <w:sz w:val="22"/>
        </w:rPr>
        <w:t>Because the additional information generated by the forward model is unlikely to 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r>
        <w:rPr>
          <w:rFonts w:ascii="Times New Roman" w:eastAsiaTheme="minorEastAsia" w:hAnsi="Times New Roman" w:cs="Times New Roman"/>
          <w:sz w:val="22"/>
        </w:rPr>
        <w:t xml:space="preserve">model runs to construct. </w:t>
      </w:r>
    </w:p>
    <w:p w14:paraId="4BDCFAED" w14:textId="77777777" w:rsidR="00A6735B" w:rsidRDefault="00A6735B" w:rsidP="00A6735B">
      <w:pPr>
        <w:rPr>
          <w:rFonts w:ascii="Times New Roman" w:eastAsiaTheme="minorEastAsia" w:hAnsi="Times New Roman" w:cs="Times New Roman"/>
          <w:sz w:val="22"/>
        </w:rPr>
      </w:pPr>
    </w:p>
    <w:p w14:paraId="7793315B" w14:textId="3F7C229D" w:rsidR="00A6735B" w:rsidRPr="006453BA"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using the resulting reduced-rank Jacobian matrix. Figure </w:t>
      </w:r>
      <w:r w:rsidR="003900FA">
        <w:rPr>
          <w:rFonts w:ascii="Times New Roman" w:eastAsiaTheme="minorEastAsia" w:hAnsi="Times New Roman" w:cs="Times New Roman"/>
          <w:sz w:val="22"/>
        </w:rPr>
        <w:t>4</w:t>
      </w:r>
      <w:r>
        <w:rPr>
          <w:rFonts w:ascii="Times New Roman" w:eastAsiaTheme="minorEastAsia" w:hAnsi="Times New Roman" w:cs="Times New Roman"/>
          <w:sz w:val="22"/>
        </w:rPr>
        <w:t xml:space="preserve"> (right column) shows the distribution</w:t>
      </w:r>
      <w:r w:rsidR="006453BA">
        <w:rPr>
          <w:rFonts w:ascii="Times New Roman" w:eastAsiaTheme="minorEastAsia" w:hAnsi="Times New Roman" w:cs="Times New Roman"/>
          <w:sz w:val="22"/>
        </w:rPr>
        <w:t xml:space="preserve"> of the</w:t>
      </w:r>
      <w:r>
        <w:rPr>
          <w:rFonts w:ascii="Times New Roman" w:eastAsiaTheme="minorEastAsia" w:hAnsi="Times New Roman" w:cs="Times New Roman"/>
          <w:sz w:val="22"/>
        </w:rPr>
        <w:t xml:space="preserve"> posterior scaling factors (top) and diagonal averaging kernel values (bottom) </w:t>
      </w:r>
      <w:r>
        <w:rPr>
          <w:rFonts w:ascii="Times New Roman" w:eastAsiaTheme="minorEastAsia" w:hAnsi="Times New Roman" w:cs="Times New Roman"/>
          <w:sz w:val="22"/>
        </w:rPr>
        <w:lastRenderedPageBreak/>
        <w:t xml:space="preserve">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The averaging kernel accurately captures these patterns of information content. </w:t>
      </w:r>
      <w:r w:rsidR="00965C07">
        <w:rPr>
          <w:rFonts w:ascii="Times New Roman" w:eastAsiaTheme="minorEastAsia" w:hAnsi="Times New Roman" w:cs="Times New Roman"/>
          <w:sz w:val="22"/>
        </w:rPr>
        <w:t>Due</w:t>
      </w:r>
      <w:r>
        <w:rPr>
          <w:rFonts w:ascii="Times New Roman" w:eastAsiaTheme="minorEastAsia" w:hAnsi="Times New Roman" w:cs="Times New Roman"/>
          <w:sz w:val="22"/>
        </w:rPr>
        <w:t xml:space="preserve"> the limited extent of the optimized grid cells, the resulting </w:t>
      </w:r>
      <w:commentRangeStart w:id="50"/>
      <w:commentRangeStart w:id="51"/>
      <w:r>
        <w:rPr>
          <w:rFonts w:ascii="Times New Roman" w:eastAsiaTheme="minorEastAsia" w:hAnsi="Times New Roman" w:cs="Times New Roman"/>
          <w:sz w:val="22"/>
        </w:rPr>
        <w:t xml:space="preserve">DOFS (153) </w:t>
      </w:r>
      <w:commentRangeEnd w:id="50"/>
      <w:r>
        <w:rPr>
          <w:rStyle w:val="CommentReference"/>
        </w:rPr>
        <w:commentReference w:id="50"/>
      </w:r>
      <w:commentRangeEnd w:id="51"/>
      <w:r w:rsidR="00965C07">
        <w:rPr>
          <w:rFonts w:ascii="Times New Roman" w:eastAsiaTheme="minorEastAsia" w:hAnsi="Times New Roman" w:cs="Times New Roman"/>
          <w:sz w:val="22"/>
        </w:rPr>
        <w:t xml:space="preserve">and DOFS per grid cell (0.07) </w:t>
      </w:r>
      <w:r w:rsidR="00B0569A">
        <w:rPr>
          <w:rStyle w:val="CommentReference"/>
        </w:rPr>
        <w:commentReference w:id="51"/>
      </w:r>
      <w:r>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consider only the optimized grid cells by excluding grid cells where the averaging kernel sensitivities are less</w:t>
      </w:r>
      <w:commentRangeStart w:id="52"/>
      <w:commentRangeStart w:id="53"/>
      <w:r w:rsidR="0071127D">
        <w:rPr>
          <w:rFonts w:ascii="Times New Roman" w:eastAsiaTheme="minorEastAsia" w:hAnsi="Times New Roman" w:cs="Times New Roman"/>
          <w:sz w:val="22"/>
        </w:rPr>
        <w:t xml:space="preserve"> than 0.01</w:t>
      </w:r>
      <w:commentRangeEnd w:id="52"/>
      <w:r w:rsidR="0071127D">
        <w:rPr>
          <w:rStyle w:val="CommentReference"/>
        </w:rPr>
        <w:commentReference w:id="52"/>
      </w:r>
      <w:commentRangeEnd w:id="53"/>
      <w:r w:rsidR="0071127D">
        <w:rPr>
          <w:rStyle w:val="CommentReference"/>
        </w:rPr>
        <w:commentReference w:id="53"/>
      </w:r>
      <w:r w:rsidR="0071127D">
        <w:rPr>
          <w:rFonts w:ascii="Times New Roman" w:eastAsiaTheme="minorEastAsia" w:hAnsi="Times New Roman" w:cs="Times New Roman"/>
          <w:sz w:val="22"/>
        </w:rPr>
        <w:t>, we find 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409275AF"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 xml:space="preserve">5 </w:t>
      </w:r>
      <w:r>
        <w:rPr>
          <w:rFonts w:ascii="Times New Roman" w:eastAsiaTheme="minorEastAsia" w:hAnsi="Times New Roman" w:cs="Times New Roman"/>
          <w:sz w:val="22"/>
        </w:rPr>
        <w:t xml:space="preserve">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54"/>
      <w:commentRangeStart w:id="55"/>
      <w:r>
        <w:rPr>
          <w:rFonts w:ascii="Times New Roman" w:eastAsiaTheme="minorEastAsia" w:hAnsi="Times New Roman" w:cs="Times New Roman"/>
          <w:sz w:val="22"/>
        </w:rPr>
        <w:t>including scaling factors (upper right</w:t>
      </w:r>
      <w:commentRangeEnd w:id="54"/>
      <w:r>
        <w:rPr>
          <w:rStyle w:val="CommentReference"/>
        </w:rPr>
        <w:commentReference w:id="54"/>
      </w:r>
      <w:commentRangeEnd w:id="55"/>
      <w:r w:rsidR="00C0011B">
        <w:rPr>
          <w:rStyle w:val="CommentReference"/>
        </w:rPr>
        <w:commentReference w:id="55"/>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plotted against the corresponding native-resolution values</w:t>
      </w:r>
      <w:r>
        <w:rPr>
          <w:rFonts w:ascii="Times New Roman" w:eastAsiaTheme="minorEastAsia" w:hAnsi="Times New Roman" w:cs="Times New Roman"/>
          <w:sz w:val="22"/>
        </w:rPr>
        <w:t xml:space="preserve">. </w:t>
      </w:r>
      <w:r w:rsidR="00BA5CE1">
        <w:rPr>
          <w:rFonts w:ascii="Times New Roman" w:eastAsiaTheme="minorEastAsia" w:hAnsi="Times New Roman" w:cs="Times New Roman"/>
          <w:sz w:val="22"/>
        </w:rPr>
        <w:t>Decreasing</w:t>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w:t>
      </w:r>
      <w:r w:rsidR="003900FA">
        <w:rPr>
          <w:rFonts w:ascii="Times New Roman" w:eastAsiaTheme="minorEastAsia" w:hAnsi="Times New Roman" w:cs="Times New Roman"/>
          <w:sz w:val="22"/>
        </w:rPr>
        <w:t>5</w:t>
      </w:r>
      <w:r>
        <w:rPr>
          <w:rFonts w:ascii="Times New Roman" w:eastAsiaTheme="minorEastAsia" w:hAnsi="Times New Roman" w:cs="Times New Roman"/>
          <w:sz w:val="22"/>
        </w:rPr>
        <w:t xml:space="preserve">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0.93).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The posterior scaling factors generate the lowest correlation 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0.69) because they are a function of the posterior error covariance and the Jacobian matrix (equation 2), resulting in propagated errors.</w:t>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694D8979" w14:textId="37C3C605" w:rsidR="00E46832" w:rsidRPr="00E46832" w:rsidRDefault="00E46832" w:rsidP="00E46832">
      <w:pPr>
        <w:rPr>
          <w:rFonts w:ascii="Times" w:hAnsi="Times"/>
          <w:b/>
          <w:bCs/>
          <w:sz w:val="22"/>
          <w:szCs w:val="22"/>
        </w:rPr>
      </w:pPr>
    </w:p>
    <w:p w14:paraId="5E9FDADF" w14:textId="77777777" w:rsidR="00E46832" w:rsidRPr="00E46832" w:rsidRDefault="00E46832" w:rsidP="00E46832">
      <w:pPr>
        <w:rPr>
          <w:rFonts w:ascii="Times" w:hAnsi="Times"/>
          <w:sz w:val="22"/>
          <w:szCs w:val="22"/>
        </w:rPr>
      </w:pPr>
      <w:r w:rsidRPr="00E46832">
        <w:rPr>
          <w:rFonts w:ascii="Times" w:hAnsi="Times"/>
          <w:sz w:val="22"/>
          <w:szCs w:val="22"/>
        </w:rPr>
        <w:t>We proposed two methods for decreasing the computational cost of constructing Jacobian matrices for analytic inversions of satellite observations of atmospheric constituents and demonstrated these methods in an inversion of GOSAT column methane observations for July 2009 over the North American domain. We found that both 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p>
    <w:p w14:paraId="359C76C7" w14:textId="77777777" w:rsidR="00E46832" w:rsidRPr="00E46832" w:rsidRDefault="00E46832" w:rsidP="00E46832">
      <w:pPr>
        <w:rPr>
          <w:rFonts w:ascii="Times" w:hAnsi="Times"/>
          <w:sz w:val="22"/>
          <w:szCs w:val="22"/>
        </w:rPr>
      </w:pPr>
    </w:p>
    <w:p w14:paraId="71CC6625" w14:textId="77777777" w:rsidR="00E46832" w:rsidRPr="00E46832" w:rsidRDefault="00E46832" w:rsidP="00E46832">
      <w:pPr>
        <w:rPr>
          <w:rFonts w:ascii="Times" w:hAnsi="Times"/>
          <w:sz w:val="22"/>
          <w:szCs w:val="22"/>
        </w:rPr>
      </w:pPr>
      <w:r w:rsidRPr="00E46832">
        <w:rPr>
          <w:rFonts w:ascii="Times" w:hAnsi="Times"/>
          <w:sz w:val="22"/>
          <w:szCs w:val="22"/>
        </w:rPr>
        <w:t xml:space="preserve">We considered inverse problems where the forward model is linear with respect to the state vector elements. In this case, there exists an analytic solution for the minimum of a Bayesian cost function that is </w:t>
      </w:r>
      <w:r w:rsidRPr="00E46832">
        <w:rPr>
          <w:rFonts w:ascii="Times" w:hAnsi="Times"/>
          <w:sz w:val="22"/>
          <w:szCs w:val="22"/>
        </w:rPr>
        <w:lastRenderedPageBreak/>
        <w:t>a function of the prior estimate and its errors, the observations and their errors, and the forward model, as expressed by the Jacobian matrix. The analytic solution yields closed-form characterization of the posterior emissions, their errors, and their information content. In systems with a known Jacobian matrix, optimal reductions in the dimension or rank of the inversion maximize the information content. In systems without a known Jacobian matrix, an initial estimate of the Jacobian matrix can be constructed at no computational cost using a mass balance approach. This initial estimate together with the prior and observational errors can accurately quantify the fine structure of information content in the inversion. We use this initial estimate of information content to define optimal reductions in the dimension and rank of the state vector, decreasing the computational cost of constructing the Jacobian matrix.</w:t>
      </w:r>
    </w:p>
    <w:p w14:paraId="49778DA8" w14:textId="77777777" w:rsidR="00E46832" w:rsidRPr="00E46832" w:rsidRDefault="00E46832" w:rsidP="00E46832">
      <w:pPr>
        <w:rPr>
          <w:rFonts w:ascii="Times" w:hAnsi="Times"/>
          <w:sz w:val="22"/>
          <w:szCs w:val="22"/>
        </w:rPr>
      </w:pPr>
    </w:p>
    <w:p w14:paraId="0A82356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3: Reduced dimension construction</w:t>
      </w:r>
    </w:p>
    <w:p w14:paraId="4046B1CA"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dimension reduction method uses the initial estimate of the averaging kernel </w:t>
      </w:r>
    </w:p>
    <w:p w14:paraId="731F6D45" w14:textId="77777777" w:rsidR="00E46832" w:rsidRPr="00E74B72" w:rsidRDefault="00E46832" w:rsidP="00E46832">
      <w:pPr>
        <w:rPr>
          <w:rFonts w:ascii="Times" w:hAnsi="Times"/>
          <w:b/>
          <w:bCs/>
          <w:color w:val="FF0000"/>
          <w:sz w:val="22"/>
          <w:szCs w:val="22"/>
        </w:rPr>
      </w:pPr>
    </w:p>
    <w:p w14:paraId="17AFD69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4: Reduced rank construction</w:t>
      </w:r>
    </w:p>
    <w:p w14:paraId="4FC76519"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rank reduction method uses the initial estimate of the averaging kernel matrix </w:t>
      </w:r>
    </w:p>
    <w:p w14:paraId="2F7E438E" w14:textId="77777777" w:rsidR="00E46832" w:rsidRPr="00E74B72" w:rsidRDefault="00E46832" w:rsidP="00E46832">
      <w:pPr>
        <w:rPr>
          <w:rFonts w:ascii="Times" w:hAnsi="Times"/>
          <w:color w:val="FF0000"/>
          <w:sz w:val="22"/>
          <w:szCs w:val="22"/>
        </w:rPr>
      </w:pPr>
    </w:p>
    <w:p w14:paraId="19F25F67" w14:textId="77777777" w:rsidR="00E46832" w:rsidRPr="00E74B72" w:rsidRDefault="00E46832" w:rsidP="00E46832">
      <w:pPr>
        <w:rPr>
          <w:rFonts w:ascii="Times" w:hAnsi="Times"/>
          <w:color w:val="FF0000"/>
          <w:sz w:val="22"/>
          <w:szCs w:val="22"/>
        </w:rPr>
      </w:pPr>
    </w:p>
    <w:p w14:paraId="0242AA78"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5: Results summary (reduced dimension)</w:t>
      </w:r>
    </w:p>
    <w:p w14:paraId="52926BF9" w14:textId="77777777" w:rsidR="00E46832" w:rsidRPr="00E74B72" w:rsidRDefault="00E46832" w:rsidP="00E46832">
      <w:pPr>
        <w:rPr>
          <w:rFonts w:ascii="Times" w:hAnsi="Times"/>
          <w:color w:val="FF0000"/>
          <w:sz w:val="22"/>
          <w:szCs w:val="22"/>
        </w:rPr>
      </w:pPr>
    </w:p>
    <w:p w14:paraId="56451A0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6: Results summary (reduced rank)</w:t>
      </w:r>
    </w:p>
    <w:p w14:paraId="34039472" w14:textId="77777777" w:rsidR="00E46832" w:rsidRPr="00E74B72" w:rsidRDefault="00E46832" w:rsidP="00E46832">
      <w:pPr>
        <w:rPr>
          <w:rFonts w:ascii="Times" w:hAnsi="Times"/>
          <w:color w:val="FF0000"/>
          <w:sz w:val="22"/>
          <w:szCs w:val="22"/>
        </w:rPr>
      </w:pPr>
    </w:p>
    <w:p w14:paraId="0862AB77" w14:textId="77777777" w:rsidR="00E46832" w:rsidRPr="00E74B72" w:rsidRDefault="00E46832" w:rsidP="00E46832">
      <w:pPr>
        <w:rPr>
          <w:rFonts w:ascii="Times" w:hAnsi="Times"/>
          <w:b/>
          <w:bCs/>
          <w:color w:val="FF0000"/>
        </w:rPr>
      </w:pPr>
      <w:r w:rsidRPr="00E74B72">
        <w:rPr>
          <w:rFonts w:ascii="Times" w:hAnsi="Times"/>
          <w:b/>
          <w:bCs/>
          <w:color w:val="FF0000"/>
          <w:sz w:val="22"/>
          <w:szCs w:val="22"/>
        </w:rPr>
        <w:t>Paragraph 7: Next steps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Jacob" w:date="2020-06-24T10:44:00Z" w:initials="JDJ">
    <w:p w14:paraId="3D55BD4B" w14:textId="77777777" w:rsidR="003F4CD7" w:rsidRDefault="003F4CD7" w:rsidP="00E65B31">
      <w:pPr>
        <w:pStyle w:val="CommentText"/>
      </w:pPr>
      <w:r>
        <w:rPr>
          <w:rStyle w:val="CommentReference"/>
        </w:rPr>
        <w:annotationRef/>
      </w:r>
      <w:r>
        <w:t xml:space="preserve">Better? We don’t want readers to expect an optimization of NA methane sources. </w:t>
      </w:r>
    </w:p>
  </w:comment>
  <w:comment w:id="1" w:author="hannah.nesser@gmail.com" w:date="2020-06-29T10:39:00Z" w:initials="h">
    <w:p w14:paraId="06A7E1C7" w14:textId="40F66BAE" w:rsidR="003F4CD7" w:rsidRDefault="003F4CD7">
      <w:pPr>
        <w:pStyle w:val="CommentText"/>
      </w:pPr>
      <w:r>
        <w:rPr>
          <w:rStyle w:val="CommentReference"/>
        </w:rPr>
        <w:annotationRef/>
      </w:r>
      <w:r>
        <w:t>This is good with me.</w:t>
      </w:r>
    </w:p>
  </w:comment>
  <w:comment w:id="2" w:author="hannah.nesser@gmail.com" w:date="2020-06-30T10:02:00Z" w:initials="h">
    <w:p w14:paraId="30D1D6D5" w14:textId="01B56CB2" w:rsidR="003F4CD7" w:rsidRDefault="003F4CD7">
      <w:pPr>
        <w:pStyle w:val="CommentText"/>
      </w:pPr>
      <w:r>
        <w:rPr>
          <w:rStyle w:val="CommentReference"/>
        </w:rPr>
        <w:annotationRef/>
      </w:r>
      <w:r>
        <w:t>You wrote “Here we present a method to optimize the resolution of inversions of satellite data in a way that makes best use of the information content of the observations and the available computational resources.” I take issue with the notion that we are optimizing the resolution of the inversion—but we can discuss.</w:t>
      </w:r>
    </w:p>
  </w:comment>
  <w:comment w:id="3" w:author="hannah.nesser@gmail.com" w:date="2020-06-30T10:09:00Z" w:initials="h">
    <w:p w14:paraId="504D613B" w14:textId="77777777" w:rsidR="003F4CD7" w:rsidRDefault="003F4CD7">
      <w:pPr>
        <w:pStyle w:val="CommentText"/>
      </w:pPr>
      <w:r>
        <w:rPr>
          <w:rStyle w:val="CommentReference"/>
        </w:rPr>
        <w:annotationRef/>
      </w:r>
      <w:r>
        <w:t>Update citations per Daniel’s comment:</w:t>
      </w:r>
    </w:p>
    <w:p w14:paraId="4B3F5454" w14:textId="77777777" w:rsidR="003F4CD7" w:rsidRDefault="003F4CD7">
      <w:pPr>
        <w:pStyle w:val="CommentText"/>
      </w:pPr>
    </w:p>
    <w:p w14:paraId="5BAE7BCE" w14:textId="74DAA010" w:rsidR="003F4CD7" w:rsidRDefault="003F4CD7">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4" w:author="hannah.nesser@gmail.com" w:date="2020-06-30T13:59:00Z" w:initials="h">
    <w:p w14:paraId="07665CD0" w14:textId="77777777" w:rsidR="003F4CD7" w:rsidRDefault="003F4CD7">
      <w:pPr>
        <w:pStyle w:val="CommentText"/>
      </w:pPr>
      <w:r>
        <w:rPr>
          <w:rStyle w:val="CommentReference"/>
        </w:rPr>
        <w:annotationRef/>
      </w:r>
      <w:r>
        <w:t>You wrote “To the reader these two methods don’t seem that different. There must be a better way to express this. I’ll read on.”</w:t>
      </w:r>
    </w:p>
    <w:p w14:paraId="0503320C" w14:textId="77777777" w:rsidR="003F4CD7" w:rsidRDefault="003F4CD7">
      <w:pPr>
        <w:pStyle w:val="CommentText"/>
      </w:pPr>
    </w:p>
    <w:p w14:paraId="1397E453" w14:textId="67307A3A" w:rsidR="003F4CD7" w:rsidRDefault="003F4CD7">
      <w:pPr>
        <w:pStyle w:val="CommentText"/>
      </w:pPr>
      <w:r>
        <w:t>I’ve tried to clarify the difference between the two—let me know what you think.</w:t>
      </w:r>
    </w:p>
  </w:comment>
  <w:comment w:id="5" w:author="hannah.nesser@gmail.com" w:date="2020-06-30T14:19:00Z" w:initials="h">
    <w:p w14:paraId="54E29934" w14:textId="2E2B35DF" w:rsidR="003F4CD7" w:rsidRDefault="003F4CD7">
      <w:pPr>
        <w:pStyle w:val="CommentText"/>
      </w:pPr>
      <w:r>
        <w:rPr>
          <w:rStyle w:val="CommentReference"/>
        </w:rPr>
        <w:annotationRef/>
      </w:r>
      <w:r>
        <w:t>I’ve seen such road maps primarily at the end of the introduction. Is there a reason we prefer it here?</w:t>
      </w:r>
    </w:p>
  </w:comment>
  <w:comment w:id="6" w:author="hannah.nesser@gmail.com" w:date="2020-06-30T14:31:00Z" w:initials="h">
    <w:p w14:paraId="41099B2F" w14:textId="5BC95E85" w:rsidR="003F4CD7" w:rsidRDefault="003F4CD7">
      <w:pPr>
        <w:pStyle w:val="CommentText"/>
      </w:pPr>
      <w:r>
        <w:rPr>
          <w:rStyle w:val="CommentReference"/>
        </w:rPr>
        <w:annotationRef/>
      </w:r>
      <w:r>
        <w:t>You suggested a sentence at the beginning of the section—I thought it might be best just to add a clear citation?</w:t>
      </w:r>
    </w:p>
  </w:comment>
  <w:comment w:id="7" w:author="Daniel Jacob" w:date="2020-06-28T07:53:00Z" w:initials="JDJ">
    <w:p w14:paraId="2F3FE06B" w14:textId="77777777" w:rsidR="003F4CD7" w:rsidRDefault="003F4CD7"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3F4CD7" w:rsidRDefault="003F4CD7" w:rsidP="00B11F1E">
      <w:pPr>
        <w:pStyle w:val="CommentText"/>
      </w:pPr>
    </w:p>
    <w:p w14:paraId="578590DC" w14:textId="74FF2039" w:rsidR="003F4CD7" w:rsidRDefault="003F4CD7"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3F4CD7" w:rsidRDefault="003F4CD7"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3F4CD7" w:rsidRPr="00B11F1E" w:rsidRDefault="003F4CD7"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3F4CD7" w:rsidRDefault="003F4CD7" w:rsidP="00B11F1E">
      <w:pPr>
        <w:pStyle w:val="CommentText"/>
      </w:pPr>
    </w:p>
    <w:p w14:paraId="76E58832" w14:textId="77777777" w:rsidR="003F4CD7" w:rsidRDefault="003F4CD7"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3F4CD7" w:rsidRDefault="003F4CD7" w:rsidP="00B11F1E">
      <w:pPr>
        <w:pStyle w:val="CommentText"/>
      </w:pPr>
    </w:p>
    <w:p w14:paraId="3E871D5C" w14:textId="77777777" w:rsidR="003F4CD7" w:rsidRDefault="003F4CD7" w:rsidP="00B11F1E">
      <w:pPr>
        <w:pStyle w:val="CommentText"/>
        <w:rPr>
          <w:color w:val="FF0000"/>
        </w:rPr>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p w14:paraId="6EC33C8E" w14:textId="77777777" w:rsidR="003F4CD7" w:rsidRDefault="003F4CD7" w:rsidP="00B11F1E">
      <w:pPr>
        <w:pStyle w:val="CommentText"/>
        <w:rPr>
          <w:color w:val="FF0000"/>
        </w:rPr>
      </w:pPr>
    </w:p>
    <w:p w14:paraId="1B2A064C" w14:textId="7869E463" w:rsidR="003F4CD7" w:rsidRDefault="003F4CD7" w:rsidP="00B11F1E">
      <w:pPr>
        <w:pStyle w:val="CommentText"/>
      </w:pPr>
      <w:r>
        <w:rPr>
          <w:color w:val="FF0000"/>
        </w:rPr>
        <w:t xml:space="preserve">Note: we originally wanted to write this as two separate criteria. Technically, this is correct. However, I think we can get away by keeping this sentence as is because accurately recovering the original full dimension vector seems like an important part of minimizing information loss. </w:t>
      </w:r>
    </w:p>
  </w:comment>
  <w:comment w:id="8" w:author="hannah.nesser@gmail.com" w:date="2020-06-30T21:49:00Z" w:initials="h">
    <w:p w14:paraId="47C0428D" w14:textId="77777777" w:rsidR="003F4CD7" w:rsidRDefault="003F4CD7">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3F4CD7" w:rsidRDefault="003F4CD7">
      <w:pPr>
        <w:pStyle w:val="CommentText"/>
      </w:pPr>
    </w:p>
    <w:p w14:paraId="6BE47639" w14:textId="58BB6935" w:rsidR="003F4CD7" w:rsidRDefault="003F4CD7">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9" w:author="Hannah Nesser" w:date="2020-07-21T16:05:00Z" w:initials="HN">
    <w:p w14:paraId="5BFBBA87" w14:textId="1113B55B" w:rsidR="003F4CD7" w:rsidRDefault="003F4CD7">
      <w:pPr>
        <w:pStyle w:val="CommentText"/>
      </w:pPr>
      <w:r>
        <w:rPr>
          <w:rStyle w:val="CommentReference"/>
        </w:rPr>
        <w:annotationRef/>
      </w:r>
      <w:r>
        <w:t>Personal note: This is a transformation that increases the slope of the information content curve—why?</w:t>
      </w:r>
    </w:p>
  </w:comment>
  <w:comment w:id="10" w:author="hannah.nesser@gmail.com" w:date="2020-07-01T14:56:00Z" w:initials="h">
    <w:p w14:paraId="738218C6" w14:textId="6E265355" w:rsidR="003F4CD7" w:rsidRDefault="003F4CD7">
      <w:pPr>
        <w:pStyle w:val="CommentText"/>
      </w:pPr>
      <w:r>
        <w:rPr>
          <w:rStyle w:val="CommentReference"/>
        </w:rPr>
        <w:annotationRef/>
      </w:r>
      <w:r>
        <w:t>You added “eigenvectors of Q”. This isn’t strictly correct just because the reduced dimension approach doesn’t use the eigenvectors of Q any more.</w:t>
      </w:r>
    </w:p>
  </w:comment>
  <w:comment w:id="11" w:author="Daniel Jacob" w:date="2020-06-28T08:02:00Z" w:initials="JDJ">
    <w:p w14:paraId="76A71ADB" w14:textId="77777777" w:rsidR="003F4CD7" w:rsidRPr="00E82567" w:rsidRDefault="003F4CD7" w:rsidP="009B1616">
      <w:pPr>
        <w:pStyle w:val="CommentText"/>
      </w:pPr>
      <w:r>
        <w:rPr>
          <w:rStyle w:val="CommentReference"/>
        </w:rPr>
        <w:annotationRef/>
      </w:r>
      <w:r>
        <w:t xml:space="preserve">Is this simply diagnosed from the diagonal of </w:t>
      </w:r>
      <w:proofErr w:type="gramStart"/>
      <w:r>
        <w:t>A</w:t>
      </w:r>
      <w:r>
        <w:rPr>
          <w:vertAlign w:val="superscript"/>
        </w:rPr>
        <w:t>(</w:t>
      </w:r>
      <w:proofErr w:type="gramEnd"/>
      <w:r>
        <w:rPr>
          <w:vertAlign w:val="superscript"/>
        </w:rPr>
        <w:t>0)</w:t>
      </w:r>
      <w:r>
        <w:t>? How does this produce a discrete multiscale grid?</w:t>
      </w:r>
    </w:p>
  </w:comment>
  <w:comment w:id="12" w:author="hannah.nesser@gmail.com" w:date="2020-07-02T09:10:00Z" w:initials="h">
    <w:p w14:paraId="2623BA18" w14:textId="0ACB6797" w:rsidR="003F4CD7" w:rsidRDefault="003F4CD7">
      <w:pPr>
        <w:pStyle w:val="CommentText"/>
      </w:pPr>
      <w:r>
        <w:rPr>
          <w:rStyle w:val="CommentReference"/>
        </w:rPr>
        <w:annotationRef/>
      </w:r>
      <w:r>
        <w:t>Yes, this will be described in section 2.4. But this is why I deleted “eigenvectors of Q” above.</w:t>
      </w:r>
    </w:p>
  </w:comment>
  <w:comment w:id="13" w:author="Daniel Jacob" w:date="2020-06-28T08:07:00Z" w:initials="JDJ">
    <w:p w14:paraId="32FAC549" w14:textId="77777777" w:rsidR="003F4CD7" w:rsidRDefault="003F4CD7" w:rsidP="0048071C">
      <w:pPr>
        <w:pStyle w:val="CommentText"/>
      </w:pPr>
      <w:r>
        <w:rPr>
          <w:rStyle w:val="CommentReference"/>
        </w:rPr>
        <w:annotationRef/>
      </w:r>
      <w:r>
        <w:t>Wouldn’t this be the lower right?</w:t>
      </w:r>
    </w:p>
  </w:comment>
  <w:comment w:id="14" w:author="hannah.nesser@gmail.com" w:date="2020-07-02T09:13:00Z" w:initials="h">
    <w:p w14:paraId="289420B3" w14:textId="1525EE08" w:rsidR="003F4CD7" w:rsidRDefault="003F4CD7">
      <w:pPr>
        <w:pStyle w:val="CommentText"/>
      </w:pPr>
      <w:r>
        <w:rPr>
          <w:rStyle w:val="CommentReference"/>
        </w:rPr>
        <w:annotationRef/>
      </w:r>
      <w:r>
        <w:t>Complicated. We construct the Jacobian in the lower right but solve the inversion in lower left. Let’s discuss.</w:t>
      </w:r>
    </w:p>
  </w:comment>
  <w:comment w:id="15" w:author="Daniel Jacob" w:date="2020-06-28T08:09:00Z" w:initials="JDJ">
    <w:p w14:paraId="341547F2" w14:textId="77777777" w:rsidR="003F4CD7" w:rsidRPr="00E82567" w:rsidRDefault="003F4CD7" w:rsidP="0048071C">
      <w:pPr>
        <w:pStyle w:val="CommentText"/>
      </w:pPr>
      <w:r>
        <w:rPr>
          <w:rStyle w:val="CommentReference"/>
        </w:rPr>
        <w:annotationRef/>
      </w:r>
      <w:proofErr w:type="gramStart"/>
      <w:r>
        <w:t>Q</w:t>
      </w:r>
      <w:r>
        <w:rPr>
          <w:vertAlign w:val="superscript"/>
        </w:rPr>
        <w:t>(</w:t>
      </w:r>
      <w:proofErr w:type="gramEnd"/>
      <w:r>
        <w:rPr>
          <w:vertAlign w:val="superscript"/>
        </w:rPr>
        <w:t>1)</w:t>
      </w:r>
      <w:r>
        <w:t>?</w:t>
      </w:r>
    </w:p>
  </w:comment>
  <w:comment w:id="16" w:author="hannah.nesser@gmail.com" w:date="2020-07-02T09:14:00Z" w:initials="h">
    <w:p w14:paraId="7592072D" w14:textId="555211D8" w:rsidR="003F4CD7" w:rsidRDefault="003F4CD7">
      <w:pPr>
        <w:pStyle w:val="CommentText"/>
      </w:pPr>
      <w:r>
        <w:rPr>
          <w:rStyle w:val="CommentReference"/>
        </w:rPr>
        <w:annotationRef/>
      </w:r>
      <w:r>
        <w:t>Corrected to be more inclusive of both methods.</w:t>
      </w:r>
    </w:p>
  </w:comment>
  <w:comment w:id="17" w:author="Hannah Nesser" w:date="2020-08-03T12:23:00Z" w:initials="HN">
    <w:p w14:paraId="383ECC89" w14:textId="63728500" w:rsidR="003F4CD7" w:rsidRDefault="003F4CD7">
      <w:pPr>
        <w:pStyle w:val="CommentText"/>
      </w:pPr>
      <w:r>
        <w:rPr>
          <w:rStyle w:val="CommentReference"/>
        </w:rPr>
        <w:annotationRef/>
      </w:r>
      <w:r>
        <w:t>I’m still double checking my code here to make sure the units behave as I expect.</w:t>
      </w:r>
    </w:p>
  </w:comment>
  <w:comment w:id="18" w:author="Daniel Jacob" w:date="2020-06-28T09:24:00Z" w:initials="JDJ">
    <w:p w14:paraId="3CDA187B" w14:textId="77777777" w:rsidR="003F4CD7" w:rsidRDefault="003F4CD7" w:rsidP="007367C6">
      <w:pPr>
        <w:pStyle w:val="CommentText"/>
      </w:pPr>
      <w:r>
        <w:rPr>
          <w:rStyle w:val="CommentReference"/>
        </w:rPr>
        <w:annotationRef/>
      </w:r>
      <w:r>
        <w:t>What are the criteria for the aggregation?</w:t>
      </w:r>
    </w:p>
  </w:comment>
  <w:comment w:id="19" w:author="hannah.nesser@gmail.com" w:date="2020-07-02T12:09:00Z" w:initials="h">
    <w:p w14:paraId="6E5F6002" w14:textId="4EB2BFAF" w:rsidR="003F4CD7" w:rsidRDefault="003F4CD7">
      <w:pPr>
        <w:pStyle w:val="CommentText"/>
      </w:pPr>
      <w:r>
        <w:rPr>
          <w:rStyle w:val="CommentReference"/>
        </w:rPr>
        <w:annotationRef/>
      </w:r>
      <w:r>
        <w:t>We use K-means clustering, which aggregates together grid boxes based on proximity (given a number of clusters)</w:t>
      </w:r>
    </w:p>
  </w:comment>
  <w:comment w:id="20" w:author="Daniel Jacob" w:date="2020-06-28T09:27:00Z" w:initials="JDJ">
    <w:p w14:paraId="4D50E448" w14:textId="77777777" w:rsidR="003F4CD7" w:rsidRPr="00A17081" w:rsidRDefault="003F4CD7" w:rsidP="007367C6">
      <w:pPr>
        <w:pStyle w:val="CommentText"/>
      </w:pPr>
      <w:r>
        <w:rPr>
          <w:rStyle w:val="CommentReference"/>
        </w:rPr>
        <w:annotationRef/>
      </w:r>
      <w:r>
        <w:t xml:space="preserve">But do you use </w:t>
      </w:r>
      <w:r>
        <w:rPr>
          <w:b/>
          <w:bCs/>
        </w:rPr>
        <w:t>A</w:t>
      </w:r>
      <w:r>
        <w:t xml:space="preserve"> as criterion for the aggregation? </w:t>
      </w:r>
    </w:p>
  </w:comment>
  <w:comment w:id="21" w:author="hannah.nesser@gmail.com" w:date="2020-07-02T12:10:00Z" w:initials="h">
    <w:p w14:paraId="50E0F63F" w14:textId="1CA2F0C3" w:rsidR="003F4CD7" w:rsidRDefault="003F4CD7">
      <w:pPr>
        <w:pStyle w:val="CommentText"/>
      </w:pPr>
      <w:r>
        <w:rPr>
          <w:rStyle w:val="CommentReference"/>
        </w:rPr>
        <w:annotationRef/>
      </w:r>
      <w:r>
        <w:t>See above comment.</w:t>
      </w:r>
    </w:p>
  </w:comment>
  <w:comment w:id="22" w:author="Daniel Jacob" w:date="2020-06-28T09:35:00Z" w:initials="JDJ">
    <w:p w14:paraId="503F4C36" w14:textId="77777777" w:rsidR="003F4CD7" w:rsidRDefault="003F4CD7" w:rsidP="00F94D82">
      <w:pPr>
        <w:pStyle w:val="CommentText"/>
      </w:pPr>
      <w:r>
        <w:rPr>
          <w:rStyle w:val="CommentReference"/>
        </w:rPr>
        <w:annotationRef/>
      </w:r>
      <w:r>
        <w:t>Not clear how you do this, perhaps because you didn’t tell us how you generated the multiscale clusters in the first place.</w:t>
      </w:r>
    </w:p>
  </w:comment>
  <w:comment w:id="23" w:author="hannah.nesser@gmail.com" w:date="2020-07-02T12:10:00Z" w:initials="h">
    <w:p w14:paraId="7A15E369" w14:textId="7FE1A88E" w:rsidR="003F4CD7" w:rsidRDefault="003F4CD7">
      <w:pPr>
        <w:pStyle w:val="CommentText"/>
      </w:pPr>
      <w:r>
        <w:rPr>
          <w:rStyle w:val="CommentReference"/>
        </w:rPr>
        <w:annotationRef/>
      </w:r>
      <w:r>
        <w:t>See above.</w:t>
      </w:r>
    </w:p>
  </w:comment>
  <w:comment w:id="24" w:author="Daniel Jacob" w:date="2020-06-28T09:37:00Z" w:initials="JDJ">
    <w:p w14:paraId="275B84B1" w14:textId="77777777" w:rsidR="003F4CD7" w:rsidRDefault="003F4CD7" w:rsidP="00F94D82">
      <w:pPr>
        <w:pStyle w:val="CommentText"/>
      </w:pPr>
      <w:r>
        <w:rPr>
          <w:rStyle w:val="CommentReference"/>
        </w:rPr>
        <w:annotationRef/>
      </w:r>
      <w:r>
        <w:t>So maybe let’s not talk about it?</w:t>
      </w:r>
    </w:p>
  </w:comment>
  <w:comment w:id="25" w:author="hannah.nesser@gmail.com" w:date="2020-07-02T12:10:00Z" w:initials="h">
    <w:p w14:paraId="3D2FB612" w14:textId="77777777" w:rsidR="003F4CD7" w:rsidRDefault="003F4CD7">
      <w:pPr>
        <w:pStyle w:val="CommentText"/>
      </w:pPr>
      <w:r>
        <w:rPr>
          <w:rStyle w:val="CommentReference"/>
        </w:rPr>
        <w:annotationRef/>
      </w:r>
      <w:r>
        <w:t>Happy to delete these two sentences. I think it’s a question of which method makes sense. We can discuss.</w:t>
      </w:r>
    </w:p>
    <w:p w14:paraId="4E42E70E" w14:textId="77777777" w:rsidR="003F4CD7" w:rsidRDefault="003F4CD7">
      <w:pPr>
        <w:pStyle w:val="CommentText"/>
      </w:pPr>
    </w:p>
    <w:p w14:paraId="3A0FEA61" w14:textId="53785571" w:rsidR="003F4CD7" w:rsidRDefault="003F4CD7">
      <w:pPr>
        <w:pStyle w:val="CommentText"/>
      </w:pPr>
      <w:r>
        <w:t xml:space="preserve"> (I’ll note that I tried to use the gamma star corresponding the aggregation gamma, but this is an impossible calculation due to the creation of a singular matrix, whoops.) </w:t>
      </w:r>
    </w:p>
  </w:comment>
  <w:comment w:id="26" w:author="Daniel Jacob" w:date="2020-06-28T09:46:00Z" w:initials="JDJ">
    <w:p w14:paraId="13B47FB3" w14:textId="77777777" w:rsidR="003F4CD7" w:rsidRDefault="003F4CD7" w:rsidP="00FF3655">
      <w:pPr>
        <w:pStyle w:val="CommentText"/>
      </w:pPr>
      <w:r>
        <w:rPr>
          <w:rStyle w:val="CommentReference"/>
        </w:rPr>
        <w:annotationRef/>
      </w:r>
      <w:r>
        <w:t xml:space="preserve">Not very clear. Isn’t this what you did in Section 2.2? </w:t>
      </w:r>
    </w:p>
  </w:comment>
  <w:comment w:id="27" w:author="hannah.nesser@gmail.com" w:date="2020-07-02T12:27:00Z" w:initials="h">
    <w:p w14:paraId="04ED17FD" w14:textId="6155DB8C" w:rsidR="003F4CD7" w:rsidRDefault="003F4CD7">
      <w:pPr>
        <w:pStyle w:val="CommentText"/>
      </w:pPr>
      <w:r>
        <w:rPr>
          <w:rStyle w:val="CommentReference"/>
        </w:rPr>
        <w:annotationRef/>
      </w:r>
      <w:r>
        <w:t>Not exactly. Let’s discuss this.</w:t>
      </w:r>
    </w:p>
  </w:comment>
  <w:comment w:id="28" w:author="hannah.nesser@gmail.com" w:date="2020-07-02T12:23:00Z" w:initials="h">
    <w:p w14:paraId="2EC6231E" w14:textId="154D6130" w:rsidR="003F4CD7" w:rsidRDefault="003F4CD7">
      <w:pPr>
        <w:pStyle w:val="CommentText"/>
      </w:pPr>
      <w:r>
        <w:rPr>
          <w:rStyle w:val="CommentReference"/>
        </w:rPr>
        <w:annotationRef/>
      </w:r>
      <w:r>
        <w:t>You wrote “leading columns.” This is wrong since gamma star has only k columns</w:t>
      </w:r>
    </w:p>
  </w:comment>
  <w:comment w:id="29" w:author="Daniel Jacob" w:date="2020-06-28T09:55:00Z" w:initials="JDJ">
    <w:p w14:paraId="70D0B44D" w14:textId="77777777" w:rsidR="003F4CD7" w:rsidRDefault="003F4CD7" w:rsidP="00452E11">
      <w:pPr>
        <w:pStyle w:val="CommentText"/>
      </w:pPr>
      <w:r>
        <w:rPr>
          <w:rStyle w:val="CommentReference"/>
        </w:rPr>
        <w:annotationRef/>
      </w:r>
      <w:r>
        <w:t>Does it have to be? Couldn’t it just be used in k space?</w:t>
      </w:r>
    </w:p>
  </w:comment>
  <w:comment w:id="30" w:author="hannah.nesser@gmail.com" w:date="2020-07-02T12:26:00Z" w:initials="h">
    <w:p w14:paraId="41268385" w14:textId="4B9F6EC6" w:rsidR="003F4CD7" w:rsidRDefault="003F4CD7">
      <w:pPr>
        <w:pStyle w:val="CommentText"/>
      </w:pPr>
      <w:r>
        <w:rPr>
          <w:rStyle w:val="CommentReference"/>
        </w:rPr>
        <w:annotationRef/>
      </w:r>
      <w:r>
        <w:t>Sure, but it would be virtually impossible to interpret the results.</w:t>
      </w:r>
    </w:p>
  </w:comment>
  <w:comment w:id="31" w:author="Daniel Jacob" w:date="2020-06-28T10:17:00Z" w:initials="JDJ">
    <w:p w14:paraId="7985D93C" w14:textId="77777777" w:rsidR="003F4CD7" w:rsidRDefault="003F4CD7" w:rsidP="00452E11">
      <w:pPr>
        <w:pStyle w:val="CommentText"/>
      </w:pPr>
      <w:r>
        <w:rPr>
          <w:rStyle w:val="CommentReference"/>
        </w:rPr>
        <w:annotationRef/>
      </w:r>
      <w:r>
        <w:t>But GAMMA* is a matrix and I don’t think that the eigenvectors are those of A? I may be missing something.</w:t>
      </w:r>
    </w:p>
  </w:comment>
  <w:comment w:id="32" w:author="hannah.nesser@gmail.com" w:date="2020-07-02T12:28:00Z" w:initials="h">
    <w:p w14:paraId="2B6998D9" w14:textId="6696A1A4" w:rsidR="003F4CD7" w:rsidRDefault="003F4CD7">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3" w:author="Daniel Jacob" w:date="2020-06-28T10:17:00Z" w:initials="JDJ">
    <w:p w14:paraId="5B949BDA" w14:textId="77777777" w:rsidR="003F4CD7" w:rsidRDefault="003F4CD7" w:rsidP="003D0E84">
      <w:pPr>
        <w:pStyle w:val="CommentText"/>
      </w:pPr>
      <w:r>
        <w:rPr>
          <w:rStyle w:val="CommentReference"/>
        </w:rPr>
        <w:annotationRef/>
      </w:r>
      <w:r>
        <w:t>But GAMMA* is a matrix and I don’t think that the eigenvectors are those of A? I may be missing something.</w:t>
      </w:r>
    </w:p>
  </w:comment>
  <w:comment w:id="34" w:author="hannah.nesser@gmail.com" w:date="2020-07-02T12:28:00Z" w:initials="h">
    <w:p w14:paraId="6F2BE7D0" w14:textId="77777777" w:rsidR="003F4CD7" w:rsidRDefault="003F4CD7" w:rsidP="003D0E84">
      <w:pPr>
        <w:pStyle w:val="CommentText"/>
      </w:pPr>
      <w:r>
        <w:rPr>
          <w:rStyle w:val="CommentReference"/>
        </w:rPr>
        <w:annotationRef/>
      </w:r>
      <w:r>
        <w:t>From section 2.2: “</w:t>
      </w: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w:t>
      </w:r>
    </w:p>
  </w:comment>
  <w:comment w:id="35" w:author="Daniel Jacob" w:date="2020-06-28T10:22:00Z" w:initials="JDJ">
    <w:p w14:paraId="1EEBD181" w14:textId="77777777" w:rsidR="003F4CD7" w:rsidRPr="000A00A6" w:rsidRDefault="003F4CD7"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36" w:author="Hannah Nesser" w:date="2020-07-21T15:39:00Z" w:initials="HN">
    <w:p w14:paraId="5B3213D8" w14:textId="1E4BAFF0" w:rsidR="003F4CD7" w:rsidRDefault="003F4CD7">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37" w:author="Daniel Jacob" w:date="2020-06-28T10:31:00Z" w:initials="JDJ">
    <w:p w14:paraId="02634A09" w14:textId="77777777" w:rsidR="003F4CD7" w:rsidRDefault="003F4CD7" w:rsidP="007247D9">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38" w:author="Hannah Nesser" w:date="2020-07-21T16:19:00Z" w:initials="HN">
    <w:p w14:paraId="361BE47B" w14:textId="5D5DB318" w:rsidR="003F4CD7" w:rsidRDefault="003F4CD7" w:rsidP="007247D9">
      <w:pPr>
        <w:pStyle w:val="CommentText"/>
      </w:pPr>
      <w:r>
        <w:rPr>
          <w:rStyle w:val="CommentReference"/>
        </w:rPr>
        <w:annotationRef/>
      </w:r>
      <w:r>
        <w:t>I think it belongs in a sentence at the end of 2.1 and in a paragraph at the end of 2.3 (on the initial estimate of the Jacobian matrix). I like this idea!</w:t>
      </w:r>
    </w:p>
  </w:comment>
  <w:comment w:id="39" w:author="Hannah Nesser" w:date="2020-07-24T11:07:00Z" w:initials="HN">
    <w:p w14:paraId="7AA896DB" w14:textId="263C5474" w:rsidR="003F4CD7" w:rsidRDefault="003F4CD7">
      <w:pPr>
        <w:pStyle w:val="CommentText"/>
      </w:pPr>
      <w:r>
        <w:rPr>
          <w:rStyle w:val="CommentReference"/>
        </w:rPr>
        <w:annotationRef/>
      </w:r>
      <w:r>
        <w:t>I deleted the paragraph about the threshold selection—I think this is actually not that important</w:t>
      </w:r>
    </w:p>
  </w:comment>
  <w:comment w:id="40" w:author="Hannah Nesser" w:date="2020-07-28T10:27:00Z" w:initials="HN">
    <w:p w14:paraId="75BA4691" w14:textId="5DEAB780" w:rsidR="003F4CD7" w:rsidRDefault="003F4CD7">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41" w:author="Daniel Jacob" w:date="2020-06-28T13:36:00Z" w:initials="JDJ">
    <w:p w14:paraId="56365C9A" w14:textId="77777777" w:rsidR="003F4CD7" w:rsidRDefault="003F4CD7" w:rsidP="00A6735B">
      <w:pPr>
        <w:pStyle w:val="CommentText"/>
      </w:pPr>
      <w:r>
        <w:rPr>
          <w:rStyle w:val="CommentReference"/>
        </w:rPr>
        <w:annotationRef/>
      </w:r>
      <w:r>
        <w:t>Criteria?</w:t>
      </w:r>
    </w:p>
  </w:comment>
  <w:comment w:id="42" w:author="Hannah Nesser" w:date="2020-07-28T14:05:00Z" w:initials="HN">
    <w:p w14:paraId="53AC792B" w14:textId="7EEE06B4" w:rsidR="003F4CD7" w:rsidRDefault="003F4CD7">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43" w:author="Daniel Jacob" w:date="2020-06-28T13:36:00Z" w:initials="JDJ">
    <w:p w14:paraId="45E30474" w14:textId="77777777" w:rsidR="003F4CD7" w:rsidRDefault="003F4CD7" w:rsidP="00A6735B">
      <w:pPr>
        <w:pStyle w:val="CommentText"/>
      </w:pPr>
      <w:r>
        <w:rPr>
          <w:rStyle w:val="CommentReference"/>
        </w:rPr>
        <w:annotationRef/>
      </w:r>
      <w:r>
        <w:t>How was this decided?</w:t>
      </w:r>
    </w:p>
  </w:comment>
  <w:comment w:id="44" w:author="Hannah Nesser" w:date="2020-07-28T14:08:00Z" w:initials="HN">
    <w:p w14:paraId="55BB3091" w14:textId="02E13EA1" w:rsidR="003F4CD7" w:rsidRDefault="003F4CD7">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47" w:author="Hannah Nesser" w:date="2020-07-28T14:20:00Z" w:initials="HN">
    <w:p w14:paraId="57FC54C4" w14:textId="24D0762F" w:rsidR="003F4CD7" w:rsidRDefault="003F4CD7">
      <w:pPr>
        <w:pStyle w:val="CommentText"/>
      </w:pPr>
      <w:r>
        <w:rPr>
          <w:rStyle w:val="CommentReference"/>
        </w:rPr>
        <w:annotationRef/>
      </w:r>
      <w:r>
        <w:t>K means clustering does introduce some degree of randomness around the edges—so this might end up being 14-16.</w:t>
      </w:r>
    </w:p>
  </w:comment>
  <w:comment w:id="45" w:author="Daniel Jacob" w:date="2020-06-28T13:38:00Z" w:initials="JDJ">
    <w:p w14:paraId="69556881" w14:textId="77777777" w:rsidR="003F4CD7" w:rsidRDefault="003F4CD7"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46" w:author="Hannah Nesser" w:date="2020-07-28T14:16:00Z" w:initials="HN">
    <w:p w14:paraId="7FC4B0C9" w14:textId="77777777" w:rsidR="003F4CD7" w:rsidRDefault="003F4CD7">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3F4CD7" w:rsidRDefault="003F4CD7">
      <w:pPr>
        <w:pStyle w:val="CommentText"/>
      </w:pPr>
    </w:p>
    <w:p w14:paraId="0B080210" w14:textId="596FB090" w:rsidR="003F4CD7" w:rsidRDefault="003F4CD7">
      <w:pPr>
        <w:pStyle w:val="CommentText"/>
      </w:pPr>
      <w:r>
        <w:t>As for the timidity: we can be timid if there are 2,098 grid cells and we are willing to do ~500 model runs.</w:t>
      </w:r>
    </w:p>
  </w:comment>
  <w:comment w:id="48" w:author="Daniel Jacob" w:date="2020-06-28T13:42:00Z" w:initials="JDJ">
    <w:p w14:paraId="1BE12B3F" w14:textId="77777777" w:rsidR="003F4CD7" w:rsidRDefault="003F4CD7"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49" w:author="Daniel Jacob" w:date="2020-06-28T13:45:00Z" w:initials="JDJ">
    <w:p w14:paraId="2844DBF1" w14:textId="77777777" w:rsidR="003F4CD7" w:rsidRDefault="003F4CD7"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50" w:author="Daniel Jacob" w:date="2020-06-28T14:28:00Z" w:initials="JDJ">
    <w:p w14:paraId="262F4531" w14:textId="77777777" w:rsidR="003F4CD7" w:rsidRDefault="003F4CD7" w:rsidP="00A6735B">
      <w:pPr>
        <w:pStyle w:val="CommentText"/>
      </w:pPr>
      <w:r>
        <w:rPr>
          <w:rStyle w:val="CommentReference"/>
        </w:rPr>
        <w:annotationRef/>
      </w:r>
      <w:r>
        <w:t>You still lose 25% of the information despite shooting to retain 97.5%?</w:t>
      </w:r>
    </w:p>
  </w:comment>
  <w:comment w:id="51" w:author="Hannah Nesser" w:date="2020-07-29T13:59:00Z" w:initials="HN">
    <w:p w14:paraId="7176FB04" w14:textId="50EAD153" w:rsidR="003F4CD7" w:rsidRDefault="003F4CD7">
      <w:pPr>
        <w:pStyle w:val="CommentText"/>
      </w:pPr>
      <w:r>
        <w:rPr>
          <w:rStyle w:val="CommentReference"/>
        </w:rPr>
        <w:annotationRef/>
      </w:r>
      <w:r>
        <w:t>I’ve tried to answer this question in the text.</w:t>
      </w:r>
    </w:p>
  </w:comment>
  <w:comment w:id="52" w:author="Daniel Jacob" w:date="2020-06-28T14:42:00Z" w:initials="JDJ">
    <w:p w14:paraId="48AB296B" w14:textId="77777777" w:rsidR="003F4CD7" w:rsidRDefault="003F4CD7" w:rsidP="0071127D">
      <w:pPr>
        <w:pStyle w:val="CommentText"/>
      </w:pPr>
      <w:r>
        <w:rPr>
          <w:rStyle w:val="CommentReference"/>
        </w:rPr>
        <w:annotationRef/>
      </w:r>
      <w:r>
        <w:t xml:space="preserve">0.01 is awfully small. If only 1% of the solution is contributed by observations, who cares? I would go with 0.1. </w:t>
      </w:r>
    </w:p>
  </w:comment>
  <w:comment w:id="53" w:author="Hannah Nesser" w:date="2020-07-29T14:14:00Z" w:initials="HN">
    <w:p w14:paraId="39D14967" w14:textId="48C31CD6" w:rsidR="003F4CD7" w:rsidRDefault="003F4CD7">
      <w:pPr>
        <w:pStyle w:val="CommentText"/>
      </w:pPr>
      <w:r>
        <w:rPr>
          <w:rStyle w:val="CommentReference"/>
        </w:rPr>
        <w:annotationRef/>
      </w:r>
      <w:r>
        <w:t>Most of the grid boxes in the native resolution solution and the reduced rank solution are below 0.1—this threshold leaves very few grid boxes. (I can quantify this for you if you want). I feel pretty confident in the ability of this method to constrain grid cells up to about 140%-150% of the number of model runs we conduct (i.e. if we run the model 100 times, I think we should be able to constrain ~150 grid boxes) regardless of the information content.</w:t>
      </w:r>
    </w:p>
  </w:comment>
  <w:comment w:id="54" w:author="Daniel Jacob" w:date="2020-06-28T14:40:00Z" w:initials="JDJ">
    <w:p w14:paraId="48996FBF" w14:textId="77777777" w:rsidR="003F4CD7" w:rsidRDefault="003F4CD7"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55" w:author="Hannah Nesser" w:date="2020-07-29T14:31:00Z" w:initials="HN">
    <w:p w14:paraId="1597A4FA" w14:textId="2F8BA0D7" w:rsidR="003F4CD7" w:rsidRDefault="003F4CD7">
      <w:pPr>
        <w:pStyle w:val="CommentText"/>
      </w:pPr>
      <w:r>
        <w:rPr>
          <w:rStyle w:val="CommentReference"/>
        </w:rPr>
        <w:annotationRef/>
      </w:r>
      <w:r>
        <w:t>This is a function of gamma, yes. This is part of the reason I originally included a sentence early on about how the solution will not be physical.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55BD4B" w15:done="0"/>
  <w15:commentEx w15:paraId="06A7E1C7" w15:paraIdParent="3D55BD4B" w15:done="0"/>
  <w15:commentEx w15:paraId="30D1D6D5" w15:done="0"/>
  <w15:commentEx w15:paraId="5BAE7BCE" w15:done="0"/>
  <w15:commentEx w15:paraId="1397E453" w15:done="0"/>
  <w15:commentEx w15:paraId="54E29934" w15:done="0"/>
  <w15:commentEx w15:paraId="41099B2F" w15:done="0"/>
  <w15:commentEx w15:paraId="1B2A064C" w15:done="0"/>
  <w15:commentEx w15:paraId="6BE47639" w15:done="0"/>
  <w15:commentEx w15:paraId="5BFBBA87" w15:done="0"/>
  <w15:commentEx w15:paraId="738218C6" w15:done="0"/>
  <w15:commentEx w15:paraId="76A71ADB" w15:done="0"/>
  <w15:commentEx w15:paraId="2623BA18" w15:paraIdParent="76A71ADB" w15:done="0"/>
  <w15:commentEx w15:paraId="32FAC549" w15:done="0"/>
  <w15:commentEx w15:paraId="289420B3" w15:paraIdParent="32FAC549" w15:done="0"/>
  <w15:commentEx w15:paraId="341547F2" w15:done="0"/>
  <w15:commentEx w15:paraId="7592072D" w15:paraIdParent="341547F2" w15:done="0"/>
  <w15:commentEx w15:paraId="383ECC89" w15:done="0"/>
  <w15:commentEx w15:paraId="3CDA187B" w15:done="0"/>
  <w15:commentEx w15:paraId="6E5F6002" w15:paraIdParent="3CDA187B"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13B47FB3" w15:done="0"/>
  <w15:commentEx w15:paraId="04ED17FD" w15:paraIdParent="13B47FB3" w15:done="0"/>
  <w15:commentEx w15:paraId="2EC6231E" w15:done="0"/>
  <w15:commentEx w15:paraId="70D0B44D" w15:done="0"/>
  <w15:commentEx w15:paraId="41268385" w15:paraIdParent="70D0B44D" w15:done="0"/>
  <w15:commentEx w15:paraId="7985D93C" w15:done="0"/>
  <w15:commentEx w15:paraId="2B6998D9" w15:paraIdParent="7985D93C" w15:done="0"/>
  <w15:commentEx w15:paraId="5B949BDA" w15:done="0"/>
  <w15:commentEx w15:paraId="6F2BE7D0" w15:paraIdParent="5B949BDA" w15:done="0"/>
  <w15:commentEx w15:paraId="1EEBD181" w15:done="0"/>
  <w15:commentEx w15:paraId="5B3213D8" w15:paraIdParent="1EEBD181" w15:done="0"/>
  <w15:commentEx w15:paraId="02634A09" w15:done="0"/>
  <w15:commentEx w15:paraId="361BE47B" w15:paraIdParent="02634A09" w15:done="0"/>
  <w15:commentEx w15:paraId="7AA896DB" w15:done="0"/>
  <w15:commentEx w15:paraId="75BA4691"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262F4531" w15:done="0"/>
  <w15:commentEx w15:paraId="7176FB04" w15:paraIdParent="262F4531" w15:done="0"/>
  <w15:commentEx w15:paraId="48AB296B" w15:done="0"/>
  <w15:commentEx w15:paraId="39D14967" w15:paraIdParent="48AB296B" w15:done="0"/>
  <w15:commentEx w15:paraId="48996FBF" w15:done="0"/>
  <w15:commentEx w15:paraId="1597A4FA" w15:paraIdParent="48996F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C18AA6" w16cex:dateUtc="2020-07-21T19:39:00Z"/>
  <w16cex:commentExtensible w16cex:durableId="22C1941E" w16cex:dateUtc="2020-07-21T20:19:00Z"/>
  <w16cex:commentExtensible w16cex:durableId="22C53F74" w16cex:dateUtc="2020-07-24T15:07: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BFF51" w16cex:dateUtc="2020-07-29T17:59:00Z"/>
  <w16cex:commentExtensible w16cex:durableId="22CC02C0" w16cex:dateUtc="2020-07-29T18:14: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55BD4B" w16cid:durableId="229DAD16"/>
  <w16cid:commentId w16cid:paraId="06A7E1C7" w16cid:durableId="22A44356"/>
  <w16cid:commentId w16cid:paraId="30D1D6D5" w16cid:durableId="22A58C19"/>
  <w16cid:commentId w16cid:paraId="5BAE7BCE" w16cid:durableId="22A58DC8"/>
  <w16cid:commentId w16cid:paraId="1397E453" w16cid:durableId="22A5C3C6"/>
  <w16cid:commentId w16cid:paraId="54E29934" w16cid:durableId="22A5C85C"/>
  <w16cid:commentId w16cid:paraId="41099B2F" w16cid:durableId="22A5CB41"/>
  <w16cid:commentId w16cid:paraId="1B2A064C" w16cid:durableId="22A2CAF9"/>
  <w16cid:commentId w16cid:paraId="6BE47639" w16cid:durableId="22A631F5"/>
  <w16cid:commentId w16cid:paraId="5BFBBA87" w16cid:durableId="22C190D2"/>
  <w16cid:commentId w16cid:paraId="738218C6" w16cid:durableId="22A72287"/>
  <w16cid:commentId w16cid:paraId="76A71ADB" w16cid:durableId="22A2CD1A"/>
  <w16cid:commentId w16cid:paraId="2623BA18" w16cid:durableId="22A822EE"/>
  <w16cid:commentId w16cid:paraId="32FAC549" w16cid:durableId="22A2CE27"/>
  <w16cid:commentId w16cid:paraId="289420B3" w16cid:durableId="22A823C0"/>
  <w16cid:commentId w16cid:paraId="341547F2" w16cid:durableId="22A2CEB9"/>
  <w16cid:commentId w16cid:paraId="7592072D" w16cid:durableId="22A823FB"/>
  <w16cid:commentId w16cid:paraId="383ECC89" w16cid:durableId="22D28046"/>
  <w16cid:commentId w16cid:paraId="3CDA187B" w16cid:durableId="22A2E062"/>
  <w16cid:commentId w16cid:paraId="6E5F6002" w16cid:durableId="22A84CEA"/>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13B47FB3" w16cid:durableId="22A2E573"/>
  <w16cid:commentId w16cid:paraId="04ED17FD" w16cid:durableId="22A8512F"/>
  <w16cid:commentId w16cid:paraId="2EC6231E" w16cid:durableId="22A85045"/>
  <w16cid:commentId w16cid:paraId="70D0B44D" w16cid:durableId="22A2E7AF"/>
  <w16cid:commentId w16cid:paraId="41268385" w16cid:durableId="22A850F4"/>
  <w16cid:commentId w16cid:paraId="7985D93C" w16cid:durableId="22A2ECC9"/>
  <w16cid:commentId w16cid:paraId="2B6998D9" w16cid:durableId="22A8515D"/>
  <w16cid:commentId w16cid:paraId="5B949BDA" w16cid:durableId="22C175BD"/>
  <w16cid:commentId w16cid:paraId="6F2BE7D0" w16cid:durableId="22C175BC"/>
  <w16cid:commentId w16cid:paraId="1EEBD181" w16cid:durableId="22A2EDD6"/>
  <w16cid:commentId w16cid:paraId="5B3213D8" w16cid:durableId="22C18AA6"/>
  <w16cid:commentId w16cid:paraId="02634A09" w16cid:durableId="22A2F01A"/>
  <w16cid:commentId w16cid:paraId="361BE47B" w16cid:durableId="22C1941E"/>
  <w16cid:commentId w16cid:paraId="7AA896DB" w16cid:durableId="22C53F74"/>
  <w16cid:commentId w16cid:paraId="75BA4691" w16cid:durableId="22CA7C25"/>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262F4531" w16cid:durableId="22A327A8"/>
  <w16cid:commentId w16cid:paraId="7176FB04" w16cid:durableId="22CBFF51"/>
  <w16cid:commentId w16cid:paraId="48AB296B" w16cid:durableId="22CC02A4"/>
  <w16cid:commentId w16cid:paraId="39D14967" w16cid:durableId="22CC02C0"/>
  <w16cid:commentId w16cid:paraId="48996FBF" w16cid:durableId="22A32A73"/>
  <w16cid:commentId w16cid:paraId="1597A4FA" w16cid:durableId="22CC0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A1C18" w14:textId="77777777" w:rsidR="001E59D8" w:rsidRDefault="001E59D8" w:rsidP="00605262">
      <w:r>
        <w:separator/>
      </w:r>
    </w:p>
  </w:endnote>
  <w:endnote w:type="continuationSeparator" w:id="0">
    <w:p w14:paraId="6AA782A6" w14:textId="77777777" w:rsidR="001E59D8" w:rsidRDefault="001E59D8"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2E408" w14:textId="77777777" w:rsidR="001E59D8" w:rsidRDefault="001E59D8" w:rsidP="00605262">
      <w:r>
        <w:separator/>
      </w:r>
    </w:p>
  </w:footnote>
  <w:footnote w:type="continuationSeparator" w:id="0">
    <w:p w14:paraId="2752C2C4" w14:textId="77777777" w:rsidR="001E59D8" w:rsidRDefault="001E59D8"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3410"/>
    <w:rsid w:val="00077235"/>
    <w:rsid w:val="00081673"/>
    <w:rsid w:val="00083001"/>
    <w:rsid w:val="00084641"/>
    <w:rsid w:val="000855B6"/>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20250"/>
    <w:rsid w:val="00121DFD"/>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169A"/>
    <w:rsid w:val="001B2699"/>
    <w:rsid w:val="001B3BDC"/>
    <w:rsid w:val="001C0714"/>
    <w:rsid w:val="001C3FDB"/>
    <w:rsid w:val="001C6CB9"/>
    <w:rsid w:val="001C71AD"/>
    <w:rsid w:val="001D109A"/>
    <w:rsid w:val="001D2635"/>
    <w:rsid w:val="001D6AE7"/>
    <w:rsid w:val="001D7030"/>
    <w:rsid w:val="001E20B0"/>
    <w:rsid w:val="001E24DB"/>
    <w:rsid w:val="001E2B39"/>
    <w:rsid w:val="001E3FB5"/>
    <w:rsid w:val="001E4AD4"/>
    <w:rsid w:val="001E59D8"/>
    <w:rsid w:val="001F05C6"/>
    <w:rsid w:val="001F193F"/>
    <w:rsid w:val="001F1EBC"/>
    <w:rsid w:val="001F24B6"/>
    <w:rsid w:val="0020565B"/>
    <w:rsid w:val="00206460"/>
    <w:rsid w:val="002066B1"/>
    <w:rsid w:val="002150C3"/>
    <w:rsid w:val="00215701"/>
    <w:rsid w:val="002162E2"/>
    <w:rsid w:val="002178BA"/>
    <w:rsid w:val="00217C9F"/>
    <w:rsid w:val="002272CD"/>
    <w:rsid w:val="002315A1"/>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3DFB"/>
    <w:rsid w:val="00426268"/>
    <w:rsid w:val="00432A6D"/>
    <w:rsid w:val="00433A01"/>
    <w:rsid w:val="00433DD3"/>
    <w:rsid w:val="00435870"/>
    <w:rsid w:val="004378AF"/>
    <w:rsid w:val="00443503"/>
    <w:rsid w:val="00452E11"/>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909E3"/>
    <w:rsid w:val="00491219"/>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7DB3"/>
    <w:rsid w:val="006318E7"/>
    <w:rsid w:val="0063420B"/>
    <w:rsid w:val="00636893"/>
    <w:rsid w:val="00637555"/>
    <w:rsid w:val="00637568"/>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90E46"/>
    <w:rsid w:val="006A0D5A"/>
    <w:rsid w:val="006A0F8D"/>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83876"/>
    <w:rsid w:val="00985E1F"/>
    <w:rsid w:val="00991E4B"/>
    <w:rsid w:val="0099768F"/>
    <w:rsid w:val="009A0A1D"/>
    <w:rsid w:val="009A10E6"/>
    <w:rsid w:val="009A5EBE"/>
    <w:rsid w:val="009B1616"/>
    <w:rsid w:val="009B2D53"/>
    <w:rsid w:val="009D2F5C"/>
    <w:rsid w:val="009D4EC1"/>
    <w:rsid w:val="009E7EF7"/>
    <w:rsid w:val="009F7374"/>
    <w:rsid w:val="00A01035"/>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1B18"/>
    <w:rsid w:val="00B93324"/>
    <w:rsid w:val="00B9361D"/>
    <w:rsid w:val="00B93C86"/>
    <w:rsid w:val="00B9737D"/>
    <w:rsid w:val="00BA0C88"/>
    <w:rsid w:val="00BA0F6A"/>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2722"/>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31C2F"/>
    <w:rsid w:val="00E329BB"/>
    <w:rsid w:val="00E33408"/>
    <w:rsid w:val="00E37463"/>
    <w:rsid w:val="00E436C4"/>
    <w:rsid w:val="00E45A0C"/>
    <w:rsid w:val="00E45B26"/>
    <w:rsid w:val="00E46832"/>
    <w:rsid w:val="00E51367"/>
    <w:rsid w:val="00E53DCD"/>
    <w:rsid w:val="00E54260"/>
    <w:rsid w:val="00E62D19"/>
    <w:rsid w:val="00E63BC5"/>
    <w:rsid w:val="00E65B31"/>
    <w:rsid w:val="00E65C26"/>
    <w:rsid w:val="00E6716A"/>
    <w:rsid w:val="00E67693"/>
    <w:rsid w:val="00E7144D"/>
    <w:rsid w:val="00E71B05"/>
    <w:rsid w:val="00E74B72"/>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13</Pages>
  <Words>23200</Words>
  <Characters>132240</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25</cp:revision>
  <dcterms:created xsi:type="dcterms:W3CDTF">2020-06-30T21:38:00Z</dcterms:created>
  <dcterms:modified xsi:type="dcterms:W3CDTF">2020-08-06T17:01:00Z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