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BIP-6F, Reliabilitaet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01"/>
        <w:gridCol w:w="850"/>
        <w:gridCol w:w="340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Evers et al. (2013)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Exzellent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BIP-6F, Konfidenzintervalle der wahren Testwerte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34"/>
        <w:gridCol w:w="850"/>
        <w:gridCol w:w="1191"/>
        <w:gridCol w:w="2721"/>
        <w:gridCol w:w="2835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Reliabilitaet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 des Testwerts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Westhoff und Kluck (2014)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[52; 66]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Durchschnittlich - Ueberdurchschnittlich</w:t>
            </w:r>
          </w:p>
        </w:tc>
      </w:tr>
    </w:tbl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NFC, Reliabilitaet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01"/>
        <w:gridCol w:w="850"/>
        <w:gridCol w:w="340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Evers et al. (2013)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Empathie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Exzellent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NFC, Konfidenzintervalle der wahren Testwerte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34"/>
        <w:gridCol w:w="850"/>
        <w:gridCol w:w="1191"/>
        <w:gridCol w:w="2721"/>
        <w:gridCol w:w="2835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IQ-Wert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Reliabilitaet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 des Testwerts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Westhoff und Kluck (2014)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Empathie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[94;116]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Durchschnittlich - Ueberdurchschnittlich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2023-12-19T15:30:52Z</dcterms:modified>
  <cp:category/>
</cp:coreProperties>
</file>