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4"/>
        <w:gridCol w:w="794"/>
        <w:gridCol w:w="1134"/>
        <w:gridCol w:w="1134"/>
        <w:gridCol w:w="1701"/>
        <w:gridCol w:w="794"/>
        <w:gridCol w:w="1361"/>
        <w:gridCol w:w="1417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Rohwert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Mittelwert der Rohwerte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Standardabweichung der Rohwerte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Durchschnittbereich der Rohwerte nach Westhoff und Kluck (2014)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IQ-Skala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[85;115]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[94;116]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Z-Skala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[90;110]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[102;116]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2023-12-19T10:22:26Z</dcterms:modified>
  <cp:category/>
</cp:coreProperties>
</file>