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4"/>
        <w:gridCol w:w="794"/>
        <w:gridCol w:w="1134"/>
        <w:gridCol w:w="1134"/>
        <w:gridCol w:w="1701"/>
        <w:gridCol w:w="794"/>
        <w:gridCol w:w="1361"/>
        <w:gridCol w:w="1417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Rohwert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Mittelwert der Rohwerte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Standardabweichung der Rohwerte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Durchschnittbereich der Rohwerte nach Westhoff und Kluck (2014)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IQ-Skala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[85;115]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[94;116]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Z-Skala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[90;110]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[102;116]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2023-12-18T16:30:35Z</dcterms:modified>
  <cp:category/>
</cp:coreProperties>
</file>